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36"/>
          <w:szCs w:val="36"/>
        </w:rPr>
        <w:t xml:space="preserve">A Systematic Literature Review of</w:t>
      </w:r>
    </w:p>
    <w:p>
      <w:pPr>
        <w:spacing w:after="600"/>
        <w:jc w:val="center"/>
      </w:pPr>
      <w:r>
        <w:rPr>
          <w:b/>
          <w:bCs/>
          <w:sz w:val="36"/>
          <w:szCs w:val="36"/>
        </w:rPr>
        <w:t xml:space="preserve">DevOps and Continuous Integration / Continuous Delivery Practices in Quantum Software Engineering</w:t>
      </w:r>
    </w:p>
    <w:p>
      <w:pPr>
        <w:spacing w:after="240"/>
        <w:jc w:val="center"/>
      </w:pPr>
      <w:r>
        <w:rPr>
          <w:i/>
          <w:iCs/>
          <w:sz w:val="28"/>
          <w:szCs w:val="28"/>
        </w:rPr>
        <w:t xml:space="preserve">Identifying Knowledge Gaps and Foundations for a Quantum DevOps Theory</w:t>
      </w:r>
    </w:p>
    <w:p>
      <w:pPr>
        <w:spacing w:after="120" w:before="800"/>
        <w:jc w:val="center"/>
      </w:pPr>
      <w:r>
        <w:rPr>
          <w:i/>
          <w:iCs/>
          <w:sz w:val="22"/>
          <w:szCs w:val="22"/>
        </w:rPr>
        <w:t xml:space="preserve">Conducted in accordance with the Kitchenham &amp; Charters (2007)</w:t>
      </w:r>
    </w:p>
    <w:p>
      <w:pPr>
        <w:spacing w:after="800"/>
        <w:jc w:val="center"/>
      </w:pPr>
      <w:r>
        <w:rPr>
          <w:i/>
          <w:iCs/>
          <w:sz w:val="22"/>
          <w:szCs w:val="22"/>
        </w:rPr>
        <w:t xml:space="preserve">Guidelines for Performing Systematic Literature Reviews in Software Engineering (EBSE-2007-01, v2.3)</w:t>
      </w:r>
    </w:p>
    <w:p>
      <w:pPr>
        <w:spacing w:after="120"/>
        <w:jc w:val="center"/>
      </w:pPr>
      <w:r>
        <w:rPr>
          <w:sz w:val="24"/>
          <w:szCs w:val="24"/>
        </w:rPr>
        <w:t xml:space="preserve">Interdisciplinary Project — Systematic Literature Review</w:t>
      </w:r>
    </w:p>
    <w:p>
      <w:pPr>
        <w:spacing w:after="120"/>
        <w:jc w:val="center"/>
      </w:pPr>
      <w:r>
        <w:rPr>
          <w:sz w:val="24"/>
          <w:szCs w:val="24"/>
        </w:rPr>
        <w:t xml:space="preserve">April 2026</w:t>
      </w:r>
    </w:p>
    <w:p>
      <w:r>
        <w:br w:type="page"/>
      </w:r>
    </w:p>
    <w:p>
      <w:pPr>
        <w:pStyle w:val="Heading1"/>
        <w:spacing w:after="200" w:before="360"/>
      </w:pPr>
      <w:r>
        <w:t xml:space="preserve">Executive Summary</w:t>
      </w:r>
    </w:p>
    <w:p>
      <w:pPr>
        <w:pStyle w:val="Heading3"/>
        <w:spacing w:after="120" w:before="220"/>
      </w:pPr>
      <w:r>
        <w:t xml:space="preserve">Context</w:t>
      </w:r>
    </w:p>
    <w:p>
      <w:pPr>
        <w:spacing w:after="120" w:line="300"/>
        <w:jc w:val="both"/>
      </w:pPr>
      <w:r>
        <w:rPr>
          <w:sz w:val="22"/>
          <w:szCs w:val="22"/>
        </w:rPr>
        <w:t xml:space="preserve">Quantum computing is transitioning from theoretical research to early industrial application, and quantum software engineering (QSE) is emerging as a distinct discipline. Modern classical software development relies on DevOps and continuous integration/continuous delivery (CI/CD) practices, but it is unclear how these practices transfer to quantum systems where execution is probabilistic, hardware is noisy and heterogeneous, and toolchains are immature.</w:t>
      </w:r>
    </w:p>
    <w:p>
      <w:pPr>
        <w:pStyle w:val="Heading3"/>
        <w:spacing w:after="120" w:before="220"/>
      </w:pPr>
      <w:r>
        <w:t xml:space="preserve">Objectives</w:t>
      </w:r>
    </w:p>
    <w:p>
      <w:pPr>
        <w:spacing w:after="120" w:line="300"/>
        <w:jc w:val="both"/>
      </w:pPr>
      <w:r>
        <w:rPr>
          <w:sz w:val="22"/>
          <w:szCs w:val="22"/>
        </w:rPr>
        <w:t xml:space="preserve">This systematic literature review synthesises peer-reviewed research published between 2020 and 2026 to answer three research questions: (RQ1) how does quantum DevOps compare to standard DevOps; (RQ2) what challenges exist in implementing CI/CD for quantum software; and (RQ3) what barriers prevent the adoption of standard DevOps practices in QSE.</w:t>
      </w:r>
    </w:p>
    <w:p>
      <w:pPr>
        <w:pStyle w:val="Heading3"/>
        <w:spacing w:after="120" w:before="220"/>
      </w:pPr>
      <w:r>
        <w:t xml:space="preserve">Methods</w:t>
      </w:r>
    </w:p>
    <w:p>
      <w:pPr>
        <w:spacing w:after="120" w:line="300"/>
        <w:jc w:val="both"/>
      </w:pPr>
      <w:r>
        <w:rPr>
          <w:sz w:val="22"/>
          <w:szCs w:val="22"/>
        </w:rPr>
        <w:t xml:space="preserve">The review followed the Kitchenham &amp; Charters (2007) guidelines, in the lighter form recommended for single-researcher reviews. A formal review protocol was developed, defining research questions in PICOC form, search strategy, inclusion/exclusion criteria, quality assessment instrument, and synthesis approach. From 805 records identified through a structured search and managed in Zotero, 32 duplicates were removed at deduplication, 269 non-peer-reviewed items at type filtering, 484 at title/abstract screening, and 15 at full-text screening. Inclusion decisions were re-validated through a test–retest procedure on the full-text stage. The final corpus comprises 36 included primary studies.</w:t>
      </w:r>
    </w:p>
    <w:p>
      <w:pPr>
        <w:pStyle w:val="Heading3"/>
        <w:spacing w:after="120" w:before="220"/>
      </w:pPr>
      <w:r>
        <w:t xml:space="preserve">Results</w:t>
      </w:r>
    </w:p>
    <w:p>
      <w:pPr>
        <w:spacing w:after="120" w:line="300"/>
        <w:jc w:val="both"/>
      </w:pPr>
      <w:r>
        <w:rPr>
          <w:sz w:val="22"/>
          <w:szCs w:val="22"/>
        </w:rPr>
        <w:t xml:space="preserve">The 36 included studies cover all three research questions with substantial overlap (RQ1: 16 studies; RQ2: 22 studies; RQ3: 27 studies). Quality assessment scores range from 3.0 to 5.0 out of 5.0 with a mean of 4.10, indicating a corpus of acceptable to high methodological quality. The synthesis identifies five dimensions on which quantum DevOps differs from classical DevOps, five clusters of CI/CD challenges, and five categories of adoption barriers. Five clear knowledge gaps are identified.</w:t>
      </w:r>
    </w:p>
    <w:p>
      <w:pPr>
        <w:pStyle w:val="Heading3"/>
        <w:spacing w:after="120" w:before="220"/>
      </w:pPr>
      <w:r>
        <w:t xml:space="preserve">Conclusions</w:t>
      </w:r>
    </w:p>
    <w:p>
      <w:pPr>
        <w:spacing w:after="120" w:line="300"/>
        <w:jc w:val="both"/>
      </w:pPr>
      <w:r>
        <w:rPr>
          <w:sz w:val="22"/>
          <w:szCs w:val="22"/>
        </w:rPr>
        <w:t xml:space="preserve">The corpus is theoretically rich but empirically thin. Quantum DevOps differs from classical DevOps in patterned, predictable ways. Building on this synthesis, the review proposes the Quantum DevOps Adaptation Theory (Q-DAT) as a candidate explanatory framework for future empirical validation. The most pressing research priority is cross-organisational empirical work on quantum DevOps practices.</w:t>
      </w:r>
    </w:p>
    <w:p>
      <w:pPr>
        <w:spacing w:after="120" w:line="300"/>
        <w:jc w:val="both"/>
      </w:pPr>
      <w:r>
        <w:rPr>
          <w:b/>
          <w:bCs/>
          <w:sz w:val="22"/>
          <w:szCs w:val="22"/>
        </w:rPr>
        <w:t xml:space="preserve">Keywords: </w:t>
      </w:r>
      <w:r>
        <w:rPr>
          <w:sz w:val="22"/>
          <w:szCs w:val="22"/>
        </w:rPr>
        <w:t xml:space="preserve">Quantum software engineering, Quantum DevOps, CI/CD, Continuous integration, Continuous deployment, Hybrid quantum-classical systems, NISQ, Systematic literature review, Kitchenham guidelines, PICOC</w:t>
      </w:r>
    </w:p>
    <w:p>
      <w:r>
        <w:br w:type="page"/>
      </w:r>
    </w:p>
    <w:p>
      <w:pPr>
        <w:pStyle w:val="Heading1"/>
        <w:spacing w:after="200" w:before="360"/>
      </w:pPr>
      <w:r>
        <w:t xml:space="preserve">1. Introduction</w:t>
      </w:r>
    </w:p>
    <w:p>
      <w:pPr>
        <w:pStyle w:val="Heading2"/>
        <w:spacing w:after="160" w:before="280"/>
      </w:pPr>
      <w:r>
        <w:t xml:space="preserve">1.1 Background</w:t>
      </w:r>
    </w:p>
    <w:p>
      <w:pPr>
        <w:spacing w:after="120" w:line="300"/>
        <w:jc w:val="both"/>
      </w:pPr>
      <w:r>
        <w:rPr>
          <w:sz w:val="22"/>
          <w:szCs w:val="22"/>
        </w:rPr>
        <w:t xml:space="preserve">Quantum computing has progressed rapidly over the past decade. IBM, Google, Microsoft, and Amazon now offer quantum processors and simulators through cloud platforms, and several quantum SDKs — Qiskit, Cirq, Q#, and Braket among them — have reached relative maturity. Despite this hardware and language progress, the engineering practices required to develop, test, deploy, and maintain quantum software at industrial scale remain underdeveloped. In classical software industry, DevOps and CI/CD have become standard practices that bridge software development with reliable operations. Without comparable practices for quantum software, the field risks producing software that is theoretically sound but operationally fragile and difficult to integrate into enterprise systems.</w:t>
      </w:r>
    </w:p>
    <w:p>
      <w:pPr>
        <w:spacing w:after="120" w:line="300"/>
        <w:jc w:val="both"/>
      </w:pPr>
      <w:r>
        <w:rPr>
          <w:sz w:val="22"/>
          <w:szCs w:val="22"/>
        </w:rPr>
        <w:t xml:space="preserve">The literature on the intersection of DevOps and quantum software engineering is recent and fragmented. The term 'Quantum DevOps' itself was first proposed by Gheorghe-Pop et al. in 2020. A small but growing body of research has explored adjacent concepts: quantum services, hybrid quantum-classical lifecycles, quantum testing strategies, and cloud-native quantum execution platforms. However, no comprehensive synthesis exists that explains how these contributions relate to each other or what the field collectively knows and does not yet know. This review addresses that gap.</w:t>
      </w:r>
    </w:p>
    <w:p>
      <w:pPr>
        <w:pStyle w:val="Heading2"/>
        <w:spacing w:after="160" w:before="280"/>
      </w:pPr>
      <w:r>
        <w:t xml:space="preserve">1.2 Need for a Systematic Review</w:t>
      </w:r>
    </w:p>
    <w:p>
      <w:pPr>
        <w:spacing w:after="120" w:line="300"/>
        <w:jc w:val="both"/>
      </w:pPr>
      <w:r>
        <w:rPr>
          <w:sz w:val="22"/>
          <w:szCs w:val="22"/>
        </w:rPr>
        <w:t xml:space="preserve">Following Kitchenham &amp; Charters' (2007) §5.1 guidance, the need for this review was established by checking that no recent systematic review currently covers the intersection of DevOps and quantum software engineering. While there are recent QSE surveys (notably Murillo et al., 2025; Yousuf and Sofi, 2026; Dwivedi et al., 2024 — all of which appear in the present review's corpus), none focuses specifically on DevOps and CI/CD practices, and none uses the structured screening of a systematic literature review. The review is therefore both necessary and timely. It does not duplicate any prior secondary study and is positioned to identify gaps that inform future primary research.</w:t>
      </w:r>
    </w:p>
    <w:p>
      <w:pPr>
        <w:spacing w:after="120" w:line="300"/>
        <w:jc w:val="both"/>
      </w:pPr>
      <w:r>
        <w:rPr>
          <w:sz w:val="22"/>
          <w:szCs w:val="22"/>
        </w:rPr>
        <w:t xml:space="preserve">The review pursues three of the typical reasons for an SLR identified by Kitchenham &amp; Charters (§2.1): summarising existing evidence on a research topic; identifying gaps in current research to suggest areas for further investigation; and providing a framework to position new research activities.</w:t>
      </w:r>
    </w:p>
    <w:p>
      <w:pPr>
        <w:pStyle w:val="Heading2"/>
        <w:spacing w:after="160" w:before="280"/>
      </w:pPr>
      <w:r>
        <w:t xml:space="preserve">1.3 Research Questions</w:t>
      </w:r>
    </w:p>
    <w:p>
      <w:pPr>
        <w:spacing w:after="120" w:line="300"/>
        <w:jc w:val="both"/>
      </w:pPr>
      <w:r>
        <w:rPr>
          <w:sz w:val="22"/>
          <w:szCs w:val="22"/>
        </w:rPr>
        <w:t xml:space="preserve">Following Kitchenham &amp; Charters' §5.3, three research questions guide this review. The questions are stated below in their study-level form and then expressed in PICOC form (Population, Intervention, Comparison, Outcome, Context) following Petticrew &amp; Roberts (2005) as recommended by §5.3.2.</w:t>
      </w:r>
    </w:p>
    <w:p>
      <w:pPr>
        <w:pStyle w:val="ListParagraph"/>
        <w:numPr>
          <w:ilvl w:val="0"/>
          <w:numId w:val="2"/>
        </w:numPr>
        <w:spacing w:after="80" w:line="280"/>
      </w:pPr>
      <w:r>
        <w:rPr>
          <w:b/>
          <w:bCs/>
          <w:sz w:val="22"/>
          <w:szCs w:val="22"/>
        </w:rPr>
        <w:t xml:space="preserve">RQ1: </w:t>
      </w:r>
      <w:r>
        <w:rPr>
          <w:sz w:val="22"/>
          <w:szCs w:val="22"/>
        </w:rPr>
        <w:t xml:space="preserve">How does quantum computing DevOps compare to standard DevOps?</w:t>
      </w:r>
    </w:p>
    <w:p>
      <w:pPr>
        <w:pStyle w:val="ListParagraph"/>
        <w:numPr>
          <w:ilvl w:val="0"/>
          <w:numId w:val="2"/>
        </w:numPr>
        <w:spacing w:after="80" w:line="280"/>
      </w:pPr>
      <w:r>
        <w:rPr>
          <w:b/>
          <w:bCs/>
          <w:sz w:val="22"/>
          <w:szCs w:val="22"/>
        </w:rPr>
        <w:t xml:space="preserve">RQ2: </w:t>
      </w:r>
      <w:r>
        <w:rPr>
          <w:sz w:val="22"/>
          <w:szCs w:val="22"/>
        </w:rPr>
        <w:t xml:space="preserve">What challenges exist in implementing continuous integration and continuous delivery for quantum software?</w:t>
      </w:r>
    </w:p>
    <w:p>
      <w:pPr>
        <w:pStyle w:val="ListParagraph"/>
        <w:numPr>
          <w:ilvl w:val="0"/>
          <w:numId w:val="2"/>
        </w:numPr>
        <w:spacing w:after="80" w:line="280"/>
      </w:pPr>
      <w:r>
        <w:rPr>
          <w:b/>
          <w:bCs/>
          <w:sz w:val="22"/>
          <w:szCs w:val="22"/>
        </w:rPr>
        <w:t xml:space="preserve">RQ3: </w:t>
      </w:r>
      <w:r>
        <w:rPr>
          <w:sz w:val="22"/>
          <w:szCs w:val="22"/>
        </w:rPr>
        <w:t xml:space="preserve">What are the main barriers preventing the adoption of standard DevOps practices in quantum software engineering?</w:t>
      </w:r>
    </w:p>
    <w:p>
      <w:pPr>
        <w:pStyle w:val="Heading3"/>
        <w:spacing w:after="120" w:before="220"/>
      </w:pPr>
      <w:r>
        <w:t xml:space="preserve">PICOC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Element</w:t>
            </w:r>
          </w:p>
        </w:tc>
        <w:tc>
          <w:tcPr>
            <w:tcW w:type="dxa" w:w="260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RQ1</w:t>
            </w:r>
          </w:p>
        </w:tc>
        <w:tc>
          <w:tcPr>
            <w:tcW w:type="dxa" w:w="260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RQ2</w:t>
            </w:r>
          </w:p>
        </w:tc>
        <w:tc>
          <w:tcPr>
            <w:tcW w:type="dxa" w:w="260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RQ3</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Population</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Quantum software systems and projects</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Quantum software systems being deployed</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Organisations / teams developing quantum software</w:t>
            </w:r>
          </w:p>
        </w:tc>
      </w:tr>
      <w:tr>
        <w:tc>
          <w:tcPr>
            <w:tcW w:type="dxa" w:w="15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Intervention</w:t>
            </w:r>
          </w:p>
        </w:tc>
        <w:tc>
          <w:tcPr>
            <w:tcW w:type="dxa" w:w="2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Quantum DevOps practices</w:t>
            </w:r>
          </w:p>
        </w:tc>
        <w:tc>
          <w:tcPr>
            <w:tcW w:type="dxa" w:w="2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CI/CD pipelines for quantum software</w:t>
            </w:r>
          </w:p>
        </w:tc>
        <w:tc>
          <w:tcPr>
            <w:tcW w:type="dxa" w:w="2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Adoption of standard DevOps practices</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Comparison</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Standard (classical) DevOps practices</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Classical CI/CD pipelines</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Successful adoption in classical SE</w:t>
            </w:r>
          </w:p>
        </w:tc>
      </w:tr>
      <w:tr>
        <w:tc>
          <w:tcPr>
            <w:tcW w:type="dxa" w:w="15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Outcome</w:t>
            </w:r>
          </w:p>
        </w:tc>
        <w:tc>
          <w:tcPr>
            <w:tcW w:type="dxa" w:w="2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Identified differences in practice, lifecycle, tooling, and theory</w:t>
            </w:r>
          </w:p>
        </w:tc>
        <w:tc>
          <w:tcPr>
            <w:tcW w:type="dxa" w:w="2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Identified technical and process challenges</w:t>
            </w:r>
          </w:p>
        </w:tc>
        <w:tc>
          <w:tcPr>
            <w:tcW w:type="dxa" w:w="2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Identified socio-technical barriers</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Context</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Hybrid quantum-classical software systems, NISQ era</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Cloud-deployed quantum services and hybrid pipelines</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Industry and academia, 2020–2026</w:t>
            </w:r>
          </w:p>
        </w:tc>
      </w:tr>
    </w:tbl>
    <w:p>
      <w:pPr>
        <w:spacing w:after="120"/>
      </w:pPr>
      <w:r>
        <w:t xml:space="preserve"/>
      </w:r>
    </w:p>
    <w:p>
      <w:pPr>
        <w:pStyle w:val="Heading2"/>
        <w:spacing w:after="160" w:before="280"/>
      </w:pPr>
      <w:r>
        <w:t xml:space="preserve">1.4 Contributions</w:t>
      </w:r>
    </w:p>
    <w:p>
      <w:pPr>
        <w:spacing w:after="120" w:line="300"/>
        <w:jc w:val="both"/>
      </w:pPr>
      <w:r>
        <w:rPr>
          <w:sz w:val="22"/>
          <w:szCs w:val="22"/>
        </w:rPr>
        <w:t xml:space="preserve">This review makes the following contributions:</w:t>
      </w:r>
    </w:p>
    <w:p>
      <w:pPr>
        <w:pStyle w:val="ListParagraph"/>
        <w:numPr>
          <w:ilvl w:val="0"/>
          <w:numId w:val="2"/>
        </w:numPr>
        <w:spacing w:after="80" w:line="280"/>
      </w:pPr>
      <w:r>
        <w:rPr>
          <w:sz w:val="22"/>
          <w:szCs w:val="22"/>
        </w:rPr>
        <w:t xml:space="preserve">A formal review protocol developed in accordance with the Kitchenham &amp; Charters (2007) guidelines.</w:t>
      </w:r>
    </w:p>
    <w:p>
      <w:pPr>
        <w:pStyle w:val="ListParagraph"/>
        <w:numPr>
          <w:ilvl w:val="0"/>
          <w:numId w:val="2"/>
        </w:numPr>
        <w:spacing w:after="80" w:line="280"/>
      </w:pPr>
      <w:r>
        <w:rPr>
          <w:sz w:val="22"/>
          <w:szCs w:val="22"/>
        </w:rPr>
        <w:t xml:space="preserve">A reproducible audit trail from 805 initial records to 36 included primary studies, with an explicit PRISMA-style flow.</w:t>
      </w:r>
    </w:p>
    <w:p>
      <w:pPr>
        <w:pStyle w:val="ListParagraph"/>
        <w:numPr>
          <w:ilvl w:val="0"/>
          <w:numId w:val="2"/>
        </w:numPr>
        <w:spacing w:after="80" w:line="280"/>
      </w:pPr>
      <w:r>
        <w:rPr>
          <w:sz w:val="22"/>
          <w:szCs w:val="22"/>
        </w:rPr>
        <w:t xml:space="preserve">A quality assessment of all 36 included studies using a five-item instrument adapted from Kitchenham &amp; Charters Table 5.</w:t>
      </w:r>
    </w:p>
    <w:p>
      <w:pPr>
        <w:pStyle w:val="ListParagraph"/>
        <w:numPr>
          <w:ilvl w:val="0"/>
          <w:numId w:val="2"/>
        </w:numPr>
        <w:spacing w:after="80" w:line="280"/>
      </w:pPr>
      <w:r>
        <w:rPr>
          <w:sz w:val="22"/>
          <w:szCs w:val="22"/>
        </w:rPr>
        <w:t xml:space="preserve">A thematic synthesis structured around the three research questions, including a comparative analysis of quantum DevOps along five identified dimensions.</w:t>
      </w:r>
    </w:p>
    <w:p>
      <w:pPr>
        <w:pStyle w:val="ListParagraph"/>
        <w:numPr>
          <w:ilvl w:val="0"/>
          <w:numId w:val="2"/>
        </w:numPr>
        <w:spacing w:after="80" w:line="280"/>
      </w:pPr>
      <w:r>
        <w:rPr>
          <w:sz w:val="22"/>
          <w:szCs w:val="22"/>
        </w:rPr>
        <w:t xml:space="preserve">A taxonomy of CI/CD challenges and adoption barriers grounded in the included evidence.</w:t>
      </w:r>
    </w:p>
    <w:p>
      <w:pPr>
        <w:pStyle w:val="ListParagraph"/>
        <w:numPr>
          <w:ilvl w:val="0"/>
          <w:numId w:val="2"/>
        </w:numPr>
        <w:spacing w:after="80" w:line="280"/>
      </w:pPr>
      <w:r>
        <w:rPr>
          <w:sz w:val="22"/>
          <w:szCs w:val="22"/>
        </w:rPr>
        <w:t xml:space="preserve">A clearly articulated set of five knowledge gaps.</w:t>
      </w:r>
    </w:p>
    <w:p>
      <w:pPr>
        <w:pStyle w:val="ListParagraph"/>
        <w:numPr>
          <w:ilvl w:val="0"/>
          <w:numId w:val="2"/>
        </w:numPr>
        <w:spacing w:after="80" w:line="280"/>
      </w:pPr>
      <w:r>
        <w:rPr>
          <w:sz w:val="22"/>
          <w:szCs w:val="22"/>
        </w:rPr>
        <w:t xml:space="preserve">A candidate theoretical contribution — the Quantum DevOps Adaptation Theory (Q-DAT) — proposed for future empirical validation.</w:t>
      </w:r>
    </w:p>
    <w:p>
      <w:pPr>
        <w:pStyle w:val="Heading2"/>
        <w:spacing w:after="160" w:before="280"/>
      </w:pPr>
      <w:r>
        <w:t xml:space="preserve">1.5 Structure of the Report</w:t>
      </w:r>
    </w:p>
    <w:p>
      <w:pPr>
        <w:spacing w:after="120" w:line="300"/>
        <w:jc w:val="both"/>
      </w:pPr>
      <w:r>
        <w:rPr>
          <w:sz w:val="22"/>
          <w:szCs w:val="22"/>
        </w:rPr>
        <w:t xml:space="preserve">The report follows the structure recommended in Kitchenham &amp; Charters' Table 8. Section 2 specifies the review protocol. Section 3 reports the conduct of the review including search execution, study selection, quality assessment, and data extraction. Section 4 presents the synthesis organised by research question. Section 5 identifies and articulates the knowledge gaps. Section 6 proposes the candidate theoretical contribution. Section 7 discusses threats to validity and limitations. Section 8 concludes with implications for research and practice. Appendices contain the full lists of included and excluded studies and the data-extraction summaries.</w:t>
      </w:r>
    </w:p>
    <w:p>
      <w:r>
        <w:br w:type="page"/>
      </w:r>
    </w:p>
    <w:p>
      <w:pPr>
        <w:pStyle w:val="Heading1"/>
        <w:spacing w:after="200" w:before="360"/>
      </w:pPr>
      <w:r>
        <w:t xml:space="preserve">2. Review Protocol</w:t>
      </w:r>
    </w:p>
    <w:p>
      <w:pPr>
        <w:spacing w:after="120" w:line="300"/>
        <w:jc w:val="both"/>
      </w:pPr>
      <w:r>
        <w:rPr>
          <w:sz w:val="22"/>
          <w:szCs w:val="22"/>
        </w:rPr>
        <w:t xml:space="preserve">Following Kitchenham &amp; Charters §5.4, a review protocol was developed prior to conducting the review. The protocol specified the research questions, search strategy, inclusion and exclusion criteria, study selection procedure, quality assessment instrument, data extraction strategy, and synthesis approach. The protocol was reviewed and approved before screening began. This section reports the protocol as planned; deviations encountered during execution are explicitly noted in Section 3.</w:t>
      </w:r>
    </w:p>
    <w:p>
      <w:pPr>
        <w:pStyle w:val="Heading2"/>
        <w:spacing w:after="160" w:before="280"/>
      </w:pPr>
      <w:r>
        <w:t xml:space="preserve">2.1 Background and Research Questions</w:t>
      </w:r>
    </w:p>
    <w:p>
      <w:pPr>
        <w:spacing w:after="120" w:line="300"/>
        <w:jc w:val="both"/>
      </w:pPr>
      <w:r>
        <w:rPr>
          <w:sz w:val="22"/>
          <w:szCs w:val="22"/>
        </w:rPr>
        <w:t xml:space="preserve">The background and research questions are stated in Section 1.1 and 1.3 above. The PICOC decomposition (Section 1.3) was used to derive search terms and to guide data extraction.</w:t>
      </w:r>
    </w:p>
    <w:p>
      <w:pPr>
        <w:pStyle w:val="Heading2"/>
        <w:spacing w:after="160" w:before="280"/>
      </w:pPr>
      <w:r>
        <w:t xml:space="preserve">2.2 Search Strategy</w:t>
      </w:r>
    </w:p>
    <w:p>
      <w:pPr>
        <w:spacing w:after="120" w:line="300"/>
        <w:jc w:val="both"/>
      </w:pPr>
      <w:r>
        <w:rPr>
          <w:sz w:val="22"/>
          <w:szCs w:val="22"/>
        </w:rPr>
        <w:t xml:space="preserve">Following Kitchenham &amp; Charters §6.1.1, the search strategy was iterative and combined automated database searches with manual searches and citation chasing. The strategy was developed by deriving synonyms, abbreviations, and alternative spellings for each PICOC element and combining them with Boolean operators.</w:t>
      </w:r>
    </w:p>
    <w:p>
      <w:pPr>
        <w:pStyle w:val="Heading3"/>
        <w:spacing w:after="120" w:before="220"/>
      </w:pPr>
      <w:r>
        <w:t xml:space="preserve">Search String</w:t>
      </w:r>
    </w:p>
    <w:p>
      <w:pPr>
        <w:spacing w:after="120" w:line="300"/>
        <w:jc w:val="both"/>
      </w:pPr>
      <w:r>
        <w:rPr>
          <w:sz w:val="22"/>
          <w:szCs w:val="22"/>
        </w:rPr>
        <w:t xml:space="preserve">The search string was constructed from four term-groups joined with AND. Within each group, synonyms were joined with OR:</w:t>
      </w:r>
    </w:p>
    <w:p>
      <w:pPr>
        <w:spacing w:after="120" w:line="300"/>
        <w:jc w:val="both"/>
      </w:pPr>
      <w:r>
        <w:rPr>
          <w:i/>
          <w:iCs/>
          <w:sz w:val="22"/>
          <w:szCs w:val="22"/>
        </w:rPr>
        <w:t xml:space="preserve">Group 1 — quantum context:</w:t>
      </w:r>
    </w:p>
    <w:p>
      <w:pPr>
        <w:spacing w:after="120" w:line="300"/>
        <w:jc w:val="both"/>
      </w:pPr>
      <w:r>
        <w:rPr>
          <w:sz w:val="22"/>
          <w:szCs w:val="22"/>
        </w:rPr>
        <w:t xml:space="preserve">("quantum software" OR "quantum computing" OR "quantum service" OR "quantum algorithm" OR "quantum application" OR "hybrid quantum")</w:t>
      </w:r>
    </w:p>
    <w:p>
      <w:pPr>
        <w:spacing w:after="120" w:line="300"/>
        <w:jc w:val="both"/>
      </w:pPr>
      <w:r>
        <w:rPr>
          <w:i/>
          <w:iCs/>
          <w:sz w:val="22"/>
          <w:szCs w:val="22"/>
        </w:rPr>
        <w:t xml:space="preserve">Group 2 — DevOps / CI-CD practice:</w:t>
      </w:r>
    </w:p>
    <w:p>
      <w:pPr>
        <w:spacing w:after="120" w:line="300"/>
        <w:jc w:val="both"/>
      </w:pPr>
      <w:r>
        <w:rPr>
          <w:sz w:val="22"/>
          <w:szCs w:val="22"/>
        </w:rPr>
        <w:t xml:space="preserve">(DevOps OR "continuous integration" OR "CI/CD" OR "continuous deployment" OR "continuous delivery" OR "deployment pipeline" OR "workflow automation" OR "testing pipeline")</w:t>
      </w:r>
    </w:p>
    <w:p>
      <w:pPr>
        <w:spacing w:after="120" w:line="300"/>
        <w:jc w:val="both"/>
      </w:pPr>
      <w:r>
        <w:rPr>
          <w:i/>
          <w:iCs/>
          <w:sz w:val="22"/>
          <w:szCs w:val="22"/>
        </w:rPr>
        <w:t xml:space="preserve">Group 3 — software engineering scope:</w:t>
      </w:r>
    </w:p>
    <w:p>
      <w:pPr>
        <w:spacing w:after="120" w:line="300"/>
        <w:jc w:val="both"/>
      </w:pPr>
      <w:r>
        <w:rPr>
          <w:sz w:val="22"/>
          <w:szCs w:val="22"/>
        </w:rPr>
        <w:t xml:space="preserve">("software engineering" OR "software development" OR "software lifecycle" OR "software testing" OR "software architecture" OR "software process")</w:t>
      </w:r>
    </w:p>
    <w:p>
      <w:pPr>
        <w:spacing w:after="120" w:line="300"/>
        <w:jc w:val="both"/>
      </w:pPr>
      <w:r>
        <w:rPr>
          <w:i/>
          <w:iCs/>
          <w:sz w:val="22"/>
          <w:szCs w:val="22"/>
        </w:rPr>
        <w:t xml:space="preserve">Group 4 — date filter:</w:t>
      </w:r>
    </w:p>
    <w:p>
      <w:pPr>
        <w:spacing w:after="120" w:line="300"/>
        <w:jc w:val="both"/>
      </w:pPr>
      <w:r>
        <w:rPr>
          <w:sz w:val="22"/>
          <w:szCs w:val="22"/>
        </w:rPr>
        <w:t xml:space="preserve">publication year &gt;= 2020</w:t>
      </w:r>
    </w:p>
    <w:p>
      <w:pPr>
        <w:spacing w:after="120" w:line="300"/>
        <w:jc w:val="both"/>
      </w:pPr>
      <w:r>
        <w:rPr>
          <w:sz w:val="22"/>
          <w:szCs w:val="22"/>
        </w:rPr>
        <w:t xml:space="preserve">Note that not every record needs to match all four groups simultaneously to be of interest; pilot searches showed that requiring matches in groups 1 and (2 or 3) gave the best balance of recall and precision.</w:t>
      </w:r>
    </w:p>
    <w:p>
      <w:pPr>
        <w:pStyle w:val="Heading3"/>
        <w:spacing w:after="120" w:before="220"/>
      </w:pPr>
      <w:r>
        <w:t xml:space="preserve">Databases and Sources</w:t>
      </w:r>
    </w:p>
    <w:p>
      <w:pPr>
        <w:spacing w:after="120" w:line="300"/>
        <w:jc w:val="both"/>
      </w:pPr>
      <w:r>
        <w:rPr>
          <w:sz w:val="22"/>
          <w:szCs w:val="22"/>
        </w:rPr>
        <w:t xml:space="preserve">Following Brereton et al.'s (2007) §6.1.5 recommendation that no single database is sufficient, the following sources were searched: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Source</w:t>
            </w:r>
          </w:p>
        </w:tc>
        <w:tc>
          <w:tcPr>
            <w:tcW w:type="dxa" w:w="312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Type</w:t>
            </w:r>
          </w:p>
        </w:tc>
        <w:tc>
          <w:tcPr>
            <w:tcW w:type="dxa" w:w="312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Documentation</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IEEE Xplore</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Digital library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Search via Zotero connector; date-restricted 2020–2026</w:t>
            </w:r>
          </w:p>
        </w:tc>
      </w:tr>
      <w:tr>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ACM Digital Library</w:t>
            </w:r>
          </w:p>
        </w:tc>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Digital library</w:t>
            </w:r>
          </w:p>
        </w:tc>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Search via Zotero connector; date-restricted 2020–2026</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ScienceDirect / Elsevier</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Digital library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Includes JSS, IST, FGCS — known QSE venues</w:t>
            </w:r>
          </w:p>
        </w:tc>
      </w:tr>
      <w:tr>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SpringerLink</w:t>
            </w:r>
          </w:p>
        </w:tc>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Digital library</w:t>
            </w:r>
          </w:p>
        </w:tc>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Includes Cluster Computing, EMSE, ASE, SQJ, SPE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Wiley Online Library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Digital library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Includes IET Software, SP&amp;E, Engineering Reports, Expert Systems</w:t>
            </w:r>
          </w:p>
        </w:tc>
      </w:tr>
      <w:tr>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Google Scholar</w:t>
            </w:r>
          </w:p>
        </w:tc>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Citation index</w:t>
            </w:r>
          </w:p>
        </w:tc>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Used for citation chasing and grey-literature checks</w:t>
            </w:r>
          </w:p>
        </w:tc>
      </w:tr>
    </w:tbl>
    <w:p>
      <w:pPr>
        <w:spacing w:after="120"/>
      </w:pPr>
      <w:r>
        <w:t xml:space="preserve"/>
      </w:r>
    </w:p>
    <w:p>
      <w:pPr>
        <w:pStyle w:val="Heading3"/>
        <w:spacing w:after="120" w:before="220"/>
      </w:pPr>
      <w:r>
        <w:t xml:space="preserve">Manual Search and Citation Chasing</w:t>
      </w:r>
    </w:p>
    <w:p>
      <w:pPr>
        <w:spacing w:after="120" w:line="300"/>
        <w:jc w:val="both"/>
      </w:pPr>
      <w:r>
        <w:rPr>
          <w:sz w:val="22"/>
          <w:szCs w:val="22"/>
        </w:rPr>
        <w:t xml:space="preserve">In addition to the automated searches, the reference lists of the most relevant identified studies (e.g. Murillo et al., 2025; Akbar et al., 2023; Dwivedi et al., 2024) were checked for additional candidate primary studies (backward citation chasing). Forward citation chasing — checking which subsequent papers cite the foundational paper Gheorghe-Pop et al. (2020) — was also performed.</w:t>
      </w:r>
    </w:p>
    <w:p>
      <w:pPr>
        <w:pStyle w:val="Heading2"/>
        <w:spacing w:after="160" w:before="280"/>
      </w:pPr>
      <w:r>
        <w:t xml:space="preserve">2.3 Inclusion and Exclusion Criteria</w:t>
      </w:r>
    </w:p>
    <w:p>
      <w:pPr>
        <w:spacing w:after="120" w:line="300"/>
        <w:jc w:val="both"/>
      </w:pPr>
      <w:r>
        <w:rPr>
          <w:sz w:val="22"/>
          <w:szCs w:val="22"/>
        </w:rPr>
        <w:t xml:space="preserve">The criteria below were defined a priori (Kitchenham &amp; Charters §6.2.1) to govern primary-study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Inclusion criteria</w:t>
            </w:r>
          </w:p>
        </w:tc>
        <w:tc>
          <w:tcPr>
            <w:tcW w:type="dxa" w:w="468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Exclusion criteria</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IC1. Written in English</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EC1. Non-English publications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IC2. Peer-reviewed articles or clearly relevant scholarly papers</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EC2. Non-peer-reviewed material with no academic value</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IC3. Focuses on quantum software development or quantum software engineering</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EC3. Pure quantum physics or hardware papers with no software relevance</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IC4. Published between 2020 and 2026</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EC4. Published before 2020 unless needed for background only</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IC5. Discusses DevOps, CI/CD, workflow automation, testing pipelines, or closely related practices in a quantum context</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EC5. No meaningful connection to DevOps or software-engineering practice in a quantum context</w:t>
            </w:r>
          </w:p>
        </w:tc>
      </w:tr>
    </w:tbl>
    <w:p>
      <w:pPr>
        <w:spacing w:after="120"/>
      </w:pPr>
      <w:r>
        <w:t xml:space="preserve"/>
      </w:r>
    </w:p>
    <w:p>
      <w:pPr>
        <w:pStyle w:val="Heading2"/>
        <w:spacing w:after="160" w:before="280"/>
      </w:pPr>
      <w:r>
        <w:t xml:space="preserve">2.4 Study Selection Procedure</w:t>
      </w:r>
    </w:p>
    <w:p>
      <w:pPr>
        <w:spacing w:after="120" w:line="300"/>
        <w:jc w:val="both"/>
      </w:pPr>
      <w:r>
        <w:rPr>
          <w:sz w:val="22"/>
          <w:szCs w:val="22"/>
        </w:rPr>
        <w:t xml:space="preserve">Following Kitchenham &amp; Charters §6.2.2, study selection was a multi-stage process in which the criteria were applied progressively. As recommended in §6.2.3, this review was performed by a single researcher (PhD student) and therefore the following mitigations were planned: (a) a written protocol governing every decision, (b) a test-retest procedure at the full-text stage in which the screening was performed twice on independent passes and inclusion/exclusion decisions compared, and (c) supervisor cross-check of a random 20% sample of the included papers (planned).</w:t>
      </w:r>
    </w:p>
    <w:p>
      <w:pPr>
        <w:pStyle w:val="Heading2"/>
        <w:spacing w:after="160" w:before="280"/>
      </w:pPr>
      <w:r>
        <w:t xml:space="preserve">2.5 Quality Assessment Instrument</w:t>
      </w:r>
    </w:p>
    <w:p>
      <w:pPr>
        <w:spacing w:after="120" w:line="300"/>
        <w:jc w:val="both"/>
      </w:pPr>
      <w:r>
        <w:rPr>
          <w:sz w:val="22"/>
          <w:szCs w:val="22"/>
        </w:rPr>
        <w:t xml:space="preserve">Following Kitchenham &amp; Charters §6.3, a quality assessment (QA) instrument was developed to support data analysis and synthesis. Five items were selected from the broader set in Table 5 of the guidelines, chosen to be answerable for the full range of study types in the corpus (frameworks, surveys, position papers, empirical studies). Each item is scored on a three-level scale: 1.0 = yes/fully addressed; 0.5 = partly addressed; 0.0 = no/not addressed. The maximum possible score is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290"/>
        <w:gridCol w:w="4290"/>
      </w:tblGrid>
      <w:tr>
        <w:trPr>
          <w:tblHeader/>
        </w:trPr>
        <w:tc>
          <w:tcPr>
            <w:tcW w:type="dxa" w:w="78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Item</w:t>
            </w:r>
          </w:p>
        </w:tc>
        <w:tc>
          <w:tcPr>
            <w:tcW w:type="dxa" w:w="429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Question</w:t>
            </w:r>
          </w:p>
        </w:tc>
        <w:tc>
          <w:tcPr>
            <w:tcW w:type="dxa" w:w="429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Source / rationale</w:t>
            </w:r>
          </w:p>
        </w:tc>
      </w:tr>
      <w:tr>
        <w:tc>
          <w:tcPr>
            <w:tcW w:type="dxa" w:w="7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QA1</w:t>
            </w:r>
          </w:p>
        </w:tc>
        <w:tc>
          <w:tcPr>
            <w:tcW w:type="dxa" w:w="429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Are the aims of the study clearly stated?</w:t>
            </w:r>
          </w:p>
        </w:tc>
        <w:tc>
          <w:tcPr>
            <w:tcW w:type="dxa" w:w="429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Adapted from Kitchenham &amp; Charters Table 5 (Design)</w:t>
            </w:r>
          </w:p>
        </w:tc>
      </w:tr>
      <w:tr>
        <w:tc>
          <w:tcPr>
            <w:tcW w:type="dxa" w:w="7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QA2</w:t>
            </w:r>
          </w:p>
        </w:tc>
        <w:tc>
          <w:tcPr>
            <w:tcW w:type="dxa" w:w="429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Is the study context (population/intervention/setting) adequately described?</w:t>
            </w:r>
          </w:p>
        </w:tc>
        <w:tc>
          <w:tcPr>
            <w:tcW w:type="dxa" w:w="429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Adapted from Table 5 (Design)</w:t>
            </w:r>
          </w:p>
        </w:tc>
      </w:tr>
      <w:tr>
        <w:tc>
          <w:tcPr>
            <w:tcW w:type="dxa" w:w="7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QA3</w:t>
            </w:r>
          </w:p>
        </w:tc>
        <w:tc>
          <w:tcPr>
            <w:tcW w:type="dxa" w:w="429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Is the methodology appropriate for answering the research question?</w:t>
            </w:r>
          </w:p>
        </w:tc>
        <w:tc>
          <w:tcPr>
            <w:tcW w:type="dxa" w:w="429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Adapted from Table 5 (Conduct/Analysis)</w:t>
            </w:r>
          </w:p>
        </w:tc>
      </w:tr>
      <w:tr>
        <w:tc>
          <w:tcPr>
            <w:tcW w:type="dxa" w:w="7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QA4</w:t>
            </w:r>
          </w:p>
        </w:tc>
        <w:tc>
          <w:tcPr>
            <w:tcW w:type="dxa" w:w="429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Are the findings clearly stated and supported by reported evidence?</w:t>
            </w:r>
          </w:p>
        </w:tc>
        <w:tc>
          <w:tcPr>
            <w:tcW w:type="dxa" w:w="429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Adapted from Table 5 (Analysis/Conclusions)</w:t>
            </w:r>
          </w:p>
        </w:tc>
      </w:tr>
      <w:tr>
        <w:tc>
          <w:tcPr>
            <w:tcW w:type="dxa" w:w="7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QA5</w:t>
            </w:r>
          </w:p>
        </w:tc>
        <w:tc>
          <w:tcPr>
            <w:tcW w:type="dxa" w:w="429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Are limitations / threats to validity discussed?</w:t>
            </w:r>
          </w:p>
        </w:tc>
        <w:tc>
          <w:tcPr>
            <w:tcW w:type="dxa" w:w="429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Adapted from Table 5 (Conclusions)</w:t>
            </w:r>
          </w:p>
        </w:tc>
      </w:tr>
    </w:tbl>
    <w:p>
      <w:pPr>
        <w:spacing w:after="120"/>
      </w:pPr>
      <w:r>
        <w:t xml:space="preserve"/>
      </w:r>
    </w:p>
    <w:p>
      <w:pPr>
        <w:spacing w:after="120" w:line="300"/>
        <w:jc w:val="both"/>
      </w:pPr>
      <w:r>
        <w:rPr>
          <w:sz w:val="22"/>
          <w:szCs w:val="22"/>
        </w:rPr>
        <w:t xml:space="preserve">QA scores were used in Section 4 to weight evidence strength during synthesis (high-QA papers given more weight when claims conflict) and in Section 7 for sensitivity analysis. They were not used as inclusion gates — that is, no paper was excluded purely on QA score, in line with Kitchenham &amp; Charters' caution that quality scoring is one input to synthesis rather than a binary filter.</w:t>
      </w:r>
    </w:p>
    <w:p>
      <w:pPr>
        <w:pStyle w:val="Heading2"/>
        <w:spacing w:after="160" w:before="280"/>
      </w:pPr>
      <w:r>
        <w:t xml:space="preserve">2.6 Data Extraction</w:t>
      </w:r>
    </w:p>
    <w:p>
      <w:pPr>
        <w:spacing w:after="120" w:line="300"/>
        <w:jc w:val="both"/>
      </w:pPr>
      <w:r>
        <w:rPr>
          <w:sz w:val="22"/>
          <w:szCs w:val="22"/>
        </w:rPr>
        <w:t xml:space="preserve">For each included primary study the following data were extracted into a structured form (Kitchenham &amp; Charters §6.4):</w:t>
      </w:r>
    </w:p>
    <w:p>
      <w:pPr>
        <w:pStyle w:val="ListParagraph"/>
        <w:numPr>
          <w:ilvl w:val="0"/>
          <w:numId w:val="2"/>
        </w:numPr>
        <w:spacing w:after="80" w:line="280"/>
      </w:pPr>
      <w:r>
        <w:rPr>
          <w:sz w:val="22"/>
          <w:szCs w:val="22"/>
        </w:rPr>
        <w:t xml:space="preserve">Bibliographic data: authors, year, venue, publication type.</w:t>
      </w:r>
    </w:p>
    <w:p>
      <w:pPr>
        <w:pStyle w:val="ListParagraph"/>
        <w:numPr>
          <w:ilvl w:val="0"/>
          <w:numId w:val="2"/>
        </w:numPr>
        <w:spacing w:after="80" w:line="280"/>
      </w:pPr>
      <w:r>
        <w:rPr>
          <w:sz w:val="22"/>
          <w:szCs w:val="22"/>
        </w:rPr>
        <w:t xml:space="preserve">Study design: type (e.g. survey, framework, empirical, case study, position).</w:t>
      </w:r>
    </w:p>
    <w:p>
      <w:pPr>
        <w:pStyle w:val="ListParagraph"/>
        <w:numPr>
          <w:ilvl w:val="0"/>
          <w:numId w:val="2"/>
        </w:numPr>
        <w:spacing w:after="80" w:line="280"/>
      </w:pPr>
      <w:r>
        <w:rPr>
          <w:sz w:val="22"/>
          <w:szCs w:val="22"/>
        </w:rPr>
        <w:t xml:space="preserve">Quantum context (population element).</w:t>
      </w:r>
    </w:p>
    <w:p>
      <w:pPr>
        <w:pStyle w:val="ListParagraph"/>
        <w:numPr>
          <w:ilvl w:val="0"/>
          <w:numId w:val="2"/>
        </w:numPr>
        <w:spacing w:after="80" w:line="280"/>
      </w:pPr>
      <w:r>
        <w:rPr>
          <w:sz w:val="22"/>
          <w:szCs w:val="22"/>
        </w:rPr>
        <w:t xml:space="preserve">Intervention / approach proposed or studied.</w:t>
      </w:r>
    </w:p>
    <w:p>
      <w:pPr>
        <w:pStyle w:val="ListParagraph"/>
        <w:numPr>
          <w:ilvl w:val="0"/>
          <w:numId w:val="2"/>
        </w:numPr>
        <w:spacing w:after="80" w:line="280"/>
      </w:pPr>
      <w:r>
        <w:rPr>
          <w:sz w:val="22"/>
          <w:szCs w:val="22"/>
        </w:rPr>
        <w:t xml:space="preserve">Comparison (if any) to classical DevOps or other quantum approaches.</w:t>
      </w:r>
    </w:p>
    <w:p>
      <w:pPr>
        <w:pStyle w:val="ListParagraph"/>
        <w:numPr>
          <w:ilvl w:val="0"/>
          <w:numId w:val="2"/>
        </w:numPr>
        <w:spacing w:after="80" w:line="280"/>
      </w:pPr>
      <w:r>
        <w:rPr>
          <w:sz w:val="22"/>
          <w:szCs w:val="22"/>
        </w:rPr>
        <w:t xml:space="preserve">Outcomes: results, contributions, claimed validation evidence.</w:t>
      </w:r>
    </w:p>
    <w:p>
      <w:pPr>
        <w:pStyle w:val="ListParagraph"/>
        <w:numPr>
          <w:ilvl w:val="0"/>
          <w:numId w:val="2"/>
        </w:numPr>
        <w:spacing w:after="80" w:line="280"/>
      </w:pPr>
      <w:r>
        <w:rPr>
          <w:sz w:val="22"/>
          <w:szCs w:val="22"/>
        </w:rPr>
        <w:t xml:space="preserve">Quality assessment scores QA1–QA5.</w:t>
      </w:r>
    </w:p>
    <w:p>
      <w:pPr>
        <w:pStyle w:val="ListParagraph"/>
        <w:numPr>
          <w:ilvl w:val="0"/>
          <w:numId w:val="2"/>
        </w:numPr>
        <w:spacing w:after="80" w:line="280"/>
      </w:pPr>
      <w:r>
        <w:rPr>
          <w:sz w:val="22"/>
          <w:szCs w:val="22"/>
        </w:rPr>
        <w:t xml:space="preserve">Mapping to RQ1, RQ2, RQ3 (each paper may map to multiple RQs).</w:t>
      </w:r>
    </w:p>
    <w:p>
      <w:pPr>
        <w:pStyle w:val="ListParagraph"/>
        <w:numPr>
          <w:ilvl w:val="0"/>
          <w:numId w:val="2"/>
        </w:numPr>
        <w:spacing w:after="80" w:line="280"/>
      </w:pPr>
      <w:r>
        <w:rPr>
          <w:sz w:val="22"/>
          <w:szCs w:val="22"/>
        </w:rPr>
        <w:t xml:space="preserve">Relevance tier: High (direct DevOps/CI-CD focus) or Moderate (broader QSE relevance).</w:t>
      </w:r>
    </w:p>
    <w:p>
      <w:pPr>
        <w:pStyle w:val="ListParagraph"/>
        <w:numPr>
          <w:ilvl w:val="0"/>
          <w:numId w:val="2"/>
        </w:numPr>
        <w:spacing w:after="80" w:line="280"/>
      </w:pPr>
      <w:r>
        <w:rPr>
          <w:sz w:val="22"/>
          <w:szCs w:val="22"/>
        </w:rPr>
        <w:t xml:space="preserve">Free-text contribution summary.</w:t>
      </w:r>
    </w:p>
    <w:p>
      <w:pPr>
        <w:pStyle w:val="Heading2"/>
        <w:spacing w:after="160" w:before="280"/>
      </w:pPr>
      <w:r>
        <w:t xml:space="preserve">2.7 Synthesis Strategy</w:t>
      </w:r>
    </w:p>
    <w:p>
      <w:pPr>
        <w:spacing w:after="120" w:line="300"/>
        <w:jc w:val="both"/>
      </w:pPr>
      <w:r>
        <w:rPr>
          <w:sz w:val="22"/>
          <w:szCs w:val="22"/>
        </w:rPr>
        <w:t xml:space="preserve">Given the heterogeneous nature of the expected corpus — frameworks, surveys, position papers, empirical case studies — quantitative meta-analysis was not feasible. Following Kitchenham &amp; Charters §6.5.1, a descriptive (narrative) synthesis was used. For each RQ, the relevant subset of papers was tabulated, themes were extracted from each paper independently, then themes were cross-validated across multiple sources. Where empirical data were available (notably P32 prioritised challenges and P35 SEM adoption study), these were given precedence over position-paper assertions. Where studies disagreed, the disagreement was noted explicitly. Following §6.5.4 of the guidelines, a line-of-argument synthesis was used when integrating findings across the entire corpus.</w:t>
      </w:r>
    </w:p>
    <w:p>
      <w:pPr>
        <w:pStyle w:val="Heading2"/>
        <w:spacing w:after="160" w:before="280"/>
      </w:pPr>
      <w:r>
        <w:t xml:space="preserve">2.8 Dissemination Strategy</w:t>
      </w:r>
    </w:p>
    <w:p>
      <w:pPr>
        <w:spacing w:after="120" w:line="300"/>
        <w:jc w:val="both"/>
      </w:pPr>
      <w:r>
        <w:rPr>
          <w:sz w:val="22"/>
          <w:szCs w:val="22"/>
        </w:rPr>
        <w:t xml:space="preserve">Following Kitchenham &amp; Charters §7.1, the dissemination strategy is: (1) inclusion of the review in the present interdisciplinary project report; (2) potential future submission of a condensed version as a journal article (e.g. to Information and Software Technology, which the guidelines note is willing to publish SLRs).</w:t>
      </w:r>
    </w:p>
    <w:p>
      <w:pPr>
        <w:pStyle w:val="Heading2"/>
        <w:spacing w:after="160" w:before="280"/>
      </w:pPr>
      <w:r>
        <w:t xml:space="preserve">2.9 Protocol Evaluation</w:t>
      </w:r>
    </w:p>
    <w:p>
      <w:pPr>
        <w:spacing w:after="120" w:line="300"/>
        <w:jc w:val="both"/>
      </w:pPr>
      <w:r>
        <w:rPr>
          <w:sz w:val="22"/>
          <w:szCs w:val="22"/>
        </w:rPr>
        <w:t xml:space="preserve">Per Kitchenham &amp; Charters §5.5, this protocol was reviewed by the project supervisor before screening commenced. The internal consistency of the protocol — that the search strings derive appropriately from the research questions, that the data extracted properly address the questions, and that the synthesis approach is appropriate to answer them — was checked and confirmed.</w:t>
      </w:r>
    </w:p>
    <w:p>
      <w:r>
        <w:br w:type="page"/>
      </w:r>
    </w:p>
    <w:p>
      <w:pPr>
        <w:pStyle w:val="Heading1"/>
        <w:spacing w:after="200" w:before="360"/>
      </w:pPr>
      <w:r>
        <w:t xml:space="preserve">3. Conducting the Review</w:t>
      </w:r>
    </w:p>
    <w:p>
      <w:pPr>
        <w:pStyle w:val="Heading2"/>
        <w:spacing w:after="160" w:before="280"/>
      </w:pPr>
      <w:r>
        <w:t xml:space="preserve">3.1 Search Execution</w:t>
      </w:r>
    </w:p>
    <w:p>
      <w:pPr>
        <w:spacing w:after="120" w:line="300"/>
        <w:jc w:val="both"/>
      </w:pPr>
      <w:r>
        <w:rPr>
          <w:sz w:val="22"/>
          <w:szCs w:val="22"/>
        </w:rPr>
        <w:t xml:space="preserve">Searches were executed according to the protocol. The retrieved records were imported into Zotero, which served as the bibliography-management tool (Kitchenham &amp; Charters §6.1.3). The combined corpus contained 805 records. The search was performed during the period of the project; the date of the final search was the 24th of April 2026.</w:t>
      </w:r>
    </w:p>
    <w:p>
      <w:pPr>
        <w:pStyle w:val="Heading2"/>
        <w:spacing w:after="160" w:before="280"/>
      </w:pPr>
      <w:r>
        <w:t xml:space="preserve">3.2 Selection Process</w:t>
      </w:r>
    </w:p>
    <w:p>
      <w:pPr>
        <w:spacing w:after="120" w:line="300"/>
        <w:jc w:val="both"/>
      </w:pPr>
      <w:r>
        <w:rPr>
          <w:sz w:val="22"/>
          <w:szCs w:val="22"/>
        </w:rPr>
        <w:t xml:space="preserve">Selection followed the multi-stage process specified in the protocol. Each stage explicitly recorded its decisions to enable a transparent audit trail.</w:t>
      </w:r>
    </w:p>
    <w:p>
      <w:pPr>
        <w:pStyle w:val="Heading3"/>
        <w:spacing w:after="120" w:before="220"/>
      </w:pPr>
      <w:r>
        <w:t xml:space="preserve">Stage 1 — Deduplication</w:t>
      </w:r>
    </w:p>
    <w:p>
      <w:pPr>
        <w:spacing w:after="120" w:line="300"/>
        <w:jc w:val="both"/>
      </w:pPr>
      <w:r>
        <w:rPr>
          <w:sz w:val="22"/>
          <w:szCs w:val="22"/>
        </w:rPr>
        <w:t xml:space="preserve">Zotero's built-in duplicate detector identified one exact duplicate. Subsequent normalisation of titles and DOIs revealed additional structural duplicates: 25 entries titled 'Index' and 7 entries titled 'Front Matter' originating from books that had been imported into the library. These were treated as duplicate non-content records and removed. A total of 32 records were eliminated at this stage, leaving 773 unique records (subsequently reduced to 772 after a manual sanity check).</w:t>
      </w:r>
    </w:p>
    <w:p>
      <w:pPr>
        <w:pStyle w:val="Heading3"/>
        <w:spacing w:after="120" w:before="220"/>
      </w:pPr>
      <w:r>
        <w:t xml:space="preserve">Stage 2 — Type Filtering</w:t>
      </w:r>
    </w:p>
    <w:p>
      <w:pPr>
        <w:spacing w:after="120" w:line="300"/>
        <w:jc w:val="both"/>
      </w:pPr>
      <w:r>
        <w:rPr>
          <w:sz w:val="22"/>
          <w:szCs w:val="22"/>
        </w:rPr>
        <w:t xml:space="preserve">The inclusion criterion IC2 ('peer-reviewed articles or clearly relevant scholarly papers') implies prioritisation of journal articles and conference papers. The library contained 146 books and 123 book sections, none of which were identified by the supervisor as needed for background-only inclusion under EC4. These 269 non-peer-reviewed items were removed at this stage, leaving 535 records (498 journal articles and 37 conference papers) for content screening. This decision is acknowledged as a methodological choice and discussed under threats to validity in Section 7.</w:t>
      </w:r>
    </w:p>
    <w:p>
      <w:pPr>
        <w:pStyle w:val="Heading3"/>
        <w:spacing w:after="120" w:before="220"/>
      </w:pPr>
      <w:r>
        <w:t xml:space="preserve">Stage 3 — Title and Abstract Screening</w:t>
      </w:r>
    </w:p>
    <w:p>
      <w:pPr>
        <w:spacing w:after="120" w:line="300"/>
        <w:jc w:val="both"/>
      </w:pPr>
      <w:r>
        <w:rPr>
          <w:sz w:val="22"/>
          <w:szCs w:val="22"/>
        </w:rPr>
        <w:t xml:space="preserve">Each remaining record was assessed against the five inclusion criteria using its title and abstract. As recommended in Kitchenham &amp; Charters §6.2.2, records were excluded only when they could be clearly excluded; borderline cases were retained for full-text screening. Records were excluded for: no quantum relevance (n = 384); no software-engineering relevance (n = 52); pure quantum hardware/physics with no software dimension (n = 6); and no meaningful DevOps or software-engineering connection (n = 42). 51 records survived to full-text screening.</w:t>
      </w:r>
    </w:p>
    <w:p>
      <w:pPr>
        <w:pStyle w:val="Heading3"/>
        <w:spacing w:after="120" w:before="220"/>
      </w:pPr>
      <w:r>
        <w:t xml:space="preserve">Stage 4 — Full-Text Screening</w:t>
      </w:r>
    </w:p>
    <w:p>
      <w:pPr>
        <w:spacing w:after="120" w:line="300"/>
        <w:jc w:val="both"/>
      </w:pPr>
      <w:r>
        <w:rPr>
          <w:sz w:val="22"/>
          <w:szCs w:val="22"/>
        </w:rPr>
        <w:t xml:space="preserve">Full PDFs were obtained for all 51 candidates. Each paper was read independently and assessed against the five criteria, with particular emphasis on whether it made a substantive contribution to one or more of the three RQs. Following the test-retest procedure planned in the protocol (Kitchenham &amp; Charters §6.2.3), the full-text screening was performed twice on independent passes. Both passes produced identical inclusion/exclusion decisions on all 51 papers, supporting the consistency of the screening criteria.</w:t>
      </w:r>
    </w:p>
    <w:p>
      <w:pPr>
        <w:spacing w:after="120" w:line="300"/>
        <w:jc w:val="both"/>
      </w:pPr>
      <w:r>
        <w:rPr>
          <w:sz w:val="22"/>
          <w:szCs w:val="22"/>
        </w:rPr>
        <w:t xml:space="preserve">15 papers were excluded at full-text. Reasons included: peripheral treatment of quantum (quantum used only as a backend tool); focus on post-quantum cryptography rather than quantum software development; correction or editorial papers without independent contribution; and overly general scope. The full list with reasons is given in Appendix A. 36 papers were included as the final corpus.</w:t>
      </w:r>
    </w:p>
    <w:p>
      <w:pPr>
        <w:pStyle w:val="Heading2"/>
        <w:spacing w:after="160" w:before="280"/>
      </w:pPr>
      <w:r>
        <w:t xml:space="preserve">3.3 PRISMA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Stage</w:t>
            </w:r>
          </w:p>
        </w:tc>
        <w:tc>
          <w:tcPr>
            <w:tcW w:type="dxa" w:w="312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Records included</w:t>
            </w:r>
          </w:p>
        </w:tc>
        <w:tc>
          <w:tcPr>
            <w:tcW w:type="dxa" w:w="312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Records excluded</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Identified through search</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805</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w:t>
            </w:r>
          </w:p>
        </w:tc>
      </w:tr>
      <w:tr>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After deduplication</w:t>
            </w:r>
          </w:p>
        </w:tc>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773</w:t>
            </w:r>
          </w:p>
        </w:tc>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32 duplicates / non-content</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After type filtering</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535</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269 books / book-sections</w:t>
            </w:r>
          </w:p>
        </w:tc>
      </w:tr>
      <w:tr>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After title/abstract screening</w:t>
            </w:r>
          </w:p>
        </w:tc>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51</w:t>
            </w:r>
          </w:p>
        </w:tc>
        <w:tc>
          <w:tcPr>
            <w:tcW w:type="dxa" w:w="312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484 not relevant</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After full-text screening (final)</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36</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15 excluded after reading</w:t>
            </w:r>
          </w:p>
        </w:tc>
      </w:tr>
    </w:tbl>
    <w:p>
      <w:pPr>
        <w:spacing w:after="120"/>
      </w:pPr>
      <w:r>
        <w:t xml:space="preserve"/>
      </w:r>
    </w:p>
    <w:p>
      <w:pPr>
        <w:pStyle w:val="Heading2"/>
        <w:spacing w:after="160" w:before="280"/>
      </w:pPr>
      <w:r>
        <w:t xml:space="preserve">3.4 Quality Assessment Results</w:t>
      </w:r>
    </w:p>
    <w:p>
      <w:pPr>
        <w:spacing w:after="120" w:line="300"/>
        <w:jc w:val="both"/>
      </w:pPr>
      <w:r>
        <w:rPr>
          <w:sz w:val="22"/>
          <w:szCs w:val="22"/>
        </w:rPr>
        <w:t xml:space="preserve">All 36 included papers were scored on the five-item QA instrument defined in Section 2.5. Per-paper scores are listed in Appendix B. The corpus QA-score distribution is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Statistic</w:t>
            </w:r>
          </w:p>
        </w:tc>
        <w:tc>
          <w:tcPr>
            <w:tcW w:type="dxa" w:w="468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Value</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Mean QA score</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4.21 / 5.0</w:t>
            </w:r>
          </w:p>
        </w:tc>
      </w:tr>
      <w:tr>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Minimum QA score</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3.0 / 5.0</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Maximum QA score</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5.0 / 5.0</w:t>
            </w:r>
          </w:p>
        </w:tc>
      </w:tr>
      <w:tr>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High-quality tier (≥ 4.0)</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25 papers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Acceptable tier (3.0–3.9)</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11 papers</w:t>
            </w:r>
          </w:p>
        </w:tc>
      </w:tr>
      <w:tr>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Low tier (&lt; 3.0)</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0 papers</w:t>
            </w:r>
          </w:p>
        </w:tc>
      </w:tr>
    </w:tbl>
    <w:p>
      <w:pPr>
        <w:spacing w:after="120"/>
      </w:pPr>
      <w:r>
        <w:t xml:space="preserve"/>
      </w:r>
    </w:p>
    <w:p>
      <w:pPr>
        <w:spacing w:after="120" w:line="300"/>
        <w:jc w:val="both"/>
      </w:pPr>
      <w:r>
        <w:rPr>
          <w:sz w:val="22"/>
          <w:szCs w:val="22"/>
        </w:rPr>
        <w:t xml:space="preserve">The corpus is of acceptable to high methodological quality. 25 of 36 papers (69%) reach the high-quality tier, 11 (31%) the acceptable tier, and none fall into the low tier. The strongest papers on the QA instrument (5.0/5.0) are the empirical studies P3, P15, P18, P25, P29, P32, P33, and P35; this is consistent with the expectation that empirical studies report aims, methods, findings, and limitations more rigorously than position papers. The lower-scoring papers (3.0–3.5/5.0) are primarily short workshop and vision papers; they remain in the corpus because they make distinctive conceptual contributions, but their claims are weighted accordingly during synthesis.</w:t>
      </w:r>
    </w:p>
    <w:p>
      <w:pPr>
        <w:pStyle w:val="Heading2"/>
        <w:spacing w:after="160" w:before="280"/>
      </w:pPr>
      <w:r>
        <w:t xml:space="preserve">3.5 Data Extraction</w:t>
      </w:r>
    </w:p>
    <w:p>
      <w:pPr>
        <w:spacing w:after="120" w:line="300"/>
        <w:jc w:val="both"/>
      </w:pPr>
      <w:r>
        <w:rPr>
          <w:sz w:val="22"/>
          <w:szCs w:val="22"/>
        </w:rPr>
        <w:t xml:space="preserve">Data extraction proceeded according to the form defined in Section 2.6. The full extraction is presented in Appendix B. As recommended for single-researcher SLRs (Kitchenham &amp; Charters §6.4.3), a test-retest procedure was applied: a random sample of 8 papers (≈22% of the included corpus) was re-extracted in a second pass after a one-week delay; agreement was 100% on bibliographic data, study type, and RQ mapping, and was within ±0.5 on aggregate QA score for all 8 papers, indicating acceptable extraction reliability.</w:t>
      </w:r>
    </w:p>
    <w:p>
      <w:pPr>
        <w:pStyle w:val="Heading2"/>
        <w:spacing w:after="160" w:before="280"/>
      </w:pPr>
      <w:r>
        <w:t xml:space="preserve">3.6 Lessons Learned in Conducting the Review</w:t>
      </w:r>
    </w:p>
    <w:p>
      <w:pPr>
        <w:spacing w:after="120" w:line="300"/>
        <w:jc w:val="both"/>
      </w:pPr>
      <w:r>
        <w:rPr>
          <w:sz w:val="22"/>
          <w:szCs w:val="22"/>
        </w:rPr>
        <w:t xml:space="preserve">Following Brereton et al.'s recommendations cited throughout Kitchenham &amp; Charters §6, the following lessons were observed during the conduct of this review:</w:t>
      </w:r>
    </w:p>
    <w:p>
      <w:pPr>
        <w:pStyle w:val="ListParagraph"/>
        <w:numPr>
          <w:ilvl w:val="0"/>
          <w:numId w:val="2"/>
        </w:numPr>
        <w:spacing w:after="80" w:line="280"/>
      </w:pPr>
      <w:r>
        <w:rPr>
          <w:sz w:val="22"/>
          <w:szCs w:val="22"/>
        </w:rPr>
        <w:t xml:space="preserve">Deduplication required manual inspection beyond the Zotero automated detector. Index/Front-Matter book pages were a source of structural noise that the automated detector did not flag.</w:t>
      </w:r>
    </w:p>
    <w:p>
      <w:pPr>
        <w:pStyle w:val="ListParagraph"/>
        <w:numPr>
          <w:ilvl w:val="0"/>
          <w:numId w:val="2"/>
        </w:numPr>
        <w:spacing w:after="80" w:line="280"/>
      </w:pPr>
      <w:r>
        <w:rPr>
          <w:sz w:val="22"/>
          <w:szCs w:val="22"/>
        </w:rPr>
        <w:t xml:space="preserve">Type filtering (removal of books and book sections) made a significant practical difference (269 records). The decision should be defended explicitly in the protocol because it materially reduces the candidate pool.</w:t>
      </w:r>
    </w:p>
    <w:p>
      <w:pPr>
        <w:pStyle w:val="ListParagraph"/>
        <w:numPr>
          <w:ilvl w:val="0"/>
          <w:numId w:val="2"/>
        </w:numPr>
        <w:spacing w:after="80" w:line="280"/>
      </w:pPr>
      <w:r>
        <w:rPr>
          <w:sz w:val="22"/>
          <w:szCs w:val="22"/>
        </w:rPr>
        <w:t xml:space="preserve">Abstract quality varied widely. Several abstracts mentioned 'quantum' or 'DevOps' only in passing; full-text reading was essential for borderline cases. This is consistent with Brereton et al.'s warning that 'the standard of IT and software engineering abstracts is too poor to rely on.'</w:t>
      </w:r>
    </w:p>
    <w:p>
      <w:pPr>
        <w:pStyle w:val="ListParagraph"/>
        <w:numPr>
          <w:ilvl w:val="0"/>
          <w:numId w:val="2"/>
        </w:numPr>
        <w:spacing w:after="80" w:line="280"/>
      </w:pPr>
      <w:r>
        <w:rPr>
          <w:sz w:val="22"/>
          <w:szCs w:val="22"/>
        </w:rPr>
        <w:t xml:space="preserve">The five-item QA instrument was sufficient to differentiate the corpus along quality lines without being unwieldy. A larger instrument would not have changed the synthesis materially.</w:t>
      </w:r>
    </w:p>
    <w:p>
      <w:r>
        <w:br w:type="page"/>
      </w:r>
    </w:p>
    <w:p>
      <w:pPr>
        <w:pStyle w:val="Heading1"/>
        <w:spacing w:after="200" w:before="360"/>
      </w:pPr>
      <w:r>
        <w:t xml:space="preserve">4. Synthesis</w:t>
      </w:r>
    </w:p>
    <w:p>
      <w:pPr>
        <w:pStyle w:val="Heading2"/>
        <w:spacing w:after="160" w:before="280"/>
      </w:pPr>
      <w:r>
        <w:t xml:space="preserve">4.1 Descriptive Overview of the Corpus</w:t>
      </w:r>
    </w:p>
    <w:p>
      <w:pPr>
        <w:spacing w:after="120" w:line="300"/>
        <w:jc w:val="both"/>
      </w:pPr>
      <w:r>
        <w:rPr>
          <w:sz w:val="22"/>
          <w:szCs w:val="22"/>
        </w:rPr>
        <w:t xml:space="preserve">The 36 included studies span 2020–2026. Publication frequency increases markedly over time: 2 papers in 2020, 1 in 2021, 2 in 2022, 1 in 2023, 14 in 2024, 11 in 2025, and 5 in 2026 (with 2026 still in progress at the time of this review).</w:t>
      </w:r>
    </w:p>
    <w:p>
      <w:pPr>
        <w:spacing w:after="120" w:line="300"/>
        <w:jc w:val="both"/>
      </w:pPr>
      <w:r>
        <w:rPr>
          <w:sz w:val="22"/>
          <w:szCs w:val="22"/>
        </w:rPr>
        <w:t xml:space="preserve">By study type, the corpus is composed approximately as follows:</w:t>
      </w:r>
    </w:p>
    <w:p>
      <w:pPr>
        <w:pStyle w:val="ListParagraph"/>
        <w:numPr>
          <w:ilvl w:val="0"/>
          <w:numId w:val="2"/>
        </w:numPr>
        <w:spacing w:after="80" w:line="280"/>
      </w:pPr>
      <w:r>
        <w:rPr>
          <w:sz w:val="22"/>
          <w:szCs w:val="22"/>
        </w:rPr>
        <w:t xml:space="preserve">Frameworks, tools, and architectures (concrete artefacts): 17 papers.</w:t>
      </w:r>
    </w:p>
    <w:p>
      <w:pPr>
        <w:pStyle w:val="ListParagraph"/>
        <w:numPr>
          <w:ilvl w:val="0"/>
          <w:numId w:val="2"/>
        </w:numPr>
        <w:spacing w:after="80" w:line="280"/>
      </w:pPr>
      <w:r>
        <w:rPr>
          <w:sz w:val="22"/>
          <w:szCs w:val="22"/>
        </w:rPr>
        <w:t xml:space="preserve">Surveys, SLRs, mapping studies, and roadmaps: 8 papers.</w:t>
      </w:r>
    </w:p>
    <w:p>
      <w:pPr>
        <w:pStyle w:val="ListParagraph"/>
        <w:numPr>
          <w:ilvl w:val="0"/>
          <w:numId w:val="2"/>
        </w:numPr>
        <w:spacing w:after="80" w:line="280"/>
      </w:pPr>
      <w:r>
        <w:rPr>
          <w:sz w:val="22"/>
          <w:szCs w:val="22"/>
        </w:rPr>
        <w:t xml:space="preserve">Empirical studies (industrial cases, mining studies, surveys with statistical analysis): 6 papers.</w:t>
      </w:r>
    </w:p>
    <w:p>
      <w:pPr>
        <w:pStyle w:val="ListParagraph"/>
        <w:numPr>
          <w:ilvl w:val="0"/>
          <w:numId w:val="2"/>
        </w:numPr>
        <w:spacing w:after="80" w:line="280"/>
      </w:pPr>
      <w:r>
        <w:rPr>
          <w:sz w:val="22"/>
          <w:szCs w:val="22"/>
        </w:rPr>
        <w:t xml:space="preserve">Position and vision papers: 5 papers.</w:t>
      </w:r>
    </w:p>
    <w:p>
      <w:pPr>
        <w:spacing w:after="120" w:line="300"/>
        <w:jc w:val="both"/>
      </w:pPr>
      <w:r>
        <w:rPr>
          <w:sz w:val="22"/>
          <w:szCs w:val="22"/>
        </w:rPr>
        <w:t xml:space="preserve">By relevance tier, 21 of 36 are High relevance and 15 are Moderate. By RQ coverage, 16 papers contribute to RQ1, 22 to RQ2, and 27 to RQ3, with substantial overlap (many papers addressing two or three RQs).</w:t>
      </w:r>
    </w:p>
    <w:p>
      <w:pPr>
        <w:pStyle w:val="Heading2"/>
        <w:spacing w:after="160" w:before="280"/>
      </w:pPr>
      <w:r>
        <w:t xml:space="preserve">4.2 RQ1 — How does quantum DevOps compare to standard DevOps?</w:t>
      </w:r>
    </w:p>
    <w:p>
      <w:pPr>
        <w:spacing w:after="120" w:line="300"/>
        <w:jc w:val="both"/>
      </w:pPr>
      <w:r>
        <w:rPr>
          <w:sz w:val="22"/>
          <w:szCs w:val="22"/>
        </w:rPr>
        <w:t xml:space="preserve">Sixteen of the 36 included studies engage directly with the comparison (P4, P6, P8, P10, P12, P14, P16, P18, P22, P23, P25, P27, P28, P29, P33, P34). The synthesis reveals five clear axes along which quantum DevOps differs from standard DevOps.</w:t>
      </w:r>
    </w:p>
    <w:p>
      <w:pPr>
        <w:pStyle w:val="Heading3"/>
        <w:spacing w:after="120" w:before="220"/>
      </w:pPr>
      <w:r>
        <w:t xml:space="preserve">4.2.1 Execution Semantics</w:t>
      </w:r>
    </w:p>
    <w:p>
      <w:pPr>
        <w:spacing w:after="120" w:line="300"/>
        <w:jc w:val="both"/>
      </w:pPr>
      <w:r>
        <w:rPr>
          <w:sz w:val="22"/>
          <w:szCs w:val="22"/>
        </w:rPr>
        <w:t xml:space="preserve">In classical DevOps, the unit of execution is deterministic: the same input produces the same output under the same environment. In quantum DevOps, execution is fundamentally probabilistic. Quantum programs return distributions of results rather than single values, and tests must be statistical rather than equality-based. Saxena et al. (P23, QA 3.5) explicitly include 'probabilistic testing' as a separate test category alongside unit, integration, and functional testing. Alfraihi et al. (P25, QA 5.0) reify this in their lifecycle model as a dedicated 'noise-aware testing' phase. Gheorghe-Pop et al. (P27, QA 3.5), in defining 'Quantum DevOps' itself, propose the central operation in a quantum DevOps cycle is the periodic reliability check of basic gates and computations on the target hardware — a concept with no direct analogue in classical DevOps.</w:t>
      </w:r>
    </w:p>
    <w:p>
      <w:pPr>
        <w:pStyle w:val="Heading3"/>
        <w:spacing w:after="120" w:before="220"/>
      </w:pPr>
      <w:r>
        <w:t xml:space="preserve">4.2.2 Testing Paradigm</w:t>
      </w:r>
    </w:p>
    <w:p>
      <w:pPr>
        <w:spacing w:after="120" w:line="300"/>
        <w:jc w:val="both"/>
      </w:pPr>
      <w:r>
        <w:rPr>
          <w:sz w:val="22"/>
          <w:szCs w:val="22"/>
        </w:rPr>
        <w:t xml:space="preserve">Classical CI relies on deterministic test oracles and on regression tests that compare outputs against known-good baselines. In quantum CI this approach breaks down: noise in the underlying hardware means even correct programs produce slightly different outputs from run to run. Wang et al. (P15, QA 5.0) demonstrate the use of quantum extreme learning machines for performance prediction in industrial software regression testing. Lau et al. (P26, QA 4.5) describe Qsyn, a quantum circuit synthesis framework that explicitly implements regression testing within a CI/CD pipeline. The corpus collectively suggests the testing paradigm in quantum DevOps must combine probabilistic statistical assertions, oracle-free testing strategies, and noise-aware tolerance bounds — a combination not standard in classical DevOps.</w:t>
      </w:r>
    </w:p>
    <w:p>
      <w:pPr>
        <w:pStyle w:val="Heading3"/>
        <w:spacing w:after="120" w:before="220"/>
      </w:pPr>
      <w:r>
        <w:t xml:space="preserve">4.2.3 Deployment Topology</w:t>
      </w:r>
    </w:p>
    <w:p>
      <w:pPr>
        <w:spacing w:after="120" w:line="300"/>
        <w:jc w:val="both"/>
      </w:pPr>
      <w:r>
        <w:rPr>
          <w:sz w:val="22"/>
          <w:szCs w:val="22"/>
        </w:rPr>
        <w:t xml:space="preserve">Classical applications deploy to homogeneous infrastructures: container orchestration platforms, virtual machines, or function-as-a-service backends. Quantum software must deploy across a heterogeneous topology that includes classical compute, quantum simulators, and (intermittently available, vendor-specific) physical quantum hardware. Stirbu et al. (P6, QA 4.5) propose Qubernetes as a unified Kubernetes-based execution platform that brings cloud-native principles to this heterogeneous topology. Nguyen et al. (P4, QA 4.5) propose a serverless quantum FaaS framework that automates backend selection and mitigates cold-start delays. Romero-Álvarez et al. (P29, QA 5.0) extend OpenAPI to support quantum service deployment. Across these studies a clear pattern emerges: deployment in quantum DevOps requires backend abstraction layers that classical DevOps does not need.</w:t>
      </w:r>
    </w:p>
    <w:p>
      <w:pPr>
        <w:pStyle w:val="Heading3"/>
        <w:spacing w:after="120" w:before="220"/>
      </w:pPr>
      <w:r>
        <w:t xml:space="preserve">4.2.4 Lifecycle Granularity</w:t>
      </w:r>
    </w:p>
    <w:p>
      <w:pPr>
        <w:spacing w:after="120" w:line="300"/>
        <w:jc w:val="both"/>
      </w:pPr>
      <w:r>
        <w:rPr>
          <w:sz w:val="22"/>
          <w:szCs w:val="22"/>
        </w:rPr>
        <w:t xml:space="preserve">Standard DevOps operates on a familiar lifecycle: plan, code, build, test, release, deploy, operate, monitor. Several included studies argue the quantum lifecycle requires either additional phases or fundamentally redefined ones. Khan et al. (P16, QA 3.5) propose a hybrid full-stack iterative model with explicit phases for orchestration, translation, execution, and interpretation. Alfraihi et al. (P25, QA 5.0) propose a six-phase lifecycle including formal modelling and noise-aware testing as separate first-class phases. Dwivedi et al. (P34, QA 4.0) survey the broader literature and confirm the Quantum Software Development Lifecycle is structurally distinct from classical SDLC. The corpus does not yet converge on a single canonical lifecycle model, but agrees the classical lifecycle is insufficient.</w:t>
      </w:r>
    </w:p>
    <w:p>
      <w:pPr>
        <w:pStyle w:val="Heading3"/>
        <w:spacing w:after="120" w:before="220"/>
      </w:pPr>
      <w:r>
        <w:t xml:space="preserve">4.2.5 Trust Boundaries</w:t>
      </w:r>
    </w:p>
    <w:p>
      <w:pPr>
        <w:spacing w:after="120" w:line="300"/>
        <w:jc w:val="both"/>
      </w:pPr>
      <w:r>
        <w:rPr>
          <w:sz w:val="22"/>
          <w:szCs w:val="22"/>
        </w:rPr>
        <w:t xml:space="preserve">Classical DevOps has well-understood trust boundaries: cloud providers run virtual machines that are essentially fungible, and the principal trust concerns are credentials, secrets, and supply-chain integrity. Quantum DevOps introduces qualitatively new trust concerns. Patel et al. (P19, QA 4.5), in their OpaQue framework, argue quantum cloud providers have unrestricted visibility into both the program and its outputs — a level of exposure with no parallel in classical cloud computing. Akbar et al. (P17, QA 4.5) propose Quantum Secure DevOps and identify thirteen distinct security challenges arising specifically when quantum-resistant security is integrated into CI/CD pipelines. Birgin and Celiktas (P24, QA 4.5) propose CI/CD validation gates for post-quantum cryptography transitions. The collective implication is trust and security in quantum DevOps require new pipeline primitives, not simply tightened versions of the classical ones.</w:t>
      </w:r>
    </w:p>
    <w:p>
      <w:pPr>
        <w:pStyle w:val="Heading3"/>
        <w:spacing w:after="120" w:before="220"/>
      </w:pPr>
      <w:r>
        <w:t xml:space="preserve">4.2.6 Synthesis</w:t>
      </w:r>
    </w:p>
    <w:p>
      <w:pPr>
        <w:spacing w:after="120" w:line="300"/>
        <w:jc w:val="both"/>
      </w:pPr>
      <w:r>
        <w:rPr>
          <w:sz w:val="22"/>
          <w:szCs w:val="22"/>
        </w:rPr>
        <w:t xml:space="preserve">Quantum DevOps is not simply 'classical DevOps adapted for new hardware.' It differs along five identifiable dimensions, and each dimension has been independently surfaced by multiple included studies. This convergence across heterogeneous research approaches — frameworks, tools, surveys, and empirical work — is the strongest evidence in the corpus that quantum DevOps constitutes a substantively distinct discipline rather than a variant of the existing one. The five-dimension structure is then the basis for the gap analysis (Section 5) and the proposed theoretical contribution (Section 6).</w:t>
      </w:r>
    </w:p>
    <w:p>
      <w:pPr>
        <w:pStyle w:val="Heading2"/>
        <w:spacing w:after="160" w:before="280"/>
      </w:pPr>
      <w:r>
        <w:t xml:space="preserve">4.3 RQ2 — What challenges exist in implementing CI/CD for quantum software?</w:t>
      </w:r>
    </w:p>
    <w:p>
      <w:pPr>
        <w:spacing w:after="120" w:line="300"/>
        <w:jc w:val="both"/>
      </w:pPr>
      <w:r>
        <w:rPr>
          <w:sz w:val="22"/>
          <w:szCs w:val="22"/>
        </w:rPr>
        <w:t xml:space="preserve">Twenty-two of 36 included studies address CI/CD challenges (P2, P3, P4, P5, P6, P8, P10, P12, P14, P15, P16, P17, P18, P19, P20, P22, P23, P24, P25, P26, P27, P29). The synthesis identifies five challenge clusters.</w:t>
      </w:r>
    </w:p>
    <w:p>
      <w:pPr>
        <w:pStyle w:val="Heading3"/>
        <w:spacing w:after="120" w:before="220"/>
      </w:pPr>
      <w:r>
        <w:t xml:space="preserve">4.3.1 Probabilistic Test Oracles</w:t>
      </w:r>
    </w:p>
    <w:p>
      <w:pPr>
        <w:spacing w:after="120" w:line="300"/>
        <w:jc w:val="both"/>
      </w:pPr>
      <w:r>
        <w:rPr>
          <w:sz w:val="22"/>
          <w:szCs w:val="22"/>
        </w:rPr>
        <w:t xml:space="preserve">The most frequently cited challenge across the corpus is the absence of deterministic test oracles. Where classical CI compares output X against expected value Y, quantum CI must compare a sampled distribution against a target distribution within a noise tolerance. Saxena et al. (P23) propose explicit probabilistic test categories. Yousuf and Sofi (P5, QA 4.5) identify probabilistic verification as a dominant focus in QSE research yet note that scalable probabilistic test methods remain underdeveloped. Wang et al. (P15) demonstrate one approach using quantum machine learning, but the broader corpus suggests no general solution has yet been adopted.</w:t>
      </w:r>
    </w:p>
    <w:p>
      <w:pPr>
        <w:pStyle w:val="Heading3"/>
        <w:spacing w:after="120" w:before="220"/>
      </w:pPr>
      <w:r>
        <w:t xml:space="preserve">4.3.2 Noise and Hardware Variability</w:t>
      </w:r>
    </w:p>
    <w:p>
      <w:pPr>
        <w:spacing w:after="120" w:line="300"/>
        <w:jc w:val="both"/>
      </w:pPr>
      <w:r>
        <w:rPr>
          <w:sz w:val="22"/>
          <w:szCs w:val="22"/>
        </w:rPr>
        <w:t xml:space="preserve">Hardware noise is treated as an input variable rather than an environmental constant in quantum CI. Gheorghe-Pop et al. (P27) propose periodic reliability checks of the target QC instance as a CI step. Alfraihi et al. (P25) include noise-aware testing as a dedicated lifecycle phase. Stirbu et al. (P6) and Nguyen et al. (P4) argue for runtime backend selection based on noise characteristics. The collective implication is quantum CI pipelines must include hardware-characterisation steps that classical pipelines do not need.</w:t>
      </w:r>
    </w:p>
    <w:p>
      <w:pPr>
        <w:pStyle w:val="Heading3"/>
        <w:spacing w:after="120" w:before="220"/>
      </w:pPr>
      <w:r>
        <w:t xml:space="preserve">4.3.3 Vendor-Specific Backends and Toolchain Fragmentation</w:t>
      </w:r>
    </w:p>
    <w:p>
      <w:pPr>
        <w:spacing w:after="120" w:line="300"/>
        <w:jc w:val="both"/>
      </w:pPr>
      <w:r>
        <w:rPr>
          <w:sz w:val="22"/>
          <w:szCs w:val="22"/>
        </w:rPr>
        <w:t xml:space="preserve">Multiple studies report the quantum toolchain is fragmented across incompatible SDKs (Qiskit, Cirq, Q#, Braket) and incompatible hardware backends. Hevia et al. (P28, QA 4.5) propose QuantumPath as a vendor-agnostic platform. Nguyen et al. (P4) integrate four major SDKs into a unified framework. Romero-Álvarez et al. (P29) extend OpenAPI to provide a vendor-agnostic deployment specification. Despite these efforts, no included study reports a fully cross-vendor CI pipeline running in production. The corpus indicates vendor lock-in and SDK heterogeneity remain a structural CI/CD challenge.</w:t>
      </w:r>
    </w:p>
    <w:p>
      <w:pPr>
        <w:pStyle w:val="Heading3"/>
        <w:spacing w:after="120" w:before="220"/>
      </w:pPr>
      <w:r>
        <w:t xml:space="preserve">4.3.4 Hybrid Quantum-Classical Pipeline Orchestration</w:t>
      </w:r>
    </w:p>
    <w:p>
      <w:pPr>
        <w:spacing w:after="120" w:line="300"/>
        <w:jc w:val="both"/>
      </w:pPr>
      <w:r>
        <w:rPr>
          <w:sz w:val="22"/>
          <w:szCs w:val="22"/>
        </w:rPr>
        <w:t xml:space="preserve">Practical quantum applications today are hybrid: they combine classical pre-processing, quantum execution, and classical post-processing. Sepúlveda et al. (P7, P13) propose a Software Product Line approach for variability management. Ishikawa and Saito (P14, QA 3.5) propose a model-based framework for continuous adaptation of hybrid systems. Khan et al. (P16) propose a full-stack iterative model. The challenge identified is that classical CI/CD orchestration tools do not natively understand quantum job semantics — for example, the asynchronous nature of quantum hardware queues.</w:t>
      </w:r>
    </w:p>
    <w:p>
      <w:pPr>
        <w:pStyle w:val="Heading3"/>
        <w:spacing w:after="120" w:before="220"/>
      </w:pPr>
      <w:r>
        <w:t xml:space="preserve">4.3.5 Security in CI/CD</w:t>
      </w:r>
    </w:p>
    <w:p>
      <w:pPr>
        <w:spacing w:after="120" w:line="300"/>
        <w:jc w:val="both"/>
      </w:pPr>
      <w:r>
        <w:rPr>
          <w:sz w:val="22"/>
          <w:szCs w:val="22"/>
        </w:rPr>
        <w:t xml:space="preserve">Two of the included studies focus specifically on security in quantum CI/CD. Akbar et al. (P17) identify thirteen challenges for Quantum Secure DevOps including key management, post-quantum algorithm integration, and pipeline-level enforcement. Birgin and Celiktas (P24) propose cryptography-aware CI/CD validation gates. Patel et al. (P19) demonstrate that confidentiality of quantum programs and outputs in cloud-deployed pipelines is not yet adequately solved. Security in quantum CI/CD is therefore both a substantive technical challenge and an open research area.</w:t>
      </w:r>
    </w:p>
    <w:p>
      <w:pPr>
        <w:pStyle w:val="Heading2"/>
        <w:spacing w:after="160" w:before="280"/>
      </w:pPr>
      <w:r>
        <w:t xml:space="preserve">4.4 RQ3 — What barriers prevent the adoption of standard DevOps practices in QSE?</w:t>
      </w:r>
    </w:p>
    <w:p>
      <w:pPr>
        <w:spacing w:after="120" w:line="300"/>
        <w:jc w:val="both"/>
      </w:pPr>
      <w:r>
        <w:rPr>
          <w:sz w:val="22"/>
          <w:szCs w:val="22"/>
        </w:rPr>
        <w:t xml:space="preserve">Twenty-seven of the 36 included studies address adoption barriers (P1, P2, P3, P5, P7, P8, P9, P11, P12, P13, P15, P16, P17, P18, P19, P21, P22, P23, P25, P28, P30, P31, P32, P33, P34, P35, P36). RQ3 has the broadest evidence base of the three RQs and is the most empirically grounded — including the only quantitative empirical study of adoption (Lambiase and De Lucia, P35, QA 5.0) and the only prioritised list of QSE challenges (Akbar et al., P32, QA 5.0).</w:t>
      </w:r>
    </w:p>
    <w:p>
      <w:pPr>
        <w:pStyle w:val="Heading3"/>
        <w:spacing w:after="120" w:before="220"/>
      </w:pPr>
      <w:r>
        <w:t xml:space="preserve">4.4.1 Knowledge and Skills Gap</w:t>
      </w:r>
    </w:p>
    <w:p>
      <w:pPr>
        <w:spacing w:after="120" w:line="300"/>
        <w:jc w:val="both"/>
      </w:pPr>
      <w:r>
        <w:rPr>
          <w:sz w:val="22"/>
          <w:szCs w:val="22"/>
        </w:rPr>
        <w:t xml:space="preserve">Akbar et al. (P32) identify 'lack of training and workshops' and 'complex programming' as the two most highly prioritised challenges. Khan et al. (P33, QA 5.0) report 'lack of domain-specific knowledge' as a primary cause of agile-quantum project failure. Gheorghe-Pop et al. (P27) describe the gap between theoretical quantum mechanics and IT developers' skills as an obstacle to operationalising quantum software. The skills gap appears in nearly every paper that discusses adoption.</w:t>
      </w:r>
    </w:p>
    <w:p>
      <w:pPr>
        <w:pStyle w:val="Heading3"/>
        <w:spacing w:after="120" w:before="220"/>
      </w:pPr>
      <w:r>
        <w:t xml:space="preserve">4.4.2 Tool Immaturity and Standardisation Gaps</w:t>
      </w:r>
    </w:p>
    <w:p>
      <w:pPr>
        <w:spacing w:after="120" w:line="300"/>
        <w:jc w:val="both"/>
      </w:pPr>
      <w:r>
        <w:rPr>
          <w:sz w:val="22"/>
          <w:szCs w:val="22"/>
        </w:rPr>
        <w:t xml:space="preserve">Yousuf and Sofi (P5) explicitly identify 'tool standardisation' as a notable gap. Akbar et al. (P32) list 'limited software libraries' as the second-highest priority challenge. Khan et al. (P1, QA 4.5), in their architectural SLR, conclude no consensus modelling notations or architectural design patterns yet exist for quantum software. The tooling immaturity is a substantive barrier preventing the kind of pipeline standardisation that classical DevOps relies on.</w:t>
      </w:r>
    </w:p>
    <w:p>
      <w:pPr>
        <w:pStyle w:val="Heading3"/>
        <w:spacing w:after="120" w:before="220"/>
      </w:pPr>
      <w:r>
        <w:t xml:space="preserve">4.4.3 Adoption is Socio-Technical, Not Just Technical</w:t>
      </w:r>
    </w:p>
    <w:p>
      <w:pPr>
        <w:spacing w:after="120" w:line="300"/>
        <w:jc w:val="both"/>
      </w:pPr>
      <w:r>
        <w:rPr>
          <w:sz w:val="22"/>
          <w:szCs w:val="22"/>
        </w:rPr>
        <w:t xml:space="preserve">Lambiase and De Lucia (P35) provide the only PLS-SEM empirical study of QST adoption among software professionals. Their findings are notable: compatibility, personal innovativeness, and performance expectancy are positive drivers; financial concerns are a negative driver; and workplace support is a critical enabler of actual usage. This is the strongest empirical evidence in the corpus that adoption is not solely a function of technical readiness — organisational and economic factors are independently important. This finding aligns with Akbar et al.'s (P32) observation that 'resources' is the most influential challenge category.</w:t>
      </w:r>
    </w:p>
    <w:p>
      <w:pPr>
        <w:pStyle w:val="Heading3"/>
        <w:spacing w:after="120" w:before="220"/>
      </w:pPr>
      <w:r>
        <w:t xml:space="preserve">4.4.4 Quantum-Specific Constraints That Reject Direct Adoption</w:t>
      </w:r>
    </w:p>
    <w:p>
      <w:pPr>
        <w:spacing w:after="120" w:line="300"/>
        <w:jc w:val="both"/>
      </w:pPr>
      <w:r>
        <w:rPr>
          <w:sz w:val="22"/>
          <w:szCs w:val="22"/>
        </w:rPr>
        <w:t xml:space="preserve">Several included studies identify hard constraints from quantum mechanics that prevent direct application of classical SE patterns. Kim (P30, QA 4.5) formalises the no-cloning theorem as a constraint that breaks classical assumptions about state replication. Garcia-Alonso et al. (P21, QA 3.5) identify hybridity, interoperability, and pricing-model differences as fundamental design constraints for quantum services. Patel et al. (P19) identify cloud trust assumptions as a constraint classical DevOps does not have to confront. These are not ergonomic inconveniences — they are structural features of the quantum domain that require new pipeline primitives, not merely adapted ones.</w:t>
      </w:r>
    </w:p>
    <w:p>
      <w:pPr>
        <w:pStyle w:val="Heading3"/>
        <w:spacing w:after="120" w:before="220"/>
      </w:pPr>
      <w:r>
        <w:t xml:space="preserve">4.4.5 Security and Trust Uncertainty</w:t>
      </w:r>
    </w:p>
    <w:p>
      <w:pPr>
        <w:spacing w:after="120" w:line="300"/>
        <w:jc w:val="both"/>
      </w:pPr>
      <w:r>
        <w:rPr>
          <w:sz w:val="22"/>
          <w:szCs w:val="22"/>
        </w:rPr>
        <w:t xml:space="preserve">Akbar et al. (P17, P32) and Márquez et al. (P3, QA 5.0) identify security as a top-tier adoption barrier. The combination of evolving post-quantum cryptography standards (Birgin and Celiktas, P24), the lack of confidentiality guarantees in cloud quantum execution (Patel et al., P19), and the immaturity of secure CI/CD pipelines (Akbar et al., P17) creates uncertainty that organisations cite as a reason to delay adoption.</w:t>
      </w:r>
    </w:p>
    <w:p>
      <w:pPr>
        <w:pStyle w:val="Heading3"/>
        <w:spacing w:after="120" w:before="220"/>
      </w:pPr>
      <w:r>
        <w:t xml:space="preserve">4.4.6 Synthesis</w:t>
      </w:r>
    </w:p>
    <w:p>
      <w:pPr>
        <w:spacing w:after="120" w:line="300"/>
        <w:jc w:val="both"/>
      </w:pPr>
      <w:r>
        <w:rPr>
          <w:sz w:val="22"/>
          <w:szCs w:val="22"/>
        </w:rPr>
        <w:t xml:space="preserve">Adoption barriers cluster around five themes: knowledge and skills, tool immaturity, socio-technical/organisational factors, quantum-specific constraints, and security uncertainty. Notably, only one of these themes — quantum-specific constraints — is unique to the quantum domain. The other four are familiar from classical SE adoption literature, but they manifest with unusual severity in QSE because the field is so young. Most adoption barriers are not new in kind, but they are unusually severe in degree.</w:t>
      </w:r>
    </w:p>
    <w:p>
      <w:pPr>
        <w:pStyle w:val="Heading2"/>
        <w:spacing w:after="160" w:before="280"/>
      </w:pPr>
      <w:r>
        <w:t xml:space="preserve">4.5 Sensitivity Analysis</w:t>
      </w:r>
    </w:p>
    <w:p>
      <w:pPr>
        <w:spacing w:after="120" w:line="300"/>
        <w:jc w:val="both"/>
      </w:pPr>
      <w:r>
        <w:rPr>
          <w:sz w:val="22"/>
          <w:szCs w:val="22"/>
        </w:rPr>
        <w:t xml:space="preserve">Following Kitchenham &amp; Charters §6.5.6, a sensitivity analysis was performed by considering the impact of restricting the synthesis to higher-quality studies. When the synthesis is restricted to the 26 papers in the High-quality QA tier (≥4.0), all five RQ1 dimensions, all five RQ2 challenge clusters, and all five RQ3 barrier categories continue to be supported by multiple papers. No conclusion changes when low-tier (&lt;3.0) papers are removed (because there are none). The synthesis is therefore robust to QA-based exclusion.</w:t>
      </w:r>
    </w:p>
    <w:p>
      <w:pPr>
        <w:spacing w:after="120" w:line="300"/>
        <w:jc w:val="both"/>
      </w:pPr>
      <w:r>
        <w:rPr>
          <w:sz w:val="22"/>
          <w:szCs w:val="22"/>
        </w:rPr>
        <w:t xml:space="preserve">An additional sensitivity check considered what would happen if the eight 5.0/5.0 empirical papers (P3, P15, P18, P25, P29, P32, P33, P35) were the only ones used: all five RQ3 barrier categories remain supported (these eight papers between them cover all five), and four of five RQ1 dimensions and four of five RQ2 challenge clusters remain supported. The only dimension/cluster that loses substantial support is the trust-boundaries dimension (RQ1.5), which depends largely on Patel et al. (P19, QA 4.5) and Akbar et al. (P17, QA 4.5). This is noted as an area where the evidence base is comparatively thin.</w:t>
      </w:r>
    </w:p>
    <w:p>
      <w:pPr>
        <w:pStyle w:val="Heading2"/>
        <w:spacing w:after="160" w:before="280"/>
      </w:pPr>
      <w:r>
        <w:t xml:space="preserve">4.6 Publication Bias</w:t>
      </w:r>
    </w:p>
    <w:p>
      <w:pPr>
        <w:spacing w:after="120" w:line="300"/>
        <w:jc w:val="both"/>
      </w:pPr>
      <w:r>
        <w:rPr>
          <w:sz w:val="22"/>
          <w:szCs w:val="22"/>
        </w:rPr>
        <w:t xml:space="preserve">Following Kitchenham &amp; Charters §6.1.2 and §6.5.7, publication bias was considered. Because this corpus consists predominantly of frameworks and position papers rather than hypothesis-testing studies, classical funnel-plot analysis is not applicable. Qualitatively, the field has a clear positive-result bias: every framework paper claims its framework works, every survey identifies challenges to be solved, and very few papers report failed approaches or negative results from attempted adoption. This is acknowledged as a limitation of the underlying literature, not of this review's procedure.</w:t>
      </w:r>
    </w:p>
    <w:p>
      <w:r>
        <w:br w:type="page"/>
      </w:r>
    </w:p>
    <w:p>
      <w:pPr>
        <w:pStyle w:val="Heading1"/>
        <w:spacing w:after="200" w:before="360"/>
      </w:pPr>
      <w:r>
        <w:t xml:space="preserve">5. Knowledge Gaps</w:t>
      </w:r>
    </w:p>
    <w:p>
      <w:pPr>
        <w:spacing w:after="120" w:line="300"/>
        <w:jc w:val="both"/>
      </w:pPr>
      <w:r>
        <w:rPr>
          <w:sz w:val="22"/>
          <w:szCs w:val="22"/>
        </w:rPr>
        <w:t xml:space="preserve">The synthesis in Section 4 reveals an active but uneven body of research. Substantial conceptual progress has been made, but the corpus shows clear systematic gaps. Five gaps are particularly prominent.</w:t>
      </w:r>
    </w:p>
    <w:p>
      <w:pPr>
        <w:pStyle w:val="Heading2"/>
        <w:spacing w:after="160" w:before="280"/>
      </w:pPr>
      <w:r>
        <w:t xml:space="preserve">5.1 Gap 1 — Empirical Validation Across Organisations</w:t>
      </w:r>
    </w:p>
    <w:p>
      <w:pPr>
        <w:spacing w:after="120" w:line="300"/>
        <w:jc w:val="both"/>
      </w:pPr>
      <w:r>
        <w:rPr>
          <w:sz w:val="22"/>
          <w:szCs w:val="22"/>
        </w:rPr>
        <w:t xml:space="preserve">Most included studies are vision papers, frameworks, or single-instance tools. Genuinely empirical work is rare: only Lambiase and De Lucia (P35) provide quantitative cross-organisational evidence on adoption, and only a handful of papers (P3, P15, P22, P32, P33) report empirical data of any kind. There is no peer-reviewed multi-case study comparing quantum DevOps practices across organisations, no longitudinal study of a quantum software project's lifecycle, and no empirical comparison of two or more quantum CI/CD frameworks under controlled conditions. Until such empirical work exists, claims about what 'works' in quantum DevOps remain largely theoretical.</w:t>
      </w:r>
    </w:p>
    <w:p>
      <w:pPr>
        <w:pStyle w:val="Heading2"/>
        <w:spacing w:after="160" w:before="280"/>
      </w:pPr>
      <w:r>
        <w:t xml:space="preserve">5.2 Gap 2 — A Unified Lifecycle Model</w:t>
      </w:r>
    </w:p>
    <w:p>
      <w:pPr>
        <w:spacing w:after="120" w:line="300"/>
        <w:jc w:val="both"/>
      </w:pPr>
      <w:r>
        <w:rPr>
          <w:sz w:val="22"/>
          <w:szCs w:val="22"/>
        </w:rPr>
        <w:t xml:space="preserve">Multiple included studies propose lifecycle models for quantum software (P16, P25, P34), but these models do not converge. Phases are named differently, ordered differently, and emphasise different artifacts. There is no unified lifecycle model that has been validated across multiple research groups, and no model has been empirically grounded in industrial practice. The field would benefit from a synthesis lifecycle that explicitly reconciles existing proposals.</w:t>
      </w:r>
    </w:p>
    <w:p>
      <w:pPr>
        <w:pStyle w:val="Heading2"/>
        <w:spacing w:after="160" w:before="280"/>
      </w:pPr>
      <w:r>
        <w:t xml:space="preserve">5.3 Gap 3 — Concrete CI/CD Patterns and Anti-Patterns</w:t>
      </w:r>
    </w:p>
    <w:p>
      <w:pPr>
        <w:spacing w:after="120" w:line="300"/>
        <w:jc w:val="both"/>
      </w:pPr>
      <w:r>
        <w:rPr>
          <w:sz w:val="22"/>
          <w:szCs w:val="22"/>
        </w:rPr>
        <w:t xml:space="preserve">The corpus identifies CI/CD challenges in quantum software but does not yet describe concrete reusable patterns or documented anti-patterns. There is no equivalent of the classical DevOps body of patterns (blue-green deployment, canary releases, feature flags, rolling updates) for quantum software. The closest contributions are Klymenko et al. (P2) for architectural patterns and Akbar et al. (P17) for security challenges, but a comprehensive quantum DevOps pattern catalogue is missing.</w:t>
      </w:r>
    </w:p>
    <w:p>
      <w:pPr>
        <w:pStyle w:val="Heading2"/>
        <w:spacing w:after="160" w:before="280"/>
      </w:pPr>
      <w:r>
        <w:t xml:space="preserve">5.4 Gap 4 — Cross-Vendor Interoperability</w:t>
      </w:r>
    </w:p>
    <w:p>
      <w:pPr>
        <w:spacing w:after="120" w:line="300"/>
        <w:jc w:val="both"/>
      </w:pPr>
      <w:r>
        <w:rPr>
          <w:sz w:val="22"/>
          <w:szCs w:val="22"/>
        </w:rPr>
        <w:t xml:space="preserve">Although several studies address vendor heterogeneity (P4, P28, P29), none demonstrate a fully cross-vendor CI/CD pipeline running in industrial production. The interoperability problem is widely diagnosed but not yet solved. This gap is particularly concerning because vendor lock-in is one of the explicit drivers of classical DevOps adoption — its persistence in quantum DevOps undermines a core value proposition of DevOps practice.</w:t>
      </w:r>
    </w:p>
    <w:p>
      <w:pPr>
        <w:pStyle w:val="Heading2"/>
        <w:spacing w:after="160" w:before="280"/>
      </w:pPr>
      <w:r>
        <w:t xml:space="preserve">5.5 Gap 5 — Theory of Adaptation</w:t>
      </w:r>
    </w:p>
    <w:p>
      <w:pPr>
        <w:spacing w:after="120" w:line="300"/>
        <w:jc w:val="both"/>
      </w:pPr>
      <w:r>
        <w:rPr>
          <w:sz w:val="22"/>
          <w:szCs w:val="22"/>
        </w:rPr>
        <w:t xml:space="preserve">The corpus contains many descriptions of how quantum DevOps differs from classical DevOps and many lists of barriers and challenges. What it lacks is an explanatory theory: a framework explaining why those differences exist, what mechanisms produce them, and how they can be systematically addressed. Without such a theory, individual practitioners and researchers tackle quantum DevOps as a series of isolated problems rather than as a coherent design space. This gap motivates the candidate theoretical contribution proposed in Section 6.</w:t>
      </w:r>
    </w:p>
    <w:p>
      <w:r>
        <w:br w:type="page"/>
      </w:r>
    </w:p>
    <w:p>
      <w:pPr>
        <w:pStyle w:val="Heading1"/>
        <w:spacing w:after="200" w:before="360"/>
      </w:pPr>
      <w:r>
        <w:t xml:space="preserve">6. Towards a Quantum DevOps Adaptation Theory (Q-DAT)</w:t>
      </w:r>
    </w:p>
    <w:p>
      <w:pPr>
        <w:spacing w:after="120" w:line="300"/>
        <w:jc w:val="both"/>
      </w:pPr>
      <w:r>
        <w:rPr>
          <w:sz w:val="22"/>
          <w:szCs w:val="22"/>
        </w:rPr>
        <w:t xml:space="preserve">Building directly on the synthesis in Section 4 and the gaps identified in Section 5, this review proposes a candidate theoretical contribution: the Quantum DevOps Adaptation Theory, abbreviated Q-DAT. Following Kitchenham &amp; Charters §2.1, systematic reviews can be undertaken not only to summarise evidence but also to assist the generation of new hypotheses (citing Jasperson et al., 2002, as an example). Q-DAT is a hypothesis-generation outcome of the present review. The theory is proposed and argued from the literature reviewed; it is not empirically validated, and validation is identified as priority future work.</w:t>
      </w:r>
    </w:p>
    <w:p>
      <w:pPr>
        <w:pStyle w:val="Heading2"/>
        <w:spacing w:after="160" w:before="280"/>
      </w:pPr>
      <w:r>
        <w:t xml:space="preserve">6.1 Theory Statement</w:t>
      </w:r>
    </w:p>
    <w:p>
      <w:pPr>
        <w:spacing w:after="120" w:line="300"/>
        <w:jc w:val="both"/>
      </w:pPr>
      <w:r>
        <w:rPr>
          <w:sz w:val="22"/>
          <w:szCs w:val="22"/>
        </w:rPr>
        <w:t xml:space="preserve">Q-DAT proposes that the difficulty of adopting standard DevOps practices in quantum software engineering is not arbitrary but follows a predictable structure. Specifically, the theory holds that:</w:t>
      </w:r>
    </w:p>
    <w:p>
      <w:pPr>
        <w:spacing w:after="120" w:line="300"/>
        <w:jc w:val="both"/>
      </w:pPr>
      <w:r>
        <w:rPr>
          <w:sz w:val="22"/>
          <w:szCs w:val="22"/>
        </w:rPr>
        <w:t xml:space="preserve">Standard DevOps practices require adaptation in quantum software contexts in proportion to the degree to which they depend on five classical assumptions: (i) deterministic execution, (ii) fungible infrastructure, (iii) cloneable program state, (iv) trusted cloud providers, and (v) homogeneous toolchains. Practices that depend strongly on these assumptions require fundamental redesign rather than parameter tuning. Practices that depend only weakly on them transfer with minimal adaptation.</w:t>
      </w:r>
    </w:p>
    <w:p>
      <w:pPr>
        <w:pStyle w:val="Heading2"/>
        <w:spacing w:after="160" w:before="280"/>
      </w:pPr>
      <w:r>
        <w:t xml:space="preserve">6.2 The Five Classical Assumptions</w:t>
      </w:r>
    </w:p>
    <w:p>
      <w:pPr>
        <w:spacing w:after="120" w:line="300"/>
        <w:jc w:val="both"/>
      </w:pPr>
      <w:r>
        <w:rPr>
          <w:sz w:val="22"/>
          <w:szCs w:val="22"/>
        </w:rPr>
        <w:t xml:space="preserve">Each of the five assumptions corresponds to one of the dimensions identified in the comparison synthesis (Section 4.2):</w:t>
      </w:r>
    </w:p>
    <w:p>
      <w:pPr>
        <w:pStyle w:val="ListParagraph"/>
        <w:numPr>
          <w:ilvl w:val="0"/>
          <w:numId w:val="2"/>
        </w:numPr>
        <w:spacing w:after="80" w:line="280"/>
      </w:pPr>
      <w:r>
        <w:rPr>
          <w:b/>
          <w:bCs/>
          <w:sz w:val="22"/>
          <w:szCs w:val="22"/>
        </w:rPr>
        <w:t xml:space="preserve">Deterministic execution: </w:t>
      </w:r>
      <w:r>
        <w:rPr>
          <w:sz w:val="22"/>
          <w:szCs w:val="22"/>
        </w:rPr>
        <w:t xml:space="preserve">Classical DevOps assumes the same input produces the same output. Quantum execution violates this; therefore practices relying on this assumption (regression testing, output comparison, alert-based monitoring) require fundamental redesign.</w:t>
      </w:r>
    </w:p>
    <w:p>
      <w:pPr>
        <w:pStyle w:val="ListParagraph"/>
        <w:numPr>
          <w:ilvl w:val="0"/>
          <w:numId w:val="2"/>
        </w:numPr>
        <w:spacing w:after="80" w:line="280"/>
      </w:pPr>
      <w:r>
        <w:rPr>
          <w:b/>
          <w:bCs/>
          <w:sz w:val="22"/>
          <w:szCs w:val="22"/>
        </w:rPr>
        <w:t xml:space="preserve">Fungible infrastructure: </w:t>
      </w:r>
      <w:r>
        <w:rPr>
          <w:sz w:val="22"/>
          <w:szCs w:val="22"/>
        </w:rPr>
        <w:t xml:space="preserve">Classical DevOps assumes one VM is interchangeable with another and the deployment environment is uniform. Quantum hardware is heterogeneous, vendor-specific, and non-fungible; practices like infrastructure-as-code and elastic scaling require redesign.</w:t>
      </w:r>
    </w:p>
    <w:p>
      <w:pPr>
        <w:pStyle w:val="ListParagraph"/>
        <w:numPr>
          <w:ilvl w:val="0"/>
          <w:numId w:val="2"/>
        </w:numPr>
        <w:spacing w:after="80" w:line="280"/>
      </w:pPr>
      <w:r>
        <w:rPr>
          <w:b/>
          <w:bCs/>
          <w:sz w:val="22"/>
          <w:szCs w:val="22"/>
        </w:rPr>
        <w:t xml:space="preserve">Cloneable program state: </w:t>
      </w:r>
      <w:r>
        <w:rPr>
          <w:sz w:val="22"/>
          <w:szCs w:val="22"/>
        </w:rPr>
        <w:t xml:space="preserve">Classical DevOps assumes program state can be copied for testing, debugging, replay, and rollback. The no-cloning theorem (Kim, P30) prohibits this for arbitrary unknown quantum states; practices depending on state copying must be redesigned.</w:t>
      </w:r>
    </w:p>
    <w:p>
      <w:pPr>
        <w:pStyle w:val="ListParagraph"/>
        <w:numPr>
          <w:ilvl w:val="0"/>
          <w:numId w:val="2"/>
        </w:numPr>
        <w:spacing w:after="80" w:line="280"/>
      </w:pPr>
      <w:r>
        <w:rPr>
          <w:b/>
          <w:bCs/>
          <w:sz w:val="22"/>
          <w:szCs w:val="22"/>
        </w:rPr>
        <w:t xml:space="preserve">Trusted cloud providers: </w:t>
      </w:r>
      <w:r>
        <w:rPr>
          <w:sz w:val="22"/>
          <w:szCs w:val="22"/>
        </w:rPr>
        <w:t xml:space="preserve">Classical DevOps treats the cloud provider as a trusted execution environment. Quantum cloud providers have unrestricted visibility into program structure and outputs (Patel et al., P19); practices relying on provider trust require redesign.</w:t>
      </w:r>
    </w:p>
    <w:p>
      <w:pPr>
        <w:pStyle w:val="ListParagraph"/>
        <w:numPr>
          <w:ilvl w:val="0"/>
          <w:numId w:val="2"/>
        </w:numPr>
        <w:spacing w:after="80" w:line="280"/>
      </w:pPr>
      <w:r>
        <w:rPr>
          <w:b/>
          <w:bCs/>
          <w:sz w:val="22"/>
          <w:szCs w:val="22"/>
        </w:rPr>
        <w:t xml:space="preserve">Homogeneous toolchains: </w:t>
      </w:r>
      <w:r>
        <w:rPr>
          <w:sz w:val="22"/>
          <w:szCs w:val="22"/>
        </w:rPr>
        <w:t xml:space="preserve">Classical DevOps assumes build/test/deploy tooling is interoperable across teams and projects. Quantum SDKs are deeply non-interoperable; practices depending on tool homogeneity require either abstraction layers or fundamental redesign.</w:t>
      </w:r>
    </w:p>
    <w:p>
      <w:pPr>
        <w:pStyle w:val="Heading2"/>
        <w:spacing w:after="160" w:before="280"/>
      </w:pPr>
      <w:r>
        <w:t xml:space="preserve">6.3 Predictions</w:t>
      </w:r>
    </w:p>
    <w:p>
      <w:pPr>
        <w:spacing w:after="120" w:line="300"/>
        <w:jc w:val="both"/>
      </w:pPr>
      <w:r>
        <w:rPr>
          <w:sz w:val="22"/>
          <w:szCs w:val="22"/>
        </w:rPr>
        <w:t xml:space="preserve">Q-DAT generates several testable predictions, each evaluable through future empirical work:</w:t>
      </w:r>
    </w:p>
    <w:p>
      <w:pPr>
        <w:pStyle w:val="ListParagraph"/>
        <w:numPr>
          <w:ilvl w:val="0"/>
          <w:numId w:val="2"/>
        </w:numPr>
        <w:spacing w:after="80" w:line="280"/>
      </w:pPr>
      <w:r>
        <w:rPr>
          <w:sz w:val="22"/>
          <w:szCs w:val="22"/>
        </w:rPr>
        <w:t xml:space="preserve">Practices depending on multiple of the five assumptions will be the slowest to adopt and the most difficult to implement reliably.</w:t>
      </w:r>
    </w:p>
    <w:p>
      <w:pPr>
        <w:pStyle w:val="ListParagraph"/>
        <w:numPr>
          <w:ilvl w:val="0"/>
          <w:numId w:val="2"/>
        </w:numPr>
        <w:spacing w:after="80" w:line="280"/>
      </w:pPr>
      <w:r>
        <w:rPr>
          <w:sz w:val="22"/>
          <w:szCs w:val="22"/>
        </w:rPr>
        <w:t xml:space="preserve">Organisations implementing abstraction layers addressing one or more of the five assumptions (e.g. vendor-agnostic execution platforms) will report higher quantum DevOps maturity than organisations adapting practices on a per-tool basis.</w:t>
      </w:r>
    </w:p>
    <w:p>
      <w:pPr>
        <w:pStyle w:val="ListParagraph"/>
        <w:numPr>
          <w:ilvl w:val="0"/>
          <w:numId w:val="2"/>
        </w:numPr>
        <w:spacing w:after="80" w:line="280"/>
      </w:pPr>
      <w:r>
        <w:rPr>
          <w:sz w:val="22"/>
          <w:szCs w:val="22"/>
        </w:rPr>
        <w:t xml:space="preserve">New CI/CD primitives will emerge specifically to handle violations of these assumptions — e.g. statistical test oracles for non-determinism, hardware-characterisation steps for non-fungibility, obfuscation primitives for untrusted clouds.</w:t>
      </w:r>
    </w:p>
    <w:p>
      <w:pPr>
        <w:pStyle w:val="ListParagraph"/>
        <w:numPr>
          <w:ilvl w:val="0"/>
          <w:numId w:val="2"/>
        </w:numPr>
        <w:spacing w:after="80" w:line="280"/>
      </w:pPr>
      <w:r>
        <w:rPr>
          <w:sz w:val="22"/>
          <w:szCs w:val="22"/>
        </w:rPr>
        <w:t xml:space="preserve">Adoption barrier severity (as measured by survey instruments such as P35) will correlate with the number of violated classical assumptions in a given practice.</w:t>
      </w:r>
    </w:p>
    <w:p>
      <w:pPr>
        <w:pStyle w:val="Heading2"/>
        <w:spacing w:after="160" w:before="280"/>
      </w:pPr>
      <w:r>
        <w:t xml:space="preserve">6.4 Implications for Practice</w:t>
      </w:r>
    </w:p>
    <w:p>
      <w:pPr>
        <w:spacing w:after="120" w:line="300"/>
        <w:jc w:val="both"/>
      </w:pPr>
      <w:r>
        <w:rPr>
          <w:sz w:val="22"/>
          <w:szCs w:val="22"/>
        </w:rPr>
        <w:t xml:space="preserve">If Q-DAT is broadly correct, it offers practical guidance: organisations adopting quantum DevOps should diagnose, for each existing classical practice, which of the five assumptions it depends on. Practices depending on none can be transferred directly. Practices depending on one or two require targeted adaptation. Practices depending on three or more require fundamental redesign. This diagnostic provides a structured alternative to ad hoc adoption.</w:t>
      </w:r>
    </w:p>
    <w:p>
      <w:pPr>
        <w:pStyle w:val="Heading2"/>
        <w:spacing w:after="160" w:before="280"/>
      </w:pPr>
      <w:r>
        <w:t xml:space="preserve">6.5 Limitations and Validation Path</w:t>
      </w:r>
    </w:p>
    <w:p>
      <w:pPr>
        <w:spacing w:after="120" w:line="300"/>
        <w:jc w:val="both"/>
      </w:pPr>
      <w:r>
        <w:rPr>
          <w:sz w:val="22"/>
          <w:szCs w:val="22"/>
        </w:rPr>
        <w:t xml:space="preserve">Q-DAT is proposed and argued from a literature synthesis; it is not yet validated. The proposed validation path is: (1) operationalise the five assumptions as measurable constructs; (2) develop a survey instrument that measures adaptation effort and dependency on each assumption for a defined set of DevOps practices; (3) collect data from quantum software practitioners across organisations; (4) test predicted correlations using structural equation modelling, building on the methodology of Lambiase and De Lucia (P35). This validation is identified as priority future work.</w:t>
      </w:r>
    </w:p>
    <w:p>
      <w:r>
        <w:br w:type="page"/>
      </w:r>
    </w:p>
    <w:p>
      <w:pPr>
        <w:pStyle w:val="Heading1"/>
        <w:spacing w:after="200" w:before="360"/>
      </w:pPr>
      <w:r>
        <w:t xml:space="preserve">7. Threats to Validity</w:t>
      </w:r>
    </w:p>
    <w:p>
      <w:pPr>
        <w:spacing w:after="120" w:line="300"/>
        <w:jc w:val="both"/>
      </w:pPr>
      <w:r>
        <w:rPr>
          <w:sz w:val="22"/>
          <w:szCs w:val="22"/>
        </w:rPr>
        <w:t xml:space="preserve">Following Kitchenham &amp; Charters §7.4 and the discussion-section template in Table 8, threats to validity are organised under construct, internal, external, and reliability dimensions. The DARE criteria (CRD §5.1) are also applied as a self-evaluation.</w:t>
      </w:r>
    </w:p>
    <w:p>
      <w:pPr>
        <w:pStyle w:val="Heading2"/>
        <w:spacing w:after="160" w:before="280"/>
      </w:pPr>
      <w:r>
        <w:t xml:space="preserve">7.1 Construct Validity</w:t>
      </w:r>
    </w:p>
    <w:p>
      <w:pPr>
        <w:spacing w:after="120" w:line="300"/>
        <w:jc w:val="both"/>
      </w:pPr>
      <w:r>
        <w:rPr>
          <w:sz w:val="22"/>
          <w:szCs w:val="22"/>
        </w:rPr>
        <w:t xml:space="preserve">The terms 'DevOps,' 'CI/CD,' and 'quantum software engineering' are each evolving. Some authors use 'DevOps' broadly to mean any continuous practice; others use it narrowly to mean a specific organisational pattern. To mitigate this, papers were assessed against the explicit inclusion criteria rather than against keyword matching alone, and full-text reading was used to confirm relevance. However, some borderline papers may have been classified differently by other reviewers. The PICOC decomposition and the explicit five-criterion inclusion list strengthen construct validity.</w:t>
      </w:r>
    </w:p>
    <w:p>
      <w:pPr>
        <w:pStyle w:val="Heading2"/>
        <w:spacing w:after="160" w:before="280"/>
      </w:pPr>
      <w:r>
        <w:t xml:space="preserve">7.2 Internal Validity (Selection Bias)</w:t>
      </w:r>
    </w:p>
    <w:p>
      <w:pPr>
        <w:spacing w:after="120" w:line="300"/>
        <w:jc w:val="both"/>
      </w:pPr>
      <w:r>
        <w:rPr>
          <w:sz w:val="22"/>
          <w:szCs w:val="22"/>
        </w:rPr>
        <w:t xml:space="preserve">The decision to remove all 269 books and book sections from the corpus is a methodological choice aligning with inclusion criterion IC2. Some book chapters may have contained relevant material; however, given the 36 peer-reviewed articles already cover all three RQs comprehensively and reach acceptable QA scores, the practical effect on synthesis is likely small. Future searches could include peer-reviewed book chapters from established academic publishers if a fuller corpus is desired.</w:t>
      </w:r>
    </w:p>
    <w:p>
      <w:pPr>
        <w:spacing w:after="120" w:line="300"/>
        <w:jc w:val="both"/>
      </w:pPr>
      <w:r>
        <w:rPr>
          <w:sz w:val="22"/>
          <w:szCs w:val="22"/>
        </w:rPr>
        <w:t xml:space="preserve">Single-reviewer risk is acknowledged. Best practice (Kitchenham &amp; Charters §6.2.3) recommends two independent reviewers with conflict resolution. As the recommended mitigations for single-researcher SLRs (§6.2.3 and §6.4.3), this review applied: (a) a written protocol governing every decision, (b) a test-retest procedure on the full-text screening that produced identical inclusion/exclusion decisions on both passes, and (c) a test-retest of data extraction on a 22% random sample. The absence of a fully independent second human reviewer remains a recognised limitation.</w:t>
      </w:r>
    </w:p>
    <w:p>
      <w:pPr>
        <w:pStyle w:val="Heading2"/>
        <w:spacing w:after="160" w:before="280"/>
      </w:pPr>
      <w:r>
        <w:t xml:space="preserve">7.3 External Validity (Generalisability)</w:t>
      </w:r>
    </w:p>
    <w:p>
      <w:pPr>
        <w:spacing w:after="120" w:line="300"/>
        <w:jc w:val="both"/>
      </w:pPr>
      <w:r>
        <w:rPr>
          <w:sz w:val="22"/>
          <w:szCs w:val="22"/>
        </w:rPr>
        <w:t xml:space="preserve">The included corpus consists predominantly of academic-led research. Industry experience reports are rare, and the most empirical paper (P35) draws on a single survey sample. Findings may therefore reflect academic priorities more than industry priorities. The PRISMA-style trace nevertheless allows readers to assess where industry voices are present (P15, P22, P28) and where they are absent.</w:t>
      </w:r>
    </w:p>
    <w:p>
      <w:pPr>
        <w:pStyle w:val="Heading2"/>
        <w:spacing w:after="160" w:before="280"/>
      </w:pPr>
      <w:r>
        <w:t xml:space="preserve">7.4 Reliability</w:t>
      </w:r>
    </w:p>
    <w:p>
      <w:pPr>
        <w:spacing w:after="120" w:line="300"/>
        <w:jc w:val="both"/>
      </w:pPr>
      <w:r>
        <w:rPr>
          <w:sz w:val="22"/>
          <w:szCs w:val="22"/>
        </w:rPr>
        <w:t xml:space="preserve">Reproducibility is supported by: (1) the explicit search string in Section 2.2; (2) the explicit list of databases and date of search in Section 3.1; (3) the explicit inclusion/exclusion criteria in Section 2.3; (4) the explicit QA instrument in Section 2.5 and Appendix B; (5) the full list of included and excluded papers in Appendices A and B. Searches of digital libraries are difficult to replicate exactly (Kitchenham &amp; Charters §2.4), but the trace from 805 records to 36 included studies is reproducible by another researcher applying the same protocol.</w:t>
      </w:r>
    </w:p>
    <w:p>
      <w:pPr>
        <w:pStyle w:val="Heading2"/>
        <w:spacing w:after="160" w:before="280"/>
      </w:pPr>
      <w:r>
        <w:t xml:space="preserve">7.5 Theoretical Generalisation</w:t>
      </w:r>
    </w:p>
    <w:p>
      <w:pPr>
        <w:spacing w:after="120" w:line="300"/>
        <w:jc w:val="both"/>
      </w:pPr>
      <w:r>
        <w:rPr>
          <w:sz w:val="22"/>
          <w:szCs w:val="22"/>
        </w:rPr>
        <w:t xml:space="preserve">Q-DAT is proposed from a literature synthesis of 36 papers. Although the corpus is reasonable for an emerging field, the theory's external validity beyond this corpus has not been tested. Q-DAT should therefore be treated as a candidate theory motivating future empirical research, not as an established result.</w:t>
      </w:r>
    </w:p>
    <w:p>
      <w:pPr>
        <w:pStyle w:val="Heading2"/>
        <w:spacing w:after="160" w:before="280"/>
      </w:pPr>
      <w:r>
        <w:t xml:space="preserve">7.6 Self-Evaluation against the DARE Criteria</w:t>
      </w:r>
    </w:p>
    <w:p>
      <w:pPr>
        <w:spacing w:after="120" w:line="300"/>
        <w:jc w:val="both"/>
      </w:pPr>
      <w:r>
        <w:rPr>
          <w:sz w:val="22"/>
          <w:szCs w:val="22"/>
        </w:rPr>
        <w:t xml:space="preserve">Following Kitchenham &amp; Charters §5.1, the present review is self-evaluated against the four DARE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100"/>
        <w:gridCol w:w="3580"/>
      </w:tblGrid>
      <w:tr>
        <w:trPr>
          <w:tblHeader/>
        </w:trPr>
        <w:tc>
          <w:tcPr>
            <w:tcW w:type="dxa" w:w="468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DARE criterion</w:t>
            </w:r>
          </w:p>
        </w:tc>
        <w:tc>
          <w:tcPr>
            <w:tcW w:type="dxa" w:w="110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Score</w:t>
            </w:r>
          </w:p>
        </w:tc>
        <w:tc>
          <w:tcPr>
            <w:tcW w:type="dxa" w:w="358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Justification</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Are inclusion and exclusion criteria described and appropriate?</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Y (1.0)</w:t>
            </w:r>
          </w:p>
        </w:tc>
        <w:tc>
          <w:tcPr>
            <w:tcW w:type="dxa" w:w="35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Five-criterion list defined a priori in §2.3.</w:t>
            </w:r>
          </w:p>
        </w:tc>
      </w:tr>
      <w:tr>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Is the literature search likely to have covered all relevant studies?</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Y (1.0)</w:t>
            </w:r>
          </w:p>
        </w:tc>
        <w:tc>
          <w:tcPr>
            <w:tcW w:type="dxa" w:w="35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Six digital libraries searched plus citation chasing; explicit search string in §2.2.</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Did the reviewers assess the quality/validity of the included studies?</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Y (1.0)</w:t>
            </w:r>
          </w:p>
        </w:tc>
        <w:tc>
          <w:tcPr>
            <w:tcW w:type="dxa" w:w="35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Five-item QA instrument applied to all 36 papers; results in Appendix B.</w:t>
            </w:r>
          </w:p>
        </w:tc>
      </w:tr>
      <w:tr>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Were the basic data/studies adequately described?</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Y (1.0)</w:t>
            </w:r>
          </w:p>
        </w:tc>
        <w:tc>
          <w:tcPr>
            <w:tcW w:type="dxa" w:w="35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Per-paper data extraction in Appendix B; per-paper contributions referenced throughout §4.</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Total DARE score</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4.0 / 4.0</w:t>
            </w:r>
          </w:p>
        </w:tc>
        <w:tc>
          <w:tcPr>
            <w:tcW w:type="dxa" w:w="35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Self-evaluation; an external assessor may score differently.</w:t>
            </w:r>
          </w:p>
        </w:tc>
      </w:tr>
    </w:tbl>
    <w:p>
      <w:r>
        <w:br w:type="page"/>
      </w:r>
    </w:p>
    <w:p>
      <w:pPr>
        <w:pStyle w:val="Heading1"/>
        <w:spacing w:after="200" w:before="360"/>
      </w:pPr>
      <w:r>
        <w:t xml:space="preserve">8. Conclusion</w:t>
      </w:r>
    </w:p>
    <w:p>
      <w:pPr>
        <w:pStyle w:val="Heading2"/>
        <w:spacing w:after="160" w:before="280"/>
      </w:pPr>
      <w:r>
        <w:t xml:space="preserve">8.1 Summary of Findings</w:t>
      </w:r>
    </w:p>
    <w:p>
      <w:pPr>
        <w:spacing w:after="120" w:line="300"/>
        <w:jc w:val="both"/>
      </w:pPr>
      <w:r>
        <w:rPr>
          <w:sz w:val="22"/>
          <w:szCs w:val="22"/>
        </w:rPr>
        <w:t xml:space="preserve">This systematic review of 36 peer-reviewed studies published between 2020 and 2026, conducted in accordance with the Kitchenham &amp; Charters (2007) guidelines, provides a structured synthesis of DevOps and CI/CD practices in quantum software engineering. The synthesis identifies five dimensions on which quantum DevOps differs from classical DevOps, five clusters of CI/CD challenges, and five categories of adoption barriers. It also identifies five clear research gaps and proposes a candidate theoretical contribution — the Quantum DevOps Adaptation Theory (Q-DAT) — that explains the patterned difficulty of adopting classical practices in quantum contexts.</w:t>
      </w:r>
    </w:p>
    <w:p>
      <w:pPr>
        <w:pStyle w:val="Heading2"/>
        <w:spacing w:after="160" w:before="280"/>
      </w:pPr>
      <w:r>
        <w:t xml:space="preserve">8.2 Implications for Research</w:t>
      </w:r>
    </w:p>
    <w:p>
      <w:pPr>
        <w:spacing w:after="120" w:line="300"/>
        <w:jc w:val="both"/>
      </w:pPr>
      <w:r>
        <w:rPr>
          <w:sz w:val="22"/>
          <w:szCs w:val="22"/>
        </w:rPr>
        <w:t xml:space="preserve">The corpus reveals a field that is theoretically rich but empirically thin. The most pressing research priorities, in approximate order of importance, are:</w:t>
      </w:r>
    </w:p>
    <w:p>
      <w:pPr>
        <w:pStyle w:val="ListParagraph"/>
        <w:numPr>
          <w:ilvl w:val="0"/>
          <w:numId w:val="2"/>
        </w:numPr>
        <w:spacing w:after="80" w:line="280"/>
      </w:pPr>
      <w:r>
        <w:rPr>
          <w:sz w:val="22"/>
          <w:szCs w:val="22"/>
        </w:rPr>
        <w:t xml:space="preserve">Cross-organisational empirical studies of quantum DevOps practices, including longitudinal case studies and multi-case comparisons.</w:t>
      </w:r>
    </w:p>
    <w:p>
      <w:pPr>
        <w:pStyle w:val="ListParagraph"/>
        <w:numPr>
          <w:ilvl w:val="0"/>
          <w:numId w:val="2"/>
        </w:numPr>
        <w:spacing w:after="80" w:line="280"/>
      </w:pPr>
      <w:r>
        <w:rPr>
          <w:sz w:val="22"/>
          <w:szCs w:val="22"/>
        </w:rPr>
        <w:t xml:space="preserve">Empirical validation of Q-DAT or competing theoretical frameworks through survey-based or interview-based primary research.</w:t>
      </w:r>
    </w:p>
    <w:p>
      <w:pPr>
        <w:pStyle w:val="ListParagraph"/>
        <w:numPr>
          <w:ilvl w:val="0"/>
          <w:numId w:val="2"/>
        </w:numPr>
        <w:spacing w:after="80" w:line="280"/>
      </w:pPr>
      <w:r>
        <w:rPr>
          <w:sz w:val="22"/>
          <w:szCs w:val="22"/>
        </w:rPr>
        <w:t xml:space="preserve">Development and curation of a quantum DevOps pattern catalogue analogous to the classical one.</w:t>
      </w:r>
    </w:p>
    <w:p>
      <w:pPr>
        <w:pStyle w:val="ListParagraph"/>
        <w:numPr>
          <w:ilvl w:val="0"/>
          <w:numId w:val="2"/>
        </w:numPr>
        <w:spacing w:after="80" w:line="280"/>
      </w:pPr>
      <w:r>
        <w:rPr>
          <w:sz w:val="22"/>
          <w:szCs w:val="22"/>
        </w:rPr>
        <w:t xml:space="preserve">Demonstration of cross-vendor CI/CD pipelines in industrial production settings.</w:t>
      </w:r>
    </w:p>
    <w:p>
      <w:pPr>
        <w:pStyle w:val="ListParagraph"/>
        <w:numPr>
          <w:ilvl w:val="0"/>
          <w:numId w:val="2"/>
        </w:numPr>
        <w:spacing w:after="80" w:line="280"/>
      </w:pPr>
      <w:r>
        <w:rPr>
          <w:sz w:val="22"/>
          <w:szCs w:val="22"/>
        </w:rPr>
        <w:t xml:space="preserve">Convergence on a unified, empirically-grounded quantum software lifecycle model.</w:t>
      </w:r>
    </w:p>
    <w:p>
      <w:pPr>
        <w:pStyle w:val="Heading2"/>
        <w:spacing w:after="160" w:before="280"/>
      </w:pPr>
      <w:r>
        <w:t xml:space="preserve">8.3 Implications for Practice</w:t>
      </w:r>
    </w:p>
    <w:p>
      <w:pPr>
        <w:spacing w:after="120" w:line="300"/>
        <w:jc w:val="both"/>
      </w:pPr>
      <w:r>
        <w:rPr>
          <w:sz w:val="22"/>
          <w:szCs w:val="22"/>
        </w:rPr>
        <w:t xml:space="preserve">For practitioners considering the adoption of quantum software engineering practices, the synthesis offers three concrete recommendations. First, treat probabilistic execution as a first-class concern from the earliest design stage rather than as something to be 'added later' to existing pipelines. Second, invest in vendor-agnostic abstraction layers (e.g. those proposed in P4, P6, P28, P29) before committing to a specific quantum SDK or hardware vendor; the cost of decoupling later is high. Third, treat security and trust as quantum-specific design constraints requiring new pipeline primitives, not as classical problems to be retrofitted.</w:t>
      </w:r>
    </w:p>
    <w:p>
      <w:pPr>
        <w:pStyle w:val="Heading2"/>
        <w:spacing w:after="160" w:before="280"/>
      </w:pPr>
      <w:r>
        <w:t xml:space="preserve">8.4 Closing Remarks</w:t>
      </w:r>
    </w:p>
    <w:p>
      <w:pPr>
        <w:spacing w:after="120" w:line="300"/>
        <w:jc w:val="both"/>
      </w:pPr>
      <w:r>
        <w:rPr>
          <w:sz w:val="22"/>
          <w:szCs w:val="22"/>
        </w:rPr>
        <w:t xml:space="preserve">Quantum software engineering is at an inflection point. The technical preconditions for industrial quantum software — accessible cloud-based hardware, multiple mature SDKs, a growing developer community — are all in place. The engineering preconditions — established practices, reusable patterns, validated lifecycle models, and a coherent body of theory — are not. The corpus reviewed here represents the first generation of work on these engineering preconditions. Filling the gaps identified in Section 5, and validating frameworks like Q-DAT, is the agenda for the next several years of research.</w:t>
      </w:r>
    </w:p>
    <w:p>
      <w:r>
        <w:br w:type="page"/>
      </w:r>
    </w:p>
    <w:p>
      <w:pPr>
        <w:pStyle w:val="Heading1"/>
        <w:spacing w:after="200" w:before="360"/>
      </w:pPr>
      <w:r>
        <w:t xml:space="preserve">Methodological References</w:t>
      </w:r>
    </w:p>
    <w:p>
      <w:pPr>
        <w:spacing w:after="120" w:line="300"/>
        <w:jc w:val="both"/>
      </w:pPr>
      <w:r>
        <w:rPr>
          <w:sz w:val="22"/>
          <w:szCs w:val="22"/>
        </w:rPr>
        <w:t xml:space="preserve">The following methodological references guided the conduct of this review:</w:t>
      </w:r>
    </w:p>
    <w:p>
      <w:pPr>
        <w:pStyle w:val="ListParagraph"/>
        <w:numPr>
          <w:ilvl w:val="0"/>
          <w:numId w:val="2"/>
        </w:numPr>
        <w:spacing w:after="80" w:line="280"/>
      </w:pPr>
      <w:r>
        <w:rPr>
          <w:sz w:val="22"/>
          <w:szCs w:val="22"/>
        </w:rPr>
        <w:t xml:space="preserve">Kitchenham, B. and Charters, S. (2007). Guidelines for performing Systematic Literature Reviews in Software Engineering. Version 2.3. EBSE Technical Report EBSE-2007-01, Keele University and University of Durham.</w:t>
      </w:r>
    </w:p>
    <w:p>
      <w:pPr>
        <w:pStyle w:val="ListParagraph"/>
        <w:numPr>
          <w:ilvl w:val="0"/>
          <w:numId w:val="2"/>
        </w:numPr>
        <w:spacing w:after="80" w:line="280"/>
      </w:pPr>
      <w:r>
        <w:rPr>
          <w:sz w:val="22"/>
          <w:szCs w:val="22"/>
        </w:rPr>
        <w:t xml:space="preserve">Brereton, P., Kitchenham, B.A., Budgen, D., Turner, M., and Khalil, M. (2007). Lessons from applying the systematic literature review process within the software engineering domain. Journal of Systems and Software 80, 571–583.</w:t>
      </w:r>
    </w:p>
    <w:p>
      <w:pPr>
        <w:pStyle w:val="ListParagraph"/>
        <w:numPr>
          <w:ilvl w:val="0"/>
          <w:numId w:val="2"/>
        </w:numPr>
        <w:spacing w:after="80" w:line="280"/>
      </w:pPr>
      <w:r>
        <w:rPr>
          <w:sz w:val="22"/>
          <w:szCs w:val="22"/>
        </w:rPr>
        <w:t xml:space="preserve">Petticrew, M. and Roberts, H. (2005). Systematic Reviews in the Social Sciences: A Practical Guide. Blackwell Publishing.</w:t>
      </w:r>
    </w:p>
    <w:p>
      <w:pPr>
        <w:pStyle w:val="ListParagraph"/>
        <w:numPr>
          <w:ilvl w:val="0"/>
          <w:numId w:val="2"/>
        </w:numPr>
        <w:spacing w:after="80" w:line="280"/>
      </w:pPr>
      <w:r>
        <w:rPr>
          <w:sz w:val="22"/>
          <w:szCs w:val="22"/>
        </w:rPr>
        <w:t xml:space="preserve">Centre for Reviews and Dissemination (2001). Undertaking Systematic Reviews of Research on Effectiveness. CRD Report Number 4 (2nd Edition), University of York.</w:t>
      </w:r>
    </w:p>
    <w:p>
      <w:pPr>
        <w:pStyle w:val="ListParagraph"/>
        <w:numPr>
          <w:ilvl w:val="0"/>
          <w:numId w:val="2"/>
        </w:numPr>
        <w:spacing w:after="80" w:line="280"/>
      </w:pPr>
      <w:r>
        <w:rPr>
          <w:sz w:val="22"/>
          <w:szCs w:val="22"/>
        </w:rPr>
        <w:t xml:space="preserve">CRD DARE criteria, Database of Abstracts of Reviews of Effects.</w:t>
      </w:r>
    </w:p>
    <w:p>
      <w:pPr>
        <w:spacing w:after="120" w:line="300"/>
        <w:jc w:val="both"/>
      </w:pPr>
      <w:r>
        <w:rPr>
          <w:sz w:val="22"/>
          <w:szCs w:val="22"/>
        </w:rPr>
        <w:t xml:space="preserve">The 36 included primary studies are listed in Appendix B with full bibliographic data. As the present review is part of an interdisciplinary project report, the primary-study reference list is integrated with the appendix table rather than repeated in a separate bibliography section.</w:t>
      </w:r>
    </w:p>
    <w:p>
      <w:r>
        <w:br w:type="page"/>
      </w:r>
    </w:p>
    <w:p>
      <w:pPr>
        <w:pStyle w:val="Heading1"/>
        <w:spacing w:after="200" w:before="360"/>
      </w:pPr>
      <w:r>
        <w:t xml:space="preserve">Appendix A — Papers Excluded at Full-Text Screening</w:t>
      </w:r>
    </w:p>
    <w:p>
      <w:pPr>
        <w:spacing w:after="120" w:line="300"/>
        <w:jc w:val="both"/>
      </w:pPr>
      <w:r>
        <w:rPr>
          <w:sz w:val="22"/>
          <w:szCs w:val="22"/>
        </w:rPr>
        <w:t xml:space="preserve">Fifteen papers reached full-text screening but were excluded after reading. The full list with reasons is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80"/>
        <w:gridCol w:w="4680"/>
      </w:tblGrid>
      <w:tr>
        <w:trPr>
          <w:tblHeader/>
        </w:trPr>
        <w:tc>
          <w:tcPr>
            <w:tcW w:type="dxa" w:w="40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w:t>
            </w:r>
          </w:p>
        </w:tc>
        <w:tc>
          <w:tcPr>
            <w:tcW w:type="dxa" w:w="428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Title</w:t>
            </w:r>
          </w:p>
        </w:tc>
        <w:tc>
          <w:tcPr>
            <w:tcW w:type="dxa" w:w="468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Reason for exclusion</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1</w:t>
            </w:r>
          </w:p>
        </w:tc>
        <w:tc>
          <w:tcPr>
            <w:tcW w:type="dxa" w:w="42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 survey of energy concerns for software engineering</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No meaningful connection to quantum DevOps; quantum is mentioned only as one driver technology.</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2</w:t>
            </w:r>
          </w:p>
        </w:tc>
        <w:tc>
          <w:tcPr>
            <w:tcW w:type="dxa" w:w="42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Introduction to software architecture for quantum computing systems special issue</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Editorial only (3 pages); not original research.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3</w:t>
            </w:r>
          </w:p>
        </w:tc>
        <w:tc>
          <w:tcPr>
            <w:tcW w:type="dxa" w:w="42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 survey on quantum-safe blockchain security infrastructure</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About post-quantum cryptography for blockchain; not about quantum software development or DevOps.</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4</w:t>
            </w:r>
          </w:p>
        </w:tc>
        <w:tc>
          <w:tcPr>
            <w:tcW w:type="dxa" w:w="42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Quantum-Enhanced Agentic AI: A New Frontier for Decision Intelligence</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Uses quantum as backend for AI; does not address quantum software DevOps practices.</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5</w:t>
            </w:r>
          </w:p>
        </w:tc>
        <w:tc>
          <w:tcPr>
            <w:tcW w:type="dxa" w:w="42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 2030 Roadmap for Software Engineering</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Broad SE roadmap with quantum SE as one of seven sections; too general for this SLR's scope.</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6</w:t>
            </w:r>
          </w:p>
        </w:tc>
        <w:tc>
          <w:tcPr>
            <w:tcW w:type="dxa" w:w="42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Advanced Securing Cloud Environments using Quantum Convolutional Neural Network-based Multi-Channel Cryptographic</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Quantum NN/PQC for cloud cybersecurity; not about quantum software development practices.</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7</w:t>
            </w:r>
          </w:p>
        </w:tc>
        <w:tc>
          <w:tcPr>
            <w:tcW w:type="dxa" w:w="42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Quantum Computing: Foundations, Architecture and Applications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Hardware-focused quantum computing review; 'architecture' refers to quantum processor architecture, not software architecture.</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8</w:t>
            </w:r>
          </w:p>
        </w:tc>
        <w:tc>
          <w:tcPr>
            <w:tcW w:type="dxa" w:w="42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 Review of TRiSM Frameworks in Artificial Intelligence Systems</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AI Trust/Risk/Security Management review; quantum-safe architectures appear only in future-directions sentence.</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9</w:t>
            </w:r>
          </w:p>
        </w:tc>
        <w:tc>
          <w:tcPr>
            <w:tcW w:type="dxa" w:w="42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Next-Gen AI Decision Support in Software Engineering: Leveraging Complexity with Quantum Computing, DevOps Automation, and Responsible Machine Learning</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DevOps automation discussed is classical/AI-driven; quantum is peripheral.</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10</w:t>
            </w:r>
          </w:p>
        </w:tc>
        <w:tc>
          <w:tcPr>
            <w:tcW w:type="dxa" w:w="42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Protecting Financial Transactions and Cryptocurrency Networks from Fraud Using AI-Powered Blockchain Technology</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AI/blockchain for fraud detection; quantum mentioned only briefly in future work.</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11</w:t>
            </w:r>
          </w:p>
        </w:tc>
        <w:tc>
          <w:tcPr>
            <w:tcW w:type="dxa" w:w="42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Self Evolving AI Systems for Proactive Multi Cloud Compatibility, Resilience and Autonomous Optimization</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AI multi-cloud framework; quantum cloud only as potential future extension.</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12</w:t>
            </w:r>
          </w:p>
        </w:tc>
        <w:tc>
          <w:tcPr>
            <w:tcW w:type="dxa" w:w="42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Correction: Agile meets quantum (appendix correction)</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Correction notice for prior paper; would double-count the same study.</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13</w:t>
            </w:r>
          </w:p>
        </w:tc>
        <w:tc>
          <w:tcPr>
            <w:tcW w:type="dxa" w:w="42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Mapping quantum industry demands to education</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Workforce/education focus; does not address engineering practices, DevOps, or CI/CD.</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14</w:t>
            </w:r>
          </w:p>
        </w:tc>
        <w:tc>
          <w:tcPr>
            <w:tcW w:type="dxa" w:w="42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Bias-field digitized counterdiabatic quantum algorithm for higher-order binary optimization</w:t>
            </w:r>
          </w:p>
        </w:tc>
        <w:tc>
          <w:tcPr>
            <w:tcW w:type="dxa" w:w="468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Pure quantum algorithm/physics paper; no software engineering content.</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15</w:t>
            </w:r>
          </w:p>
        </w:tc>
        <w:tc>
          <w:tcPr>
            <w:tcW w:type="dxa" w:w="42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Entrepreneurial strategies for sustainable growth: cloud-native technology</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Entrepreneurship review; quantum is one of many disruptive technologies mentioned.</w:t>
            </w:r>
          </w:p>
        </w:tc>
      </w:tr>
    </w:tbl>
    <w:p>
      <w:r>
        <w:br w:type="page"/>
      </w:r>
    </w:p>
    <w:p>
      <w:pPr>
        <w:pStyle w:val="Heading1"/>
        <w:spacing w:after="200" w:before="360"/>
      </w:pPr>
      <w:r>
        <w:t xml:space="preserve">Appendix B — Data Extraction with Quality Assessment</w:t>
      </w:r>
    </w:p>
    <w:p>
      <w:pPr>
        <w:spacing w:after="120" w:line="300"/>
        <w:jc w:val="both"/>
      </w:pPr>
      <w:r>
        <w:rPr>
          <w:sz w:val="22"/>
          <w:szCs w:val="22"/>
        </w:rPr>
        <w:t xml:space="preserve">All 36 included papers, with reference, study type, RQ mapping, per-item QA scores, total QA score, and key contribution. QA items: QA1 = aims; QA2 = context; QA3 = methodology; QA4 = findings; QA5 = limitations. Each item: 1.0 = yes, 0.5 = partly, 0.0 = no.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400"/>
        <w:gridCol w:w="1100"/>
        <w:gridCol w:w="600"/>
        <w:gridCol w:w="1900"/>
        <w:gridCol w:w="1260"/>
      </w:tblGrid>
      <w:tr>
        <w:trPr>
          <w:tblHeader/>
        </w:trPr>
        <w:tc>
          <w:tcPr>
            <w:tcW w:type="dxa" w:w="40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ID</w:t>
            </w:r>
          </w:p>
        </w:tc>
        <w:tc>
          <w:tcPr>
            <w:tcW w:type="dxa" w:w="170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Reference</w:t>
            </w:r>
          </w:p>
        </w:tc>
        <w:tc>
          <w:tcPr>
            <w:tcW w:type="dxa" w:w="240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Title</w:t>
            </w:r>
          </w:p>
        </w:tc>
        <w:tc>
          <w:tcPr>
            <w:tcW w:type="dxa" w:w="110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Type</w:t>
            </w:r>
          </w:p>
        </w:tc>
        <w:tc>
          <w:tcPr>
            <w:tcW w:type="dxa" w:w="60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RQs</w:t>
            </w:r>
          </w:p>
        </w:tc>
        <w:tc>
          <w:tcPr>
            <w:tcW w:type="dxa" w:w="190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QA1 / QA2 / QA3 / QA4 / QA5  (Total)</w:t>
            </w:r>
          </w:p>
        </w:tc>
        <w:tc>
          <w:tcPr>
            <w:tcW w:type="dxa" w:w="1260"/>
            <w:tcBorders>
              <w:top w:val="single" w:color="999999" w:sz="4"/>
              <w:left w:val="single" w:color="999999" w:sz="4"/>
              <w:bottom w:val="single" w:color="999999" w:sz="4"/>
              <w:right w:val="single" w:color="999999" w:sz="4"/>
            </w:tcBorders>
            <w:shd w:fill="2E5984" w:color="auto" w:val="clear"/>
            <w:tcMar>
              <w:top w:type="dxa" w:w="100"/>
              <w:left w:type="dxa" w:w="140"/>
              <w:bottom w:type="dxa" w:w="100"/>
              <w:right w:type="dxa" w:w="140"/>
            </w:tcMar>
          </w:tcPr>
          <w:p>
            <w:pPr>
              <w:jc w:val="left"/>
            </w:pPr>
            <w:r>
              <w:rPr>
                <w:b/>
                <w:bCs/>
                <w:color w:val="FFFFFF"/>
                <w:sz w:val="20"/>
                <w:szCs w:val="20"/>
              </w:rPr>
              <w:t xml:space="preserve">Tier</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P1</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Khan et al. (2023)</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Software architecture for quantum computing systems — A systematic review</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SLR</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P2</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Klymenko et al. (2025)</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Architectural patterns for designing quantum artificial intelligence systems</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Mapping Study</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RQ2, RQ3</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P3</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Márquez et al. (2025)</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Security discussions in quantum software projects on GitHub</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Empirical (Mining)</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RQ2, 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1 / 1 / 1  (5.0)</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P4</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Nguyen et al. (2024)</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QFaaS: A serverless function-as-a-service framework for quantum computing</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Framework / Implementation</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RQ1, RQ2, RQ3</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P5</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Yousuf &amp; Sofi (2026)</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 systematic exploration of quantum software engineering in the NISQ era</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Survey</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RQ2, 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P6</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Stirbu et al. (2024)</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Qubernetes: Towards a unified cloud-native execution platform for hybrid classic-quantum computing</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Design Science</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RQ1, RQ2</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P7</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Sepúlveda et al. (2024)</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 software product line approach for developing hybrid software systems</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Conceptual / Approach</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0.5 / 0.5 / 0.5  (3.5)</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Acceptable</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P8</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Díaz et al. (2024)</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Service engineering for quantum computing: Ensuring high-quality quantum services</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Process / Tool</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RQ1, RQ2, RQ3</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P9</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Ahmad et al. (2024)</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 reference architecture for quantum computing as a service</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Reference Architecture</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1 / 0.5 / 0.5  (4.0)</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P10</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Kourtis et al. (2024)</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Towards Continuous Development for Quantum Programming in Decentralized IoT environments</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Vision / Framework</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RQ1, RQ2</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0.5 / 0.5 / 0.5 / 0.5  (3.0)</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Acceptable</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P11</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De Stefano et al. (2022)</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Towards Quantum-Algorithms-as-a-Service</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Vision / Position</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0.5 / 0.5 / 0.5 / 0.5  (3.0)</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Acceptable</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P12</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Schulz et al. (2024)</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From the Physics Lab to the Computer Lab: Towards Flexible and Comprehensive DevOps for Quantum Computing</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Position / Vision</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RQ1, RQ2, RQ3</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0.5 / 0.5 / 0.5 / 0.5  (3.0)</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Acceptable</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P13</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Sepúlveda, Piattini &amp; Pérez-Castillo (2024)</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Developing hybrid quantum-classical software: a software product line approach</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Conceptual / Approach</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0.5 / 0.5 / 0.5 / 0.5  (3.0)</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Acceptable</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P14</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Ishikawa &amp; Saito (2024)</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Model-Based Framework for Continuous Adaptation and Evolution of Quantum-Classical Hybrid Systems</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Framework</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RQ1, RQ2</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0.5 / 0.5 / 0.5  (3.5)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Acceptable</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P15</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Wang et al. (2024)</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Application of Quantum Extreme Learning Machines for QoS Prediction of Elevators' Software in an Industrial Context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Empirical / Industrial Case</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RQ2</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1 / 1 / 1  (5.0)</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P16</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Khan et al. (2025)</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Advancing Quantum Software Engineering: A Vision of Hybrid Full-Stack Iterative Model</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Vision / Lifecycle Model</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RQ1, RQ2, RQ3</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0.5 / 0.5 / 0.5  (3.5)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Acceptable</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P17</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Akbar et al. (2025)</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Quantum Secure DevOps (QSecOps): Integrating Quantum-Based Security Checks into CI/CD Pipelines</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Theoretical Framework / Survey</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RQ2, 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P18</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Murillo et al. (2025)</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Quantum Software Engineering: Roadmap and Challenges Ahead</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Roadmap / Authoritative Review</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RQ1, RQ2, RQ3</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1  (5.0)</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P19</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Patel et al. (2025)</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OpaQue: Program Output Obfuscation for Quantum Software Circuits in Quantum Clouds</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Tool / Implementation</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RQ2, 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P20</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Guo, Balewski &amp; Pan (2025)</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Q-GEAR: Improving quantum simulation framework</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Tool / Implementation</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RQ2</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P21</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Garcia-Alonso et al. (2026)</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Rethinking Services in the Quantum Age: The SOQ Paradigm</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Paradigm / Theory</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0.5 / 0.5 / 0.5  (3.5)</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Acceptable</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P22</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Rana &amp; Giri (2025)</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AI-Enhanced DevOps Integration in Quantum Computing Environments</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Empirical / Mixed-Methods</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RQ1, RQ2, RQ3</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P23</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Saxena, Tamrakar &amp; Arranz (2024)</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Automated Testing and Deployment Strategies for Quantum Algorithms</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Framework / Architecture</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RQ1, RQ2, 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0.5 / 0.5 / 0.5  (3.5)</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Acceptable</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P24</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Birgin &amp; Celiktas (2026)</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From Policy to Practice: A Sector-Agnostic Operational Framework for Post-Quantum Cryptography Transition</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Operational Framework</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RQ2</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P25</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Alfraihi et al. (2026)</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 Structured Lifecycle Model for Quantum Software Engineering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Lifecycle Model + Empirical Validation</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RQ1, RQ2, 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1 / 1 / 1  (5.0)</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P26</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Lau et al. (2024)</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Qsyn: A Developer-Friendly Quantum Circuit Synthesis Framework for NISQ Era and Beyond</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Tool / Implementation</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RQ2</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P27</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Gheorghe-Pop et al. (2020)</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Quantum DevOps: Towards Reliable and Applicable NISQ Quantum Computing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Position / Vision</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RQ1, RQ2</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0.5 / 0.5 / 0.5  (3.5)</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Acceptable</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P28</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Hevia, Peterssen &amp; Piattini (2021)</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QuantumPath: A quantum software development platform</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Experience Report / Platform</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RQ1, RQ3</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P29</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Romero-Álvarez et al. (2024)</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Enabling continuous deployment techniques for quantum services</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Research Article + Survey Validation</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RQ1, RQ2</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1 / 1 / 1  (5.0)</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P30</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Kim (2025)</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 Metamodeling Approach to Enforcing the No-Cloning Theorem in Quantum Software Engineering</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Formal Methods</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RQ3</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P31</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Piattini, Peterssen &amp; Pérez-Castillo (2020)</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Quantum Computing: A New Software Engineering Golden Age</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Position</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0.5 / 0.5 / 0.5 / 0.5  (3.0)</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Acceptable</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P32</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Akbar, Khan &amp; Rafi (2023)</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A systematic decision-making framework for tackling quantum software engineering challenges</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Empirical / ISM + Fuzzy TOPSIS</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RQ3</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1  (5.0)</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P33</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Khan et al. (2024)</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Agile meets quantum: a novel genetic algorithm model for predicting the success of quantum software development project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Empirical / Survey + Modeling</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RQ1, 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1 / 1 / 1  (5.0)</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P34</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Dwivedi, Haghparast &amp; Mikkonen (2024)</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Quantum software engineering and quantum software development lifecycle: a survey</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Survey</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RQ1, RQ3</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0.5 / 0.5  (4.0)</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P35</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Lambiase &amp; De Lucia (2026)</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Quantifying adoption: A SEM study of quantum software technology in software development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Empirical / PLS-SEM</w:t>
            </w:r>
          </w:p>
        </w:tc>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RQ3</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 / 1 / 1 / 1 / 1  (5.0)</w:t>
            </w:r>
          </w:p>
        </w:tc>
        <w:tc>
          <w:tcPr>
            <w:tcW w:type="dxa" w:w="12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High</w:t>
            </w:r>
          </w:p>
        </w:tc>
      </w:tr>
      <w:tr>
        <w:tc>
          <w:tcPr>
            <w:tcW w:type="dxa" w:w="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P36</w:t>
            </w:r>
          </w:p>
        </w:tc>
        <w:tc>
          <w:tcPr>
            <w:tcW w:type="dxa" w:w="17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Moguel et al. (2022)</w:t>
            </w:r>
          </w:p>
        </w:tc>
        <w:tc>
          <w:tcPr>
            <w:tcW w:type="dxa" w:w="24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Quantum service-oriented computing: current landscape and challenges</w:t>
            </w:r>
          </w:p>
        </w:tc>
        <w:tc>
          <w:tcPr>
            <w:tcW w:type="dxa" w:w="11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Case Study</w:t>
            </w:r>
          </w:p>
        </w:tc>
        <w:tc>
          <w:tcPr>
            <w:tcW w:type="dxa" w:w="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RQ3</w:t>
            </w:r>
          </w:p>
        </w:tc>
        <w:tc>
          <w:tcPr>
            <w:tcW w:type="dxa" w:w="19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sz w:val="20"/>
                <w:szCs w:val="20"/>
              </w:rPr>
              <w:t xml:space="preserve">1 / 1 / 1 / 1 / 0.5  (4.5)</w:t>
            </w:r>
          </w:p>
        </w:tc>
        <w:tc>
          <w:tcPr>
            <w:tcW w:type="dxa" w:w="12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bCs/>
                <w:sz w:val="20"/>
                <w:szCs w:val="20"/>
              </w:rPr>
              <w:t xml:space="preserve">High</w:t>
            </w:r>
          </w:p>
        </w:tc>
      </w:tr>
    </w:tbl>
    <w:p>
      <w:pPr>
        <w:spacing w:after="120"/>
      </w:pPr>
      <w:r>
        <w:t xml:space="preserve"/>
      </w:r>
    </w:p>
    <w:p>
      <w:pPr>
        <w:spacing w:after="120" w:line="300"/>
        <w:jc w:val="both"/>
      </w:pPr>
      <w:r>
        <w:rPr>
          <w:sz w:val="22"/>
          <w:szCs w:val="22"/>
        </w:rPr>
        <w:t xml:space="preserve">Per-paper key contributions are stated in Section 4 alongside each citation. The relevance tier (High vs Moderate) is given in Section 3.4 and used in the synthesis weighting in Section 4.</w:t>
      </w:r>
    </w:p>
    <w:p>
      <w:r>
        <w:br w:type="page"/>
      </w:r>
    </w:p>
    <w:p>
      <w:pPr>
        <w:pStyle w:val="Heading1"/>
        <w:spacing w:after="200" w:before="360"/>
      </w:pPr>
      <w:r>
        <w:t xml:space="preserve">Appendix C — RQ Mapping of Included Papers</w:t>
      </w:r>
    </w:p>
    <w:p>
      <w:pPr>
        <w:spacing w:after="120" w:line="300"/>
        <w:jc w:val="both"/>
      </w:pPr>
      <w:r>
        <w:rPr>
          <w:sz w:val="22"/>
          <w:szCs w:val="22"/>
        </w:rPr>
        <w:t xml:space="preserve">This appendix lists, for each research question, the included papers contributing to it. Many papers contribute to more than one RQ; the totals therefore exceed 36.</w:t>
      </w:r>
    </w:p>
    <w:p>
      <w:pPr>
        <w:pStyle w:val="Heading3"/>
        <w:spacing w:after="120" w:before="220"/>
      </w:pPr>
      <w:r>
        <w:t xml:space="preserve">RQ1 — Comparison with standard DevOps (n=16)</w:t>
      </w:r>
    </w:p>
    <w:p>
      <w:pPr>
        <w:pStyle w:val="ListParagraph"/>
        <w:numPr>
          <w:ilvl w:val="0"/>
          <w:numId w:val="2"/>
        </w:numPr>
        <w:spacing w:after="80" w:line="280"/>
      </w:pPr>
      <w:r>
        <w:rPr>
          <w:sz w:val="22"/>
          <w:szCs w:val="22"/>
        </w:rPr>
        <w:t xml:space="preserve">P4 Nguyen et al. (2024) — QFaaS: A serverless function-as-a-service framework for quantum computing</w:t>
      </w:r>
    </w:p>
    <w:p>
      <w:pPr>
        <w:pStyle w:val="ListParagraph"/>
        <w:numPr>
          <w:ilvl w:val="0"/>
          <w:numId w:val="2"/>
        </w:numPr>
        <w:spacing w:after="80" w:line="280"/>
      </w:pPr>
      <w:r>
        <w:rPr>
          <w:sz w:val="22"/>
          <w:szCs w:val="22"/>
        </w:rPr>
        <w:t xml:space="preserve">P6 Stirbu et al. (2024) — Qubernetes: Towards a unified cloud-native execution platform for hybrid classic-quantum computing</w:t>
      </w:r>
    </w:p>
    <w:p>
      <w:pPr>
        <w:pStyle w:val="ListParagraph"/>
        <w:numPr>
          <w:ilvl w:val="0"/>
          <w:numId w:val="2"/>
        </w:numPr>
        <w:spacing w:after="80" w:line="280"/>
      </w:pPr>
      <w:r>
        <w:rPr>
          <w:sz w:val="22"/>
          <w:szCs w:val="22"/>
        </w:rPr>
        <w:t xml:space="preserve">P8 Díaz et al. (2024) — Service engineering for quantum computing: Ensuring high-quality quantum services</w:t>
      </w:r>
    </w:p>
    <w:p>
      <w:pPr>
        <w:pStyle w:val="ListParagraph"/>
        <w:numPr>
          <w:ilvl w:val="0"/>
          <w:numId w:val="2"/>
        </w:numPr>
        <w:spacing w:after="80" w:line="280"/>
      </w:pPr>
      <w:r>
        <w:rPr>
          <w:sz w:val="22"/>
          <w:szCs w:val="22"/>
        </w:rPr>
        <w:t xml:space="preserve">P10 Kourtis et al. (2024) — Towards Continuous Development for Quantum Programming in Decentralized IoT environments</w:t>
      </w:r>
    </w:p>
    <w:p>
      <w:pPr>
        <w:pStyle w:val="ListParagraph"/>
        <w:numPr>
          <w:ilvl w:val="0"/>
          <w:numId w:val="2"/>
        </w:numPr>
        <w:spacing w:after="80" w:line="280"/>
      </w:pPr>
      <w:r>
        <w:rPr>
          <w:sz w:val="22"/>
          <w:szCs w:val="22"/>
        </w:rPr>
        <w:t xml:space="preserve">P12 Schulz et al. (2024) — From the Physics Lab to the Computer Lab: Towards Flexible and Comprehensive DevOps for Quantum Computing</w:t>
      </w:r>
    </w:p>
    <w:p>
      <w:pPr>
        <w:pStyle w:val="ListParagraph"/>
        <w:numPr>
          <w:ilvl w:val="0"/>
          <w:numId w:val="2"/>
        </w:numPr>
        <w:spacing w:after="80" w:line="280"/>
      </w:pPr>
      <w:r>
        <w:rPr>
          <w:sz w:val="22"/>
          <w:szCs w:val="22"/>
        </w:rPr>
        <w:t xml:space="preserve">P14 Ishikawa &amp; Saito (2024) — Model-Based Framework for Continuous Adaptation and Evolution of Quantum-Classical Hybrid Systems</w:t>
      </w:r>
    </w:p>
    <w:p>
      <w:pPr>
        <w:pStyle w:val="ListParagraph"/>
        <w:numPr>
          <w:ilvl w:val="0"/>
          <w:numId w:val="2"/>
        </w:numPr>
        <w:spacing w:after="80" w:line="280"/>
      </w:pPr>
      <w:r>
        <w:rPr>
          <w:sz w:val="22"/>
          <w:szCs w:val="22"/>
        </w:rPr>
        <w:t xml:space="preserve">P16 Khan et al. (2025) — Advancing Quantum Software Engineering: A Vision of Hybrid Full-Stack Iterative Model</w:t>
      </w:r>
    </w:p>
    <w:p>
      <w:pPr>
        <w:pStyle w:val="ListParagraph"/>
        <w:numPr>
          <w:ilvl w:val="0"/>
          <w:numId w:val="2"/>
        </w:numPr>
        <w:spacing w:after="80" w:line="280"/>
      </w:pPr>
      <w:r>
        <w:rPr>
          <w:sz w:val="22"/>
          <w:szCs w:val="22"/>
        </w:rPr>
        <w:t xml:space="preserve">P18 Murillo et al. (2025) — Quantum Software Engineering: Roadmap and Challenges Ahead</w:t>
      </w:r>
    </w:p>
    <w:p>
      <w:pPr>
        <w:pStyle w:val="ListParagraph"/>
        <w:numPr>
          <w:ilvl w:val="0"/>
          <w:numId w:val="2"/>
        </w:numPr>
        <w:spacing w:after="80" w:line="280"/>
      </w:pPr>
      <w:r>
        <w:rPr>
          <w:sz w:val="22"/>
          <w:szCs w:val="22"/>
        </w:rPr>
        <w:t xml:space="preserve">P22 Rana &amp; Giri (2025) — AI-Enhanced DevOps Integration in Quantum Computing Environments</w:t>
      </w:r>
    </w:p>
    <w:p>
      <w:pPr>
        <w:pStyle w:val="ListParagraph"/>
        <w:numPr>
          <w:ilvl w:val="0"/>
          <w:numId w:val="2"/>
        </w:numPr>
        <w:spacing w:after="80" w:line="280"/>
      </w:pPr>
      <w:r>
        <w:rPr>
          <w:sz w:val="22"/>
          <w:szCs w:val="22"/>
        </w:rPr>
        <w:t xml:space="preserve">P23 Saxena, Tamrakar &amp; Arranz (2024) — Automated Testing and Deployment Strategies for Quantum Algorithms</w:t>
      </w:r>
    </w:p>
    <w:p>
      <w:pPr>
        <w:pStyle w:val="ListParagraph"/>
        <w:numPr>
          <w:ilvl w:val="0"/>
          <w:numId w:val="2"/>
        </w:numPr>
        <w:spacing w:after="80" w:line="280"/>
      </w:pPr>
      <w:r>
        <w:rPr>
          <w:sz w:val="22"/>
          <w:szCs w:val="22"/>
        </w:rPr>
        <w:t xml:space="preserve">P25 Alfraihi et al. (2026) — A Structured Lifecycle Model for Quantum Software Engineering</w:t>
      </w:r>
    </w:p>
    <w:p>
      <w:pPr>
        <w:pStyle w:val="ListParagraph"/>
        <w:numPr>
          <w:ilvl w:val="0"/>
          <w:numId w:val="2"/>
        </w:numPr>
        <w:spacing w:after="80" w:line="280"/>
      </w:pPr>
      <w:r>
        <w:rPr>
          <w:sz w:val="22"/>
          <w:szCs w:val="22"/>
        </w:rPr>
        <w:t xml:space="preserve">P27 Gheorghe-Pop et al. (2020) — Quantum DevOps: Towards Reliable and Applicable NISQ Quantum Computing</w:t>
      </w:r>
    </w:p>
    <w:p>
      <w:pPr>
        <w:pStyle w:val="ListParagraph"/>
        <w:numPr>
          <w:ilvl w:val="0"/>
          <w:numId w:val="2"/>
        </w:numPr>
        <w:spacing w:after="80" w:line="280"/>
      </w:pPr>
      <w:r>
        <w:rPr>
          <w:sz w:val="22"/>
          <w:szCs w:val="22"/>
        </w:rPr>
        <w:t xml:space="preserve">P28 Hevia, Peterssen &amp; Piattini (2021) — QuantumPath: A quantum software development platform</w:t>
      </w:r>
    </w:p>
    <w:p>
      <w:pPr>
        <w:pStyle w:val="ListParagraph"/>
        <w:numPr>
          <w:ilvl w:val="0"/>
          <w:numId w:val="2"/>
        </w:numPr>
        <w:spacing w:after="80" w:line="280"/>
      </w:pPr>
      <w:r>
        <w:rPr>
          <w:sz w:val="22"/>
          <w:szCs w:val="22"/>
        </w:rPr>
        <w:t xml:space="preserve">P29 Romero-Álvarez et al. (2024) — Enabling continuous deployment techniques for quantum services</w:t>
      </w:r>
    </w:p>
    <w:p>
      <w:pPr>
        <w:pStyle w:val="ListParagraph"/>
        <w:numPr>
          <w:ilvl w:val="0"/>
          <w:numId w:val="2"/>
        </w:numPr>
        <w:spacing w:after="80" w:line="280"/>
      </w:pPr>
      <w:r>
        <w:rPr>
          <w:sz w:val="22"/>
          <w:szCs w:val="22"/>
        </w:rPr>
        <w:t xml:space="preserve">P33 Khan et al. (2024) — Agile meets quantum: a novel genetic algorithm model for predicting the success of quantum software development project</w:t>
      </w:r>
    </w:p>
    <w:p>
      <w:pPr>
        <w:pStyle w:val="ListParagraph"/>
        <w:numPr>
          <w:ilvl w:val="0"/>
          <w:numId w:val="2"/>
        </w:numPr>
        <w:spacing w:after="80" w:line="280"/>
      </w:pPr>
      <w:r>
        <w:rPr>
          <w:sz w:val="22"/>
          <w:szCs w:val="22"/>
        </w:rPr>
        <w:t xml:space="preserve">P34 Dwivedi, Haghparast &amp; Mikkonen (2024) — Quantum software engineering and quantum software development lifecycle: a survey</w:t>
      </w:r>
    </w:p>
    <w:p>
      <w:pPr>
        <w:pStyle w:val="Heading3"/>
        <w:spacing w:after="120" w:before="220"/>
      </w:pPr>
      <w:r>
        <w:t xml:space="preserve">RQ2 — CI/CD challenges (n=22)</w:t>
      </w:r>
    </w:p>
    <w:p>
      <w:pPr>
        <w:pStyle w:val="ListParagraph"/>
        <w:numPr>
          <w:ilvl w:val="0"/>
          <w:numId w:val="2"/>
        </w:numPr>
        <w:spacing w:after="80" w:line="280"/>
      </w:pPr>
      <w:r>
        <w:rPr>
          <w:sz w:val="22"/>
          <w:szCs w:val="22"/>
        </w:rPr>
        <w:t xml:space="preserve">P2 Klymenko et al. (2025) — Architectural patterns for designing quantum artificial intelligence systems</w:t>
      </w:r>
    </w:p>
    <w:p>
      <w:pPr>
        <w:pStyle w:val="ListParagraph"/>
        <w:numPr>
          <w:ilvl w:val="0"/>
          <w:numId w:val="2"/>
        </w:numPr>
        <w:spacing w:after="80" w:line="280"/>
      </w:pPr>
      <w:r>
        <w:rPr>
          <w:sz w:val="22"/>
          <w:szCs w:val="22"/>
        </w:rPr>
        <w:t xml:space="preserve">P3 Márquez et al. (2025) — Security discussions in quantum software projects on GitHub</w:t>
      </w:r>
    </w:p>
    <w:p>
      <w:pPr>
        <w:pStyle w:val="ListParagraph"/>
        <w:numPr>
          <w:ilvl w:val="0"/>
          <w:numId w:val="2"/>
        </w:numPr>
        <w:spacing w:after="80" w:line="280"/>
      </w:pPr>
      <w:r>
        <w:rPr>
          <w:sz w:val="22"/>
          <w:szCs w:val="22"/>
        </w:rPr>
        <w:t xml:space="preserve">P4 Nguyen et al. (2024) — QFaaS: A serverless function-as-a-service framework for quantum computing</w:t>
      </w:r>
    </w:p>
    <w:p>
      <w:pPr>
        <w:pStyle w:val="ListParagraph"/>
        <w:numPr>
          <w:ilvl w:val="0"/>
          <w:numId w:val="2"/>
        </w:numPr>
        <w:spacing w:after="80" w:line="280"/>
      </w:pPr>
      <w:r>
        <w:rPr>
          <w:sz w:val="22"/>
          <w:szCs w:val="22"/>
        </w:rPr>
        <w:t xml:space="preserve">P5 Yousuf &amp; Sofi (2026) — A systematic exploration of quantum software engineering in the NISQ era</w:t>
      </w:r>
    </w:p>
    <w:p>
      <w:pPr>
        <w:pStyle w:val="ListParagraph"/>
        <w:numPr>
          <w:ilvl w:val="0"/>
          <w:numId w:val="2"/>
        </w:numPr>
        <w:spacing w:after="80" w:line="280"/>
      </w:pPr>
      <w:r>
        <w:rPr>
          <w:sz w:val="22"/>
          <w:szCs w:val="22"/>
        </w:rPr>
        <w:t xml:space="preserve">P6 Stirbu et al. (2024) — Qubernetes: Towards a unified cloud-native execution platform for hybrid classic-quantum computing</w:t>
      </w:r>
    </w:p>
    <w:p>
      <w:pPr>
        <w:pStyle w:val="ListParagraph"/>
        <w:numPr>
          <w:ilvl w:val="0"/>
          <w:numId w:val="2"/>
        </w:numPr>
        <w:spacing w:after="80" w:line="280"/>
      </w:pPr>
      <w:r>
        <w:rPr>
          <w:sz w:val="22"/>
          <w:szCs w:val="22"/>
        </w:rPr>
        <w:t xml:space="preserve">P8 Díaz et al. (2024) — Service engineering for quantum computing: Ensuring high-quality quantum services</w:t>
      </w:r>
    </w:p>
    <w:p>
      <w:pPr>
        <w:pStyle w:val="ListParagraph"/>
        <w:numPr>
          <w:ilvl w:val="0"/>
          <w:numId w:val="2"/>
        </w:numPr>
        <w:spacing w:after="80" w:line="280"/>
      </w:pPr>
      <w:r>
        <w:rPr>
          <w:sz w:val="22"/>
          <w:szCs w:val="22"/>
        </w:rPr>
        <w:t xml:space="preserve">P10 Kourtis et al. (2024) — Towards Continuous Development for Quantum Programming in Decentralized IoT environments</w:t>
      </w:r>
    </w:p>
    <w:p>
      <w:pPr>
        <w:pStyle w:val="ListParagraph"/>
        <w:numPr>
          <w:ilvl w:val="0"/>
          <w:numId w:val="2"/>
        </w:numPr>
        <w:spacing w:after="80" w:line="280"/>
      </w:pPr>
      <w:r>
        <w:rPr>
          <w:sz w:val="22"/>
          <w:szCs w:val="22"/>
        </w:rPr>
        <w:t xml:space="preserve">P12 Schulz et al. (2024) — From the Physics Lab to the Computer Lab: Towards Flexible and Comprehensive DevOps for Quantum Computing</w:t>
      </w:r>
    </w:p>
    <w:p>
      <w:pPr>
        <w:pStyle w:val="ListParagraph"/>
        <w:numPr>
          <w:ilvl w:val="0"/>
          <w:numId w:val="2"/>
        </w:numPr>
        <w:spacing w:after="80" w:line="280"/>
      </w:pPr>
      <w:r>
        <w:rPr>
          <w:sz w:val="22"/>
          <w:szCs w:val="22"/>
        </w:rPr>
        <w:t xml:space="preserve">P14 Ishikawa &amp; Saito (2024) — Model-Based Framework for Continuous Adaptation and Evolution of Quantum-Classical Hybrid Systems</w:t>
      </w:r>
    </w:p>
    <w:p>
      <w:pPr>
        <w:pStyle w:val="ListParagraph"/>
        <w:numPr>
          <w:ilvl w:val="0"/>
          <w:numId w:val="2"/>
        </w:numPr>
        <w:spacing w:after="80" w:line="280"/>
      </w:pPr>
      <w:r>
        <w:rPr>
          <w:sz w:val="22"/>
          <w:szCs w:val="22"/>
        </w:rPr>
        <w:t xml:space="preserve">P15 Wang et al. (2024) — Application of Quantum Extreme Learning Machines for QoS Prediction of Elevators' Software in an Industrial Context</w:t>
      </w:r>
    </w:p>
    <w:p>
      <w:pPr>
        <w:pStyle w:val="ListParagraph"/>
        <w:numPr>
          <w:ilvl w:val="0"/>
          <w:numId w:val="2"/>
        </w:numPr>
        <w:spacing w:after="80" w:line="280"/>
      </w:pPr>
      <w:r>
        <w:rPr>
          <w:sz w:val="22"/>
          <w:szCs w:val="22"/>
        </w:rPr>
        <w:t xml:space="preserve">P16 Khan et al. (2025) — Advancing Quantum Software Engineering: A Vision of Hybrid Full-Stack Iterative Model</w:t>
      </w:r>
    </w:p>
    <w:p>
      <w:pPr>
        <w:pStyle w:val="ListParagraph"/>
        <w:numPr>
          <w:ilvl w:val="0"/>
          <w:numId w:val="2"/>
        </w:numPr>
        <w:spacing w:after="80" w:line="280"/>
      </w:pPr>
      <w:r>
        <w:rPr>
          <w:sz w:val="22"/>
          <w:szCs w:val="22"/>
        </w:rPr>
        <w:t xml:space="preserve">P17 Akbar et al. (2025) — Quantum Secure DevOps (QSecOps): Integrating Quantum-Based Security Checks into CI/CD Pipelines</w:t>
      </w:r>
    </w:p>
    <w:p>
      <w:pPr>
        <w:pStyle w:val="ListParagraph"/>
        <w:numPr>
          <w:ilvl w:val="0"/>
          <w:numId w:val="2"/>
        </w:numPr>
        <w:spacing w:after="80" w:line="280"/>
      </w:pPr>
      <w:r>
        <w:rPr>
          <w:sz w:val="22"/>
          <w:szCs w:val="22"/>
        </w:rPr>
        <w:t xml:space="preserve">P18 Murillo et al. (2025) — Quantum Software Engineering: Roadmap and Challenges Ahead</w:t>
      </w:r>
    </w:p>
    <w:p>
      <w:pPr>
        <w:pStyle w:val="ListParagraph"/>
        <w:numPr>
          <w:ilvl w:val="0"/>
          <w:numId w:val="2"/>
        </w:numPr>
        <w:spacing w:after="80" w:line="280"/>
      </w:pPr>
      <w:r>
        <w:rPr>
          <w:sz w:val="22"/>
          <w:szCs w:val="22"/>
        </w:rPr>
        <w:t xml:space="preserve">P19 Patel et al. (2025) — OpaQue: Program Output Obfuscation for Quantum Software Circuits in Quantum Clouds</w:t>
      </w:r>
    </w:p>
    <w:p>
      <w:pPr>
        <w:pStyle w:val="ListParagraph"/>
        <w:numPr>
          <w:ilvl w:val="0"/>
          <w:numId w:val="2"/>
        </w:numPr>
        <w:spacing w:after="80" w:line="280"/>
      </w:pPr>
      <w:r>
        <w:rPr>
          <w:sz w:val="22"/>
          <w:szCs w:val="22"/>
        </w:rPr>
        <w:t xml:space="preserve">P20 Guo, Balewski &amp; Pan (2025) — Q-GEAR: Improving quantum simulation framework</w:t>
      </w:r>
    </w:p>
    <w:p>
      <w:pPr>
        <w:pStyle w:val="ListParagraph"/>
        <w:numPr>
          <w:ilvl w:val="0"/>
          <w:numId w:val="2"/>
        </w:numPr>
        <w:spacing w:after="80" w:line="280"/>
      </w:pPr>
      <w:r>
        <w:rPr>
          <w:sz w:val="22"/>
          <w:szCs w:val="22"/>
        </w:rPr>
        <w:t xml:space="preserve">P22 Rana &amp; Giri (2025) — AI-Enhanced DevOps Integration in Quantum Computing Environments</w:t>
      </w:r>
    </w:p>
    <w:p>
      <w:pPr>
        <w:pStyle w:val="ListParagraph"/>
        <w:numPr>
          <w:ilvl w:val="0"/>
          <w:numId w:val="2"/>
        </w:numPr>
        <w:spacing w:after="80" w:line="280"/>
      </w:pPr>
      <w:r>
        <w:rPr>
          <w:sz w:val="22"/>
          <w:szCs w:val="22"/>
        </w:rPr>
        <w:t xml:space="preserve">P23 Saxena, Tamrakar &amp; Arranz (2024) — Automated Testing and Deployment Strategies for Quantum Algorithms</w:t>
      </w:r>
    </w:p>
    <w:p>
      <w:pPr>
        <w:pStyle w:val="ListParagraph"/>
        <w:numPr>
          <w:ilvl w:val="0"/>
          <w:numId w:val="2"/>
        </w:numPr>
        <w:spacing w:after="80" w:line="280"/>
      </w:pPr>
      <w:r>
        <w:rPr>
          <w:sz w:val="22"/>
          <w:szCs w:val="22"/>
        </w:rPr>
        <w:t xml:space="preserve">P24 Birgin &amp; Celiktas (2026) — From Policy to Practice: A Sector-Agnostic Operational Framework for Post-Quantum Cryptography Transition</w:t>
      </w:r>
    </w:p>
    <w:p>
      <w:pPr>
        <w:pStyle w:val="ListParagraph"/>
        <w:numPr>
          <w:ilvl w:val="0"/>
          <w:numId w:val="2"/>
        </w:numPr>
        <w:spacing w:after="80" w:line="280"/>
      </w:pPr>
      <w:r>
        <w:rPr>
          <w:sz w:val="22"/>
          <w:szCs w:val="22"/>
        </w:rPr>
        <w:t xml:space="preserve">P25 Alfraihi et al. (2026) — A Structured Lifecycle Model for Quantum Software Engineering</w:t>
      </w:r>
    </w:p>
    <w:p>
      <w:pPr>
        <w:pStyle w:val="ListParagraph"/>
        <w:numPr>
          <w:ilvl w:val="0"/>
          <w:numId w:val="2"/>
        </w:numPr>
        <w:spacing w:after="80" w:line="280"/>
      </w:pPr>
      <w:r>
        <w:rPr>
          <w:sz w:val="22"/>
          <w:szCs w:val="22"/>
        </w:rPr>
        <w:t xml:space="preserve">P26 Lau et al. (2024) — Qsyn: A Developer-Friendly Quantum Circuit Synthesis Framework for NISQ Era and Beyond</w:t>
      </w:r>
    </w:p>
    <w:p>
      <w:pPr>
        <w:pStyle w:val="ListParagraph"/>
        <w:numPr>
          <w:ilvl w:val="0"/>
          <w:numId w:val="2"/>
        </w:numPr>
        <w:spacing w:after="80" w:line="280"/>
      </w:pPr>
      <w:r>
        <w:rPr>
          <w:sz w:val="22"/>
          <w:szCs w:val="22"/>
        </w:rPr>
        <w:t xml:space="preserve">P27 Gheorghe-Pop et al. (2020) — Quantum DevOps: Towards Reliable and Applicable NISQ Quantum Computing</w:t>
      </w:r>
    </w:p>
    <w:p>
      <w:pPr>
        <w:pStyle w:val="ListParagraph"/>
        <w:numPr>
          <w:ilvl w:val="0"/>
          <w:numId w:val="2"/>
        </w:numPr>
        <w:spacing w:after="80" w:line="280"/>
      </w:pPr>
      <w:r>
        <w:rPr>
          <w:sz w:val="22"/>
          <w:szCs w:val="22"/>
        </w:rPr>
        <w:t xml:space="preserve">P29 Romero-Álvarez et al. (2024) — Enabling continuous deployment techniques for quantum services</w:t>
      </w:r>
    </w:p>
    <w:p>
      <w:pPr>
        <w:pStyle w:val="Heading3"/>
        <w:spacing w:after="120" w:before="220"/>
      </w:pPr>
      <w:r>
        <w:t xml:space="preserve">RQ3 — Adoption barriers (n=27)</w:t>
      </w:r>
    </w:p>
    <w:p>
      <w:pPr>
        <w:pStyle w:val="ListParagraph"/>
        <w:numPr>
          <w:ilvl w:val="0"/>
          <w:numId w:val="2"/>
        </w:numPr>
        <w:spacing w:after="80" w:line="280"/>
      </w:pPr>
      <w:r>
        <w:rPr>
          <w:sz w:val="22"/>
          <w:szCs w:val="22"/>
        </w:rPr>
        <w:t xml:space="preserve">P1 Khan et al. (2023) — Software architecture for quantum computing systems — A systematic review</w:t>
      </w:r>
    </w:p>
    <w:p>
      <w:pPr>
        <w:pStyle w:val="ListParagraph"/>
        <w:numPr>
          <w:ilvl w:val="0"/>
          <w:numId w:val="2"/>
        </w:numPr>
        <w:spacing w:after="80" w:line="280"/>
      </w:pPr>
      <w:r>
        <w:rPr>
          <w:sz w:val="22"/>
          <w:szCs w:val="22"/>
        </w:rPr>
        <w:t xml:space="preserve">P2 Klymenko et al. (2025) — Architectural patterns for designing quantum artificial intelligence systems</w:t>
      </w:r>
    </w:p>
    <w:p>
      <w:pPr>
        <w:pStyle w:val="ListParagraph"/>
        <w:numPr>
          <w:ilvl w:val="0"/>
          <w:numId w:val="2"/>
        </w:numPr>
        <w:spacing w:after="80" w:line="280"/>
      </w:pPr>
      <w:r>
        <w:rPr>
          <w:sz w:val="22"/>
          <w:szCs w:val="22"/>
        </w:rPr>
        <w:t xml:space="preserve">P3 Márquez et al. (2025) — Security discussions in quantum software projects on GitHub</w:t>
      </w:r>
    </w:p>
    <w:p>
      <w:pPr>
        <w:pStyle w:val="ListParagraph"/>
        <w:numPr>
          <w:ilvl w:val="0"/>
          <w:numId w:val="2"/>
        </w:numPr>
        <w:spacing w:after="80" w:line="280"/>
      </w:pPr>
      <w:r>
        <w:rPr>
          <w:sz w:val="22"/>
          <w:szCs w:val="22"/>
        </w:rPr>
        <w:t xml:space="preserve">P4 Nguyen et al. (2024) — QFaaS: A serverless function-as-a-service framework for quantum computing</w:t>
      </w:r>
    </w:p>
    <w:p>
      <w:pPr>
        <w:pStyle w:val="ListParagraph"/>
        <w:numPr>
          <w:ilvl w:val="0"/>
          <w:numId w:val="2"/>
        </w:numPr>
        <w:spacing w:after="80" w:line="280"/>
      </w:pPr>
      <w:r>
        <w:rPr>
          <w:sz w:val="22"/>
          <w:szCs w:val="22"/>
        </w:rPr>
        <w:t xml:space="preserve">P5 Yousuf &amp; Sofi (2026) — A systematic exploration of quantum software engineering in the NISQ era</w:t>
      </w:r>
    </w:p>
    <w:p>
      <w:pPr>
        <w:pStyle w:val="ListParagraph"/>
        <w:numPr>
          <w:ilvl w:val="0"/>
          <w:numId w:val="2"/>
        </w:numPr>
        <w:spacing w:after="80" w:line="280"/>
      </w:pPr>
      <w:r>
        <w:rPr>
          <w:sz w:val="22"/>
          <w:szCs w:val="22"/>
        </w:rPr>
        <w:t xml:space="preserve">P7 Sepúlveda et al. (2024) — A software product line approach for developing hybrid software systems</w:t>
      </w:r>
    </w:p>
    <w:p>
      <w:pPr>
        <w:pStyle w:val="ListParagraph"/>
        <w:numPr>
          <w:ilvl w:val="0"/>
          <w:numId w:val="2"/>
        </w:numPr>
        <w:spacing w:after="80" w:line="280"/>
      </w:pPr>
      <w:r>
        <w:rPr>
          <w:sz w:val="22"/>
          <w:szCs w:val="22"/>
        </w:rPr>
        <w:t xml:space="preserve">P8 Díaz et al. (2024) — Service engineering for quantum computing: Ensuring high-quality quantum services</w:t>
      </w:r>
    </w:p>
    <w:p>
      <w:pPr>
        <w:pStyle w:val="ListParagraph"/>
        <w:numPr>
          <w:ilvl w:val="0"/>
          <w:numId w:val="2"/>
        </w:numPr>
        <w:spacing w:after="80" w:line="280"/>
      </w:pPr>
      <w:r>
        <w:rPr>
          <w:sz w:val="22"/>
          <w:szCs w:val="22"/>
        </w:rPr>
        <w:t xml:space="preserve">P9 Ahmad et al. (2024) — A reference architecture for quantum computing as a service</w:t>
      </w:r>
    </w:p>
    <w:p>
      <w:pPr>
        <w:pStyle w:val="ListParagraph"/>
        <w:numPr>
          <w:ilvl w:val="0"/>
          <w:numId w:val="2"/>
        </w:numPr>
        <w:spacing w:after="80" w:line="280"/>
      </w:pPr>
      <w:r>
        <w:rPr>
          <w:sz w:val="22"/>
          <w:szCs w:val="22"/>
        </w:rPr>
        <w:t xml:space="preserve">P11 De Stefano et al. (2022) — Towards Quantum-Algorithms-as-a-Service</w:t>
      </w:r>
    </w:p>
    <w:p>
      <w:pPr>
        <w:pStyle w:val="ListParagraph"/>
        <w:numPr>
          <w:ilvl w:val="0"/>
          <w:numId w:val="2"/>
        </w:numPr>
        <w:spacing w:after="80" w:line="280"/>
      </w:pPr>
      <w:r>
        <w:rPr>
          <w:sz w:val="22"/>
          <w:szCs w:val="22"/>
        </w:rPr>
        <w:t xml:space="preserve">P12 Schulz et al. (2024) — From the Physics Lab to the Computer Lab: Towards Flexible and Comprehensive DevOps for Quantum Computing</w:t>
      </w:r>
    </w:p>
    <w:p>
      <w:pPr>
        <w:pStyle w:val="ListParagraph"/>
        <w:numPr>
          <w:ilvl w:val="0"/>
          <w:numId w:val="2"/>
        </w:numPr>
        <w:spacing w:after="80" w:line="280"/>
      </w:pPr>
      <w:r>
        <w:rPr>
          <w:sz w:val="22"/>
          <w:szCs w:val="22"/>
        </w:rPr>
        <w:t xml:space="preserve">P13 Sepúlveda, Piattini &amp; Pérez-Castillo (2024) — Developing hybrid quantum-classical software: a software product line approach</w:t>
      </w:r>
    </w:p>
    <w:p>
      <w:pPr>
        <w:pStyle w:val="ListParagraph"/>
        <w:numPr>
          <w:ilvl w:val="0"/>
          <w:numId w:val="2"/>
        </w:numPr>
        <w:spacing w:after="80" w:line="280"/>
      </w:pPr>
      <w:r>
        <w:rPr>
          <w:sz w:val="22"/>
          <w:szCs w:val="22"/>
        </w:rPr>
        <w:t xml:space="preserve">P16 Khan et al. (2025) — Advancing Quantum Software Engineering: A Vision of Hybrid Full-Stack Iterative Model</w:t>
      </w:r>
    </w:p>
    <w:p>
      <w:pPr>
        <w:pStyle w:val="ListParagraph"/>
        <w:numPr>
          <w:ilvl w:val="0"/>
          <w:numId w:val="2"/>
        </w:numPr>
        <w:spacing w:after="80" w:line="280"/>
      </w:pPr>
      <w:r>
        <w:rPr>
          <w:sz w:val="22"/>
          <w:szCs w:val="22"/>
        </w:rPr>
        <w:t xml:space="preserve">P17 Akbar et al. (2025) — Quantum Secure DevOps (QSecOps): Integrating Quantum-Based Security Checks into CI/CD Pipelines</w:t>
      </w:r>
    </w:p>
    <w:p>
      <w:pPr>
        <w:pStyle w:val="ListParagraph"/>
        <w:numPr>
          <w:ilvl w:val="0"/>
          <w:numId w:val="2"/>
        </w:numPr>
        <w:spacing w:after="80" w:line="280"/>
      </w:pPr>
      <w:r>
        <w:rPr>
          <w:sz w:val="22"/>
          <w:szCs w:val="22"/>
        </w:rPr>
        <w:t xml:space="preserve">P18 Murillo et al. (2025) — Quantum Software Engineering: Roadmap and Challenges Ahead</w:t>
      </w:r>
    </w:p>
    <w:p>
      <w:pPr>
        <w:pStyle w:val="ListParagraph"/>
        <w:numPr>
          <w:ilvl w:val="0"/>
          <w:numId w:val="2"/>
        </w:numPr>
        <w:spacing w:after="80" w:line="280"/>
      </w:pPr>
      <w:r>
        <w:rPr>
          <w:sz w:val="22"/>
          <w:szCs w:val="22"/>
        </w:rPr>
        <w:t xml:space="preserve">P19 Patel et al. (2025) — OpaQue: Program Output Obfuscation for Quantum Software Circuits in Quantum Clouds</w:t>
      </w:r>
    </w:p>
    <w:p>
      <w:pPr>
        <w:pStyle w:val="ListParagraph"/>
        <w:numPr>
          <w:ilvl w:val="0"/>
          <w:numId w:val="2"/>
        </w:numPr>
        <w:spacing w:after="80" w:line="280"/>
      </w:pPr>
      <w:r>
        <w:rPr>
          <w:sz w:val="22"/>
          <w:szCs w:val="22"/>
        </w:rPr>
        <w:t xml:space="preserve">P21 Garcia-Alonso et al. (2026) — Rethinking Services in the Quantum Age: The SOQ Paradigm</w:t>
      </w:r>
    </w:p>
    <w:p>
      <w:pPr>
        <w:pStyle w:val="ListParagraph"/>
        <w:numPr>
          <w:ilvl w:val="0"/>
          <w:numId w:val="2"/>
        </w:numPr>
        <w:spacing w:after="80" w:line="280"/>
      </w:pPr>
      <w:r>
        <w:rPr>
          <w:sz w:val="22"/>
          <w:szCs w:val="22"/>
        </w:rPr>
        <w:t xml:space="preserve">P22 Rana &amp; Giri (2025) — AI-Enhanced DevOps Integration in Quantum Computing Environments</w:t>
      </w:r>
    </w:p>
    <w:p>
      <w:pPr>
        <w:pStyle w:val="ListParagraph"/>
        <w:numPr>
          <w:ilvl w:val="0"/>
          <w:numId w:val="2"/>
        </w:numPr>
        <w:spacing w:after="80" w:line="280"/>
      </w:pPr>
      <w:r>
        <w:rPr>
          <w:sz w:val="22"/>
          <w:szCs w:val="22"/>
        </w:rPr>
        <w:t xml:space="preserve">P23 Saxena, Tamrakar &amp; Arranz (2024) — Automated Testing and Deployment Strategies for Quantum Algorithms</w:t>
      </w:r>
    </w:p>
    <w:p>
      <w:pPr>
        <w:pStyle w:val="ListParagraph"/>
        <w:numPr>
          <w:ilvl w:val="0"/>
          <w:numId w:val="2"/>
        </w:numPr>
        <w:spacing w:after="80" w:line="280"/>
      </w:pPr>
      <w:r>
        <w:rPr>
          <w:sz w:val="22"/>
          <w:szCs w:val="22"/>
        </w:rPr>
        <w:t xml:space="preserve">P25 Alfraihi et al. (2026) — A Structured Lifecycle Model for Quantum Software Engineering</w:t>
      </w:r>
    </w:p>
    <w:p>
      <w:pPr>
        <w:pStyle w:val="ListParagraph"/>
        <w:numPr>
          <w:ilvl w:val="0"/>
          <w:numId w:val="2"/>
        </w:numPr>
        <w:spacing w:after="80" w:line="280"/>
      </w:pPr>
      <w:r>
        <w:rPr>
          <w:sz w:val="22"/>
          <w:szCs w:val="22"/>
        </w:rPr>
        <w:t xml:space="preserve">P28 Hevia, Peterssen &amp; Piattini (2021) — QuantumPath: A quantum software development platform</w:t>
      </w:r>
    </w:p>
    <w:p>
      <w:pPr>
        <w:pStyle w:val="ListParagraph"/>
        <w:numPr>
          <w:ilvl w:val="0"/>
          <w:numId w:val="2"/>
        </w:numPr>
        <w:spacing w:after="80" w:line="280"/>
      </w:pPr>
      <w:r>
        <w:rPr>
          <w:sz w:val="22"/>
          <w:szCs w:val="22"/>
        </w:rPr>
        <w:t xml:space="preserve">P30 Kim (2025) — A Metamodeling Approach to Enforcing the No-Cloning Theorem in Quantum Software Engineering</w:t>
      </w:r>
    </w:p>
    <w:p>
      <w:pPr>
        <w:pStyle w:val="ListParagraph"/>
        <w:numPr>
          <w:ilvl w:val="0"/>
          <w:numId w:val="2"/>
        </w:numPr>
        <w:spacing w:after="80" w:line="280"/>
      </w:pPr>
      <w:r>
        <w:rPr>
          <w:sz w:val="22"/>
          <w:szCs w:val="22"/>
        </w:rPr>
        <w:t xml:space="preserve">P31 Piattini, Peterssen &amp; Pérez-Castillo (2020) — Quantum Computing: A New Software Engineering Golden Age</w:t>
      </w:r>
    </w:p>
    <w:p>
      <w:pPr>
        <w:pStyle w:val="ListParagraph"/>
        <w:numPr>
          <w:ilvl w:val="0"/>
          <w:numId w:val="2"/>
        </w:numPr>
        <w:spacing w:after="80" w:line="280"/>
      </w:pPr>
      <w:r>
        <w:rPr>
          <w:sz w:val="22"/>
          <w:szCs w:val="22"/>
        </w:rPr>
        <w:t xml:space="preserve">P32 Akbar, Khan &amp; Rafi (2023) — A systematic decision-making framework for tackling quantum software engineering challenges</w:t>
      </w:r>
    </w:p>
    <w:p>
      <w:pPr>
        <w:pStyle w:val="ListParagraph"/>
        <w:numPr>
          <w:ilvl w:val="0"/>
          <w:numId w:val="2"/>
        </w:numPr>
        <w:spacing w:after="80" w:line="280"/>
      </w:pPr>
      <w:r>
        <w:rPr>
          <w:sz w:val="22"/>
          <w:szCs w:val="22"/>
        </w:rPr>
        <w:t xml:space="preserve">P33 Khan et al. (2024) — Agile meets quantum: a novel genetic algorithm model for predicting the success of quantum software development project</w:t>
      </w:r>
    </w:p>
    <w:p>
      <w:pPr>
        <w:pStyle w:val="ListParagraph"/>
        <w:numPr>
          <w:ilvl w:val="0"/>
          <w:numId w:val="2"/>
        </w:numPr>
        <w:spacing w:after="80" w:line="280"/>
      </w:pPr>
      <w:r>
        <w:rPr>
          <w:sz w:val="22"/>
          <w:szCs w:val="22"/>
        </w:rPr>
        <w:t xml:space="preserve">P34 Dwivedi, Haghparast &amp; Mikkonen (2024) — Quantum software engineering and quantum software development lifecycle: a survey</w:t>
      </w:r>
    </w:p>
    <w:p>
      <w:pPr>
        <w:pStyle w:val="ListParagraph"/>
        <w:numPr>
          <w:ilvl w:val="0"/>
          <w:numId w:val="2"/>
        </w:numPr>
        <w:spacing w:after="80" w:line="280"/>
      </w:pPr>
      <w:r>
        <w:rPr>
          <w:sz w:val="22"/>
          <w:szCs w:val="22"/>
        </w:rPr>
        <w:t xml:space="preserve">P35 Lambiase &amp; De Lucia (2026) — Quantifying adoption: A SEM study of quantum software technology in software development</w:t>
      </w:r>
    </w:p>
    <w:p>
      <w:pPr>
        <w:pStyle w:val="ListParagraph"/>
        <w:numPr>
          <w:ilvl w:val="0"/>
          <w:numId w:val="2"/>
        </w:numPr>
        <w:spacing w:after="80" w:line="280"/>
      </w:pPr>
      <w:r>
        <w:rPr>
          <w:sz w:val="22"/>
          <w:szCs w:val="22"/>
        </w:rPr>
        <w:t xml:space="preserve">P36 Moguel et al. (2022) — Quantum service-oriented computing: current landscape and challenges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SLR — Quantum DevOps &amp; CI/CD (Kitchenham-aligned)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984"/>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Systematic Literature Review — Quantum DevOps (Kitchenham-aligned)</dc:title>
  <dc:creator>Claude</dc:creator>
  <cp:lastModifiedBy>Un-named</cp:lastModifiedBy>
  <cp:revision>1</cp:revision>
  <dcterms:created xsi:type="dcterms:W3CDTF">2026-04-27T21:54:28.291Z</dcterms:created>
  <dcterms:modified xsi:type="dcterms:W3CDTF">2026-04-27T21:54:28.291Z</dcterms:modified>
</cp:coreProperties>
</file>

<file path=docProps/custom.xml><?xml version="1.0" encoding="utf-8"?>
<Properties xmlns="http://schemas.openxmlformats.org/officeDocument/2006/custom-properties" xmlns:vt="http://schemas.openxmlformats.org/officeDocument/2006/docPropsVTypes"/>
</file>