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Revenue Radar - Revenue Terms Audit Report</w:t>
      </w:r>
    </w:p>
    <w:p>
      <w:r>
        <w:rPr>
          <w:b/>
        </w:rPr>
        <w:t xml:space="preserve">Backend: </w:t>
      </w:r>
      <w:r>
        <w:t>local-hash-vector-fallback</w:t>
      </w:r>
      <w:r>
        <w:t xml:space="preserve">  |  </w:t>
      </w:r>
      <w:r>
        <w:rPr>
          <w:b/>
        </w:rPr>
        <w:t xml:space="preserve">Sections analyzed: </w:t>
      </w:r>
      <w:r>
        <w:t>8</w:t>
      </w:r>
      <w:r>
        <w:t xml:space="preserve">  |  </w:t>
      </w:r>
      <w:r>
        <w:rPr>
          <w:b/>
        </w:rPr>
        <w:t xml:space="preserve">Revenue Risk Score: </w:t>
      </w:r>
      <w:r>
        <w:rPr>
          <w:color w:val="B42828"/>
        </w:rPr>
        <w:t>100/100</w:t>
      </w:r>
    </w:p>
    <w:p/>
    <w:p>
      <w:pPr>
        <w:pStyle w:val="Heading1"/>
      </w:pPr>
      <w:r>
        <w:t>Priority Negotiation Actions</w:t>
      </w:r>
    </w:p>
    <w:p>
      <w:pPr>
        <w:pStyle w:val="ListBullet"/>
      </w:pPr>
      <w:r>
        <w:t>Ask for Net 15/30, milestone billing, or acceptance deemed after a fixed review window.</w:t>
      </w:r>
    </w:p>
    <w:p>
      <w:pPr>
        <w:pStyle w:val="ListBullet"/>
      </w:pPr>
      <w:r>
        <w:t>Carve out pre-existing IP, tools, methodologies, and generic components; grant a limited non-exclusive license instead of full assignment; retain ownership of reusable assets.</w:t>
      </w:r>
    </w:p>
    <w:p>
      <w:pPr>
        <w:pStyle w:val="ListBullet"/>
      </w:pPr>
      <w:r>
        <w:t>Add annual renewal, longer notice, migration fee, or success review before termination.</w:t>
      </w:r>
    </w:p>
    <w:p>
      <w:pPr>
        <w:pStyle w:val="ListBullet"/>
      </w:pPr>
      <w:r>
        <w:t>Define change orders, revision limits, support hours, and out-of-scope rates.</w:t>
      </w:r>
    </w:p>
    <w:p>
      <w:pPr>
        <w:pStyle w:val="ListBullet"/>
      </w:pPr>
      <w:r>
        <w:t>Require explicit written renewal election, cap annual increases (e.g. CPI or 3%), provide easy 30-60 day opt-out, and keep renewal pricing fixed for initial term.</w:t>
      </w:r>
    </w:p>
    <w:p>
      <w:pPr>
        <w:pStyle w:val="Heading1"/>
      </w:pPr>
      <w:r>
        <w:t>Detailed Findings</w:t>
      </w:r>
    </w:p>
    <w:p>
      <w:pPr>
        <w:pStyle w:val="Heading2"/>
      </w:pPr>
      <w:r>
        <w:t>Payment delay — Severity 5/5 (score 0.506)</w:t>
      </w:r>
    </w:p>
    <w:p>
      <w:r>
        <w:rPr>
          <w:b/>
        </w:rPr>
        <w:t xml:space="preserve">Source: </w:t>
      </w:r>
      <w:r>
        <w:t>msp_retainer_agreement.md / 2. Payment and Billing</w:t>
      </w:r>
      <w:r>
        <w:br/>
      </w:r>
      <w:r>
        <w:rPr>
          <w:b/>
        </w:rPr>
        <w:t xml:space="preserve">Matched terms: </w:t>
      </w:r>
      <w:r>
        <w:t>withhold</w:t>
      </w:r>
    </w:p>
    <w:p>
      <w:r>
        <w:rPr>
          <w:b/>
        </w:rPr>
        <w:t xml:space="preserve">Why it matters: </w:t>
      </w:r>
      <w:r>
        <w:t>Cash conversion risk: payment timing depends on buyer action or long terms.</w:t>
      </w:r>
    </w:p>
    <w:p>
      <w:r>
        <w:rPr>
          <w:b/>
        </w:rPr>
        <w:t xml:space="preserve">Recommended move: </w:t>
      </w:r>
      <w:r>
        <w:t>Ask for Net 15/30, milestone billing, or acceptance deemed after a fixed review window.</w:t>
      </w:r>
    </w:p>
    <w:p>
      <w:r>
        <w:rPr>
          <w:i/>
        </w:rPr>
        <w:t xml:space="preserve">Excerpt: </w:t>
      </w:r>
      <w:r>
        <w:rPr>
          <w:i/>
        </w:rPr>
        <w:t>"... $8,500 on Net 45 terms. Invoices are due upon receipt of monthly performance report. MSP may withhold service if any invoice remains unpaid beyond 45 days at MSP's discretion."</w:t>
      </w:r>
    </w:p>
    <w:p/>
    <w:p>
      <w:pPr>
        <w:pStyle w:val="Heading2"/>
      </w:pPr>
      <w:r>
        <w:t>IP ownership trap — Severity 4/5 (score 0.823)</w:t>
      </w:r>
    </w:p>
    <w:p>
      <w:r>
        <w:rPr>
          <w:b/>
        </w:rPr>
        <w:t xml:space="preserve">Source: </w:t>
      </w:r>
      <w:r>
        <w:t>msp_retainer_agreement.md / 4. IP and Work Product</w:t>
      </w:r>
      <w:r>
        <w:br/>
      </w:r>
      <w:r>
        <w:rPr>
          <w:b/>
        </w:rPr>
        <w:t xml:space="preserve">Matched terms: </w:t>
      </w:r>
      <w:r>
        <w:t>work for hire, all intellectual property</w:t>
      </w:r>
    </w:p>
    <w:p>
      <w:r>
        <w:rPr>
          <w:b/>
        </w:rPr>
        <w:t xml:space="preserve">Why it matters: </w:t>
      </w:r>
      <w:r>
        <w:t>Revenue and reuse risk: broad IP assignment prevents the agency from reusing methodologies, code patterns, frameworks, or IP developed on the engagement in future client work, directly eroding future margins.</w:t>
      </w:r>
    </w:p>
    <w:p>
      <w:r>
        <w:rPr>
          <w:b/>
        </w:rPr>
        <w:t xml:space="preserve">Recommended move: </w:t>
      </w:r>
      <w:r>
        <w:t>Carve out pre-existing IP, tools, methodologies, and generic components; grant a limited non-exclusive license instead of full assignment; retain ownership of reusable assets.</w:t>
      </w:r>
    </w:p>
    <w:p>
      <w:r>
        <w:rPr>
          <w:i/>
        </w:rPr>
        <w:t xml:space="preserve">Excerpt: </w:t>
      </w:r>
      <w:r>
        <w:rPr>
          <w:i/>
        </w:rPr>
        <w:t>"... ations, documentation, runbooks, and tools developed or customized during the engagement are work for hire and become Client property immediately. MSP assigns all intellectual property rights without limitation. MSP may not use any developed materials, even generalized versions, ..."</w:t>
      </w:r>
    </w:p>
    <w:p/>
    <w:p>
      <w:pPr>
        <w:pStyle w:val="Heading2"/>
      </w:pPr>
      <w:r>
        <w:t>Renewal loss — Severity 4/5 (score 0.726)</w:t>
      </w:r>
    </w:p>
    <w:p>
      <w:r>
        <w:rPr>
          <w:b/>
        </w:rPr>
        <w:t xml:space="preserve">Source: </w:t>
      </w:r>
      <w:r>
        <w:t>msp_retainer_agreement.md / 3. Term, Renewal and Fees</w:t>
      </w:r>
      <w:r>
        <w:br/>
      </w:r>
      <w:r>
        <w:rPr>
          <w:b/>
        </w:rPr>
        <w:t xml:space="preserve">Matched terms: </w:t>
      </w:r>
      <w:r>
        <w:t>semantic match (vector)</w:t>
      </w:r>
    </w:p>
    <w:p>
      <w:r>
        <w:rPr>
          <w:b/>
        </w:rPr>
        <w:t xml:space="preserve">Why it matters: </w:t>
      </w:r>
      <w:r>
        <w:t>Retention risk: the customer can leave quickly or renewal is not protected.</w:t>
      </w:r>
    </w:p>
    <w:p>
      <w:r>
        <w:rPr>
          <w:b/>
        </w:rPr>
        <w:t xml:space="preserve">Recommended move: </w:t>
      </w:r>
      <w:r>
        <w:t>Add annual renewal, longer notice, migration fee, or success review before termination.</w:t>
      </w:r>
    </w:p>
    <w:p>
      <w:r>
        <w:rPr>
          <w:i/>
        </w:rPr>
        <w:t xml:space="preserve">Excerpt: </w:t>
      </w:r>
      <w:r>
        <w:rPr>
          <w:i/>
        </w:rPr>
        <w:t>"The initial term is six (6) months. This Agreement automatically renews for additional six-month periods at MSP's then-current published rates unless Client provides written notice of intent not to renew at least fifteen (15) days before expiration. Pricing for renewal periods ma ..."</w:t>
      </w:r>
    </w:p>
    <w:p/>
    <w:p>
      <w:pPr>
        <w:pStyle w:val="Heading2"/>
      </w:pPr>
      <w:r>
        <w:t>Renewal loss — Severity 4/5 (score 0.632)</w:t>
      </w:r>
    </w:p>
    <w:p>
      <w:r>
        <w:rPr>
          <w:b/>
        </w:rPr>
        <w:t xml:space="preserve">Source: </w:t>
      </w:r>
      <w:r>
        <w:t>msp_retainer_agreement.md / 6. Termination and Exit</w:t>
      </w:r>
      <w:r>
        <w:br/>
      </w:r>
      <w:r>
        <w:rPr>
          <w:b/>
        </w:rPr>
        <w:t xml:space="preserve">Matched terms: </w:t>
      </w:r>
      <w:r>
        <w:t>terminate for convenience, 30 days notice</w:t>
      </w:r>
    </w:p>
    <w:p>
      <w:r>
        <w:rPr>
          <w:b/>
        </w:rPr>
        <w:t xml:space="preserve">Why it matters: </w:t>
      </w:r>
      <w:r>
        <w:t>Retention risk: the customer can leave quickly or renewal is not protected.</w:t>
      </w:r>
    </w:p>
    <w:p>
      <w:r>
        <w:rPr>
          <w:b/>
        </w:rPr>
        <w:t xml:space="preserve">Recommended move: </w:t>
      </w:r>
      <w:r>
        <w:t>Add annual renewal, longer notice, migration fee, or success review before termination.</w:t>
      </w:r>
    </w:p>
    <w:p>
      <w:r>
        <w:rPr>
          <w:i/>
        </w:rPr>
        <w:t xml:space="preserve">Excerpt: </w:t>
      </w:r>
      <w:r>
        <w:rPr>
          <w:i/>
        </w:rPr>
        <w:t>"Either party may terminate for convenience with 30 days notice. Upon termination, MSP will provide reasonable transition assistance at standard hourly rates. Client may request full pro-rata refund of the current month retainer."</w:t>
      </w:r>
    </w:p>
    <w:p/>
    <w:p>
      <w:pPr>
        <w:pStyle w:val="Heading2"/>
      </w:pPr>
      <w:r>
        <w:t>Scope creep — Severity 4/5 (score 0.621)</w:t>
      </w:r>
    </w:p>
    <w:p>
      <w:r>
        <w:rPr>
          <w:b/>
        </w:rPr>
        <w:t xml:space="preserve">Source: </w:t>
      </w:r>
      <w:r>
        <w:t>msp_retainer_agreement.md / 1. Scope of Services</w:t>
      </w:r>
      <w:r>
        <w:br/>
      </w:r>
      <w:r>
        <w:rPr>
          <w:b/>
        </w:rPr>
        <w:t xml:space="preserve">Matched terms: </w:t>
      </w:r>
      <w:r>
        <w:t>additional support</w:t>
      </w:r>
    </w:p>
    <w:p>
      <w:r>
        <w:rPr>
          <w:b/>
        </w:rPr>
        <w:t xml:space="preserve">Why it matters: </w:t>
      </w:r>
      <w:r>
        <w:t>Margin risk: vague service language can expand work without expanding fees.</w:t>
      </w:r>
    </w:p>
    <w:p>
      <w:r>
        <w:rPr>
          <w:b/>
        </w:rPr>
        <w:t xml:space="preserve">Recommended move: </w:t>
      </w:r>
      <w:r>
        <w:t>Define change orders, revision limits, support hours, and out-of-scope rates.</w:t>
      </w:r>
    </w:p>
    <w:p>
      <w:r>
        <w:rPr>
          <w:i/>
        </w:rPr>
        <w:t xml:space="preserve">Excerpt: </w:t>
      </w:r>
      <w:r>
        <w:rPr>
          <w:i/>
        </w:rPr>
        <w:t>"... with supported environments are included within the monthly retainer fee. MSP shall provide additional support, projects, and on-site assistance as needed without additional billing unless pre-approved in writing."</w:t>
      </w:r>
    </w:p>
    <w:p/>
    <w:p>
      <w:pPr>
        <w:pStyle w:val="Heading2"/>
      </w:pPr>
      <w:r>
        <w:t>Auto-renewal fee escalation — Severity 3/5 (score 0.891)</w:t>
      </w:r>
    </w:p>
    <w:p>
      <w:r>
        <w:rPr>
          <w:b/>
        </w:rPr>
        <w:t xml:space="preserve">Source: </w:t>
      </w:r>
      <w:r>
        <w:t>msp_retainer_agreement.md / 3. Term, Renewal and Fees</w:t>
      </w:r>
      <w:r>
        <w:br/>
      </w:r>
      <w:r>
        <w:rPr>
          <w:b/>
        </w:rPr>
        <w:t xml:space="preserve">Matched terms: </w:t>
      </w:r>
      <w:r>
        <w:t>automatically renews</w:t>
      </w:r>
    </w:p>
    <w:p>
      <w:r>
        <w:rPr>
          <w:b/>
        </w:rPr>
        <w:t xml:space="preserve">Why it matters: </w:t>
      </w:r>
      <w:r>
        <w:t>Hidden cost and retention risk: automatic renewal at escalated 'then-current' rates or without price caps locks clients into compounding fees and removes leverage for renegotiation.</w:t>
      </w:r>
    </w:p>
    <w:p>
      <w:r>
        <w:rPr>
          <w:b/>
        </w:rPr>
        <w:t xml:space="preserve">Recommended move: </w:t>
      </w:r>
      <w:r>
        <w:t>Require explicit written renewal election, cap annual increases (e.g. CPI or 3%), provide easy 30-60 day opt-out, and keep renewal pricing fixed for initial term.</w:t>
      </w:r>
    </w:p>
    <w:p>
      <w:r>
        <w:rPr>
          <w:i/>
        </w:rPr>
        <w:t xml:space="preserve">Excerpt: </w:t>
      </w:r>
      <w:r>
        <w:rPr>
          <w:i/>
        </w:rPr>
        <w:t>"The initial term is six (6) months. This Agreement automatically renews for additional six-month periods at MSP's then-current published rates unless Client provides written notice of intent not to renew at least fifteen (15) days before expiration. Pricing for renewal periods ma ..."</w:t>
      </w:r>
    </w:p>
    <w:p/>
    <w:p>
      <w:pPr>
        <w:pStyle w:val="Heading2"/>
      </w:pPr>
      <w:r>
        <w:t>Data/security blocker — Severity 3/5 (score 0.506)</w:t>
      </w:r>
    </w:p>
    <w:p>
      <w:r>
        <w:rPr>
          <w:b/>
        </w:rPr>
        <w:t xml:space="preserve">Source: </w:t>
      </w:r>
      <w:r>
        <w:t>msp_retainer_agreement.md / 8. Data Handling</w:t>
      </w:r>
      <w:r>
        <w:br/>
      </w:r>
      <w:r>
        <w:rPr>
          <w:b/>
        </w:rPr>
        <w:t xml:space="preserve">Matched terms: </w:t>
      </w:r>
      <w:r>
        <w:t>semantic match (vector)</w:t>
      </w:r>
    </w:p>
    <w:p>
      <w:r>
        <w:rPr>
          <w:b/>
        </w:rPr>
        <w:t xml:space="preserve">Why it matters: </w:t>
      </w:r>
      <w:r>
        <w:t>Sales cycle risk: security or data terms can block signature if not answered quickly.</w:t>
      </w:r>
    </w:p>
    <w:p>
      <w:r>
        <w:rPr>
          <w:b/>
        </w:rPr>
        <w:t xml:space="preserve">Recommended move: </w:t>
      </w:r>
      <w:r>
        <w:t>Prepare a security appendix, DPA, incident process, and approved subprocessor list.</w:t>
      </w:r>
    </w:p>
    <w:p>
      <w:r>
        <w:rPr>
          <w:i/>
        </w:rPr>
        <w:t xml:space="preserve">Excerpt: </w:t>
      </w:r>
      <w:r>
        <w:rPr>
          <w:i/>
        </w:rPr>
        <w:t>"MSP will not access Client data except as necessary. Upon request or termination, MSP will securely delete or return all Client data and provide written certification within 5 business days. Client reserves broad rights to conduct forensic audits post-termination."</w:t>
      </w:r>
    </w:p>
    <w:p/>
    <w:p>
      <w:pPr>
        <w:pStyle w:val="Heading2"/>
      </w:pPr>
      <w:r>
        <w:t>Data/security blocker — Severity 3/5 (score 0.285)</w:t>
      </w:r>
    </w:p>
    <w:p>
      <w:r>
        <w:rPr>
          <w:b/>
        </w:rPr>
        <w:t xml:space="preserve">Source: </w:t>
      </w:r>
      <w:r>
        <w:t>msp_retainer_agreement.md / 5. Audit and Compliance Rights</w:t>
      </w:r>
      <w:r>
        <w:br/>
      </w:r>
      <w:r>
        <w:rPr>
          <w:b/>
        </w:rPr>
        <w:t xml:space="preserve">Matched terms: </w:t>
      </w:r>
      <w:r>
        <w:t>audit rights</w:t>
      </w:r>
    </w:p>
    <w:p>
      <w:r>
        <w:rPr>
          <w:b/>
        </w:rPr>
        <w:t xml:space="preserve">Why it matters: </w:t>
      </w:r>
      <w:r>
        <w:t>Sales cycle risk: security or data terms can block signature if not answered quickly.</w:t>
      </w:r>
    </w:p>
    <w:p>
      <w:r>
        <w:rPr>
          <w:b/>
        </w:rPr>
        <w:t xml:space="preserve">Recommended move: </w:t>
      </w:r>
      <w:r>
        <w:t>Prepare a security appendix, DPA, incident process, and approved subprocessor list.</w:t>
      </w:r>
    </w:p>
    <w:p>
      <w:r>
        <w:rPr>
          <w:i/>
        </w:rPr>
        <w:t xml:space="preserve">Excerpt: </w:t>
      </w:r>
      <w:r>
        <w:rPr>
          <w:i/>
        </w:rPr>
        <w:t>"Client shall have unlimited audit rights over MSP's security controls, personnel, and systems. MSP must provide access within 48 hours of any request and accommodate on-site visits by Client or its auditors at MSP's expense. MSP must maintain all records for seven years."</w:t>
      </w:r>
    </w:p>
    <w:p/>
    <w:p>
      <w:r>
        <w:rPr>
          <w:b/>
        </w:rPr>
        <w:t xml:space="preserve">IMPORTANT: </w:t>
      </w:r>
      <w:r>
        <w:rPr>
          <w:i/>
          <w:sz w:val="18"/>
        </w:rPr>
        <w:t>This is a business-risk review for internal negotiation preparation only. It is not legal advice. Final contract language must be reviewed and approved by qualified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