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10DC8" w14:textId="77777777" w:rsidR="004A074A" w:rsidRPr="004A074A" w:rsidRDefault="004A074A" w:rsidP="004A074A">
      <w:pPr>
        <w:pStyle w:val="Titre"/>
        <w:jc w:val="center"/>
      </w:pPr>
      <w:r w:rsidRPr="004A074A">
        <w:t>Projet de Dimensionnement de l'Infrastructure Fibre du FCC du CERN</w:t>
      </w:r>
    </w:p>
    <w:p w14:paraId="7D0A23FE" w14:textId="77777777" w:rsidR="004A074A" w:rsidRPr="004A074A" w:rsidRDefault="004A074A" w:rsidP="004A074A">
      <w:pPr>
        <w:rPr>
          <w:b/>
          <w:bCs/>
        </w:rPr>
      </w:pPr>
    </w:p>
    <w:p w14:paraId="0AAA5F37" w14:textId="508442F9" w:rsidR="004A074A" w:rsidRPr="004A074A" w:rsidRDefault="004A074A" w:rsidP="004A074A">
      <w:pPr>
        <w:pStyle w:val="Titre1"/>
      </w:pPr>
      <w:r w:rsidRPr="004A074A">
        <w:t>1. Introduction</w:t>
      </w:r>
    </w:p>
    <w:p w14:paraId="4513853D" w14:textId="2BB901CA" w:rsidR="004A074A" w:rsidRPr="004A074A" w:rsidRDefault="004A074A" w:rsidP="004A074A">
      <w:r w:rsidRPr="004A074A">
        <w:t xml:space="preserve">Le projet FCC (Future </w:t>
      </w:r>
      <w:proofErr w:type="spellStart"/>
      <w:r w:rsidRPr="004A074A">
        <w:t>Circular</w:t>
      </w:r>
      <w:proofErr w:type="spellEnd"/>
      <w:r w:rsidRPr="004A074A">
        <w:t xml:space="preserve"> </w:t>
      </w:r>
      <w:proofErr w:type="spellStart"/>
      <w:r w:rsidRPr="004A074A">
        <w:t>Colisioner</w:t>
      </w:r>
      <w:proofErr w:type="spellEnd"/>
      <w:r w:rsidRPr="004A074A">
        <w:t>) du CERN nécessite une infrastructure réseau hautement performante pour assurer la transmission des données scientifiques et l'interconnexion avec les infrastructures existantes du LHC. Cette étude vise à définir le type de fibre, les équipements réseau, ainsi que les calculs d'atténuation et d'amplification nécessaires pour garantir un fonctionnement optimal.</w:t>
      </w:r>
    </w:p>
    <w:p w14:paraId="18EB6136" w14:textId="77777777" w:rsidR="004A074A" w:rsidRPr="004A074A" w:rsidRDefault="00000000" w:rsidP="004A074A">
      <w:r>
        <w:pict w14:anchorId="40BE7050">
          <v:rect id="_x0000_i1025" style="width:0;height:1.5pt" o:hralign="center" o:hrstd="t" o:hr="t" fillcolor="#a0a0a0" stroked="f"/>
        </w:pict>
      </w:r>
    </w:p>
    <w:p w14:paraId="18FD0540" w14:textId="77777777" w:rsidR="004A074A" w:rsidRPr="004A074A" w:rsidRDefault="004A074A" w:rsidP="004A074A">
      <w:pPr>
        <w:pStyle w:val="Titre1"/>
      </w:pPr>
      <w:r w:rsidRPr="004A074A">
        <w:t>2. Exigences en Débit</w:t>
      </w:r>
    </w:p>
    <w:p w14:paraId="3DBF174E" w14:textId="77777777" w:rsidR="004A074A" w:rsidRPr="004A074A" w:rsidRDefault="004A074A" w:rsidP="004A074A">
      <w:pPr>
        <w:pStyle w:val="Titre2"/>
      </w:pPr>
      <w:r w:rsidRPr="004A074A">
        <w:t>2.1 Débit Interne</w:t>
      </w:r>
    </w:p>
    <w:p w14:paraId="4FE53C5D" w14:textId="3DCE664A" w:rsidR="004A074A" w:rsidRPr="004A074A" w:rsidRDefault="004A074A" w:rsidP="004A074A">
      <w:pPr>
        <w:numPr>
          <w:ilvl w:val="0"/>
          <w:numId w:val="1"/>
        </w:numPr>
      </w:pPr>
      <w:r w:rsidRPr="004A074A">
        <w:rPr>
          <w:b/>
          <w:bCs/>
        </w:rPr>
        <w:t>Besoin</w:t>
      </w:r>
      <w:r w:rsidRPr="004A074A">
        <w:t xml:space="preserve"> : </w:t>
      </w:r>
      <w:r w:rsidRPr="004A074A">
        <w:rPr>
          <w:b/>
          <w:bCs/>
        </w:rPr>
        <w:t>3-5 Tb/s</w:t>
      </w:r>
      <w:r w:rsidRPr="004A074A">
        <w:t xml:space="preserve"> (appliqué sur une infrastructure DWDM pour flexibilité)</w:t>
      </w:r>
    </w:p>
    <w:p w14:paraId="28499A46" w14:textId="77777777" w:rsidR="004A074A" w:rsidRPr="004A074A" w:rsidRDefault="004A074A" w:rsidP="004A074A">
      <w:pPr>
        <w:numPr>
          <w:ilvl w:val="0"/>
          <w:numId w:val="1"/>
        </w:numPr>
      </w:pPr>
      <w:r w:rsidRPr="004A074A">
        <w:rPr>
          <w:b/>
          <w:bCs/>
        </w:rPr>
        <w:t>Justification</w:t>
      </w:r>
      <w:r w:rsidRPr="004A074A">
        <w:t xml:space="preserve"> : Comparaison avec le LHC (~800 Gb/s en sortie après filtrage)</w:t>
      </w:r>
    </w:p>
    <w:p w14:paraId="2AB024C8" w14:textId="77777777" w:rsidR="004A074A" w:rsidRPr="004A074A" w:rsidRDefault="004A074A" w:rsidP="004A074A">
      <w:pPr>
        <w:pStyle w:val="Titre2"/>
      </w:pPr>
      <w:r w:rsidRPr="004A074A">
        <w:t>2.2 Débit Externe</w:t>
      </w:r>
    </w:p>
    <w:p w14:paraId="3BDD944C" w14:textId="590A90FD" w:rsidR="004A074A" w:rsidRPr="004A074A" w:rsidRDefault="004A074A" w:rsidP="004A074A">
      <w:pPr>
        <w:numPr>
          <w:ilvl w:val="0"/>
          <w:numId w:val="2"/>
        </w:numPr>
      </w:pPr>
      <w:r w:rsidRPr="004A074A">
        <w:rPr>
          <w:b/>
          <w:bCs/>
        </w:rPr>
        <w:t>Besoin</w:t>
      </w:r>
      <w:r w:rsidRPr="004A074A">
        <w:t xml:space="preserve"> : </w:t>
      </w:r>
      <w:r w:rsidRPr="004A074A">
        <w:rPr>
          <w:b/>
          <w:bCs/>
        </w:rPr>
        <w:t>500 Gb/s - 1 Tb/s</w:t>
      </w:r>
    </w:p>
    <w:p w14:paraId="3E8EFF33" w14:textId="77777777" w:rsidR="004A074A" w:rsidRPr="004A074A" w:rsidRDefault="004A074A" w:rsidP="004A074A">
      <w:pPr>
        <w:numPr>
          <w:ilvl w:val="0"/>
          <w:numId w:val="2"/>
        </w:numPr>
      </w:pPr>
      <w:r w:rsidRPr="004A074A">
        <w:rPr>
          <w:b/>
          <w:bCs/>
        </w:rPr>
        <w:t>Justification</w:t>
      </w:r>
      <w:r w:rsidRPr="004A074A">
        <w:t xml:space="preserve"> : Le LHC utilise déjà 100 Gb/s pour liaisons Tier-1, besoin de capacité évolutive</w:t>
      </w:r>
    </w:p>
    <w:p w14:paraId="0EE12E55" w14:textId="77777777" w:rsidR="004A074A" w:rsidRPr="004A074A" w:rsidRDefault="00000000" w:rsidP="004A074A">
      <w:r>
        <w:pict w14:anchorId="64E796A2">
          <v:rect id="_x0000_i1026" style="width:0;height:1.5pt" o:hralign="center" o:hrstd="t" o:hr="t" fillcolor="#a0a0a0" stroked="f"/>
        </w:pict>
      </w:r>
    </w:p>
    <w:p w14:paraId="6FBB2E72" w14:textId="77777777" w:rsidR="004A074A" w:rsidRPr="004A074A" w:rsidRDefault="004A074A" w:rsidP="004A074A">
      <w:pPr>
        <w:pStyle w:val="Titre1"/>
      </w:pPr>
      <w:r w:rsidRPr="004A074A">
        <w:t>3. Choix de l'Infrastructure Physique</w:t>
      </w:r>
    </w:p>
    <w:p w14:paraId="7AF1B4C3" w14:textId="77777777" w:rsidR="004A074A" w:rsidRPr="004A074A" w:rsidRDefault="004A074A" w:rsidP="004A074A">
      <w:pPr>
        <w:pStyle w:val="Titre2"/>
      </w:pPr>
      <w:r w:rsidRPr="004A074A">
        <w:t>3.1 Type de Fibre</w:t>
      </w:r>
    </w:p>
    <w:p w14:paraId="25B085AB" w14:textId="77777777" w:rsidR="004A074A" w:rsidRPr="004A074A" w:rsidRDefault="004A074A" w:rsidP="004A074A">
      <w:pPr>
        <w:numPr>
          <w:ilvl w:val="0"/>
          <w:numId w:val="3"/>
        </w:numPr>
      </w:pPr>
      <w:r w:rsidRPr="004A074A">
        <w:rPr>
          <w:b/>
          <w:bCs/>
        </w:rPr>
        <w:t>Choix : Monomode ITU-T G.652.D</w:t>
      </w:r>
    </w:p>
    <w:p w14:paraId="0004A919" w14:textId="77777777" w:rsidR="004A074A" w:rsidRPr="004A074A" w:rsidRDefault="004A074A" w:rsidP="004A074A">
      <w:pPr>
        <w:numPr>
          <w:ilvl w:val="0"/>
          <w:numId w:val="3"/>
        </w:numPr>
      </w:pPr>
      <w:r w:rsidRPr="004A074A">
        <w:rPr>
          <w:b/>
          <w:bCs/>
        </w:rPr>
        <w:t>Justification</w:t>
      </w:r>
      <w:r w:rsidRPr="004A074A">
        <w:t xml:space="preserve"> :</w:t>
      </w:r>
    </w:p>
    <w:p w14:paraId="4DD7CB7E" w14:textId="11482E76" w:rsidR="004A074A" w:rsidRPr="004A074A" w:rsidRDefault="004A074A" w:rsidP="004A074A">
      <w:pPr>
        <w:numPr>
          <w:ilvl w:val="1"/>
          <w:numId w:val="3"/>
        </w:numPr>
      </w:pPr>
      <w:r w:rsidRPr="004A074A">
        <w:t xml:space="preserve">Faible atténuation (~0,2 dB/km </w:t>
      </w:r>
      <w:r w:rsidR="00092812">
        <w:t>à</w:t>
      </w:r>
      <w:r w:rsidRPr="004A074A">
        <w:t>1550 nm)</w:t>
      </w:r>
    </w:p>
    <w:p w14:paraId="6AA68F71" w14:textId="77777777" w:rsidR="004A074A" w:rsidRPr="004A074A" w:rsidRDefault="004A074A" w:rsidP="004A074A">
      <w:pPr>
        <w:numPr>
          <w:ilvl w:val="1"/>
          <w:numId w:val="3"/>
        </w:numPr>
      </w:pPr>
      <w:r w:rsidRPr="004A074A">
        <w:t>Compatible DWDM et amplification optique</w:t>
      </w:r>
    </w:p>
    <w:p w14:paraId="67518027" w14:textId="3909B61B" w:rsidR="004A074A" w:rsidRPr="007A311F" w:rsidRDefault="004A074A" w:rsidP="004A074A">
      <w:pPr>
        <w:numPr>
          <w:ilvl w:val="1"/>
          <w:numId w:val="3"/>
        </w:numPr>
      </w:pPr>
      <w:r w:rsidRPr="004A074A">
        <w:t>Distance de 93 km adaptée sans dispersion excessive</w:t>
      </w:r>
    </w:p>
    <w:p w14:paraId="49BE80D2" w14:textId="3D0AEDCC" w:rsidR="004A074A" w:rsidRPr="004A074A" w:rsidRDefault="004A074A" w:rsidP="004A074A">
      <w:pPr>
        <w:pStyle w:val="Titre2"/>
      </w:pPr>
      <w:r w:rsidRPr="004A074A">
        <w:lastRenderedPageBreak/>
        <w:t>3.2 Équipements Réseau</w:t>
      </w:r>
    </w:p>
    <w:p w14:paraId="2C60E6CF" w14:textId="77777777" w:rsidR="004A074A" w:rsidRPr="004A074A" w:rsidRDefault="004A074A" w:rsidP="004A074A">
      <w:pPr>
        <w:rPr>
          <w:b/>
          <w:bCs/>
        </w:rPr>
      </w:pPr>
      <w:r w:rsidRPr="004A074A">
        <w:rPr>
          <w:b/>
          <w:bCs/>
        </w:rPr>
        <w:t>Switches et Routeurs</w:t>
      </w:r>
    </w:p>
    <w:tbl>
      <w:tblPr>
        <w:tblW w:w="511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1"/>
        <w:gridCol w:w="2248"/>
        <w:gridCol w:w="1133"/>
      </w:tblGrid>
      <w:tr w:rsidR="004A074A" w:rsidRPr="004A074A" w14:paraId="61F3547B" w14:textId="77777777" w:rsidTr="004A074A">
        <w:trPr>
          <w:trHeight w:val="526"/>
          <w:tblCellSpacing w:w="15" w:type="dxa"/>
          <w:jc w:val="center"/>
        </w:trPr>
        <w:tc>
          <w:tcPr>
            <w:tcW w:w="0" w:type="auto"/>
            <w:vAlign w:val="center"/>
            <w:hideMark/>
          </w:tcPr>
          <w:p w14:paraId="1C8369F8" w14:textId="77777777" w:rsidR="004A074A" w:rsidRPr="004A074A" w:rsidRDefault="004A074A" w:rsidP="004A074A">
            <w:pPr>
              <w:jc w:val="center"/>
              <w:rPr>
                <w:b/>
                <w:bCs/>
              </w:rPr>
            </w:pPr>
            <w:r w:rsidRPr="004A074A">
              <w:rPr>
                <w:b/>
                <w:bCs/>
              </w:rPr>
              <w:t>Équipement</w:t>
            </w:r>
          </w:p>
        </w:tc>
        <w:tc>
          <w:tcPr>
            <w:tcW w:w="0" w:type="auto"/>
            <w:vAlign w:val="center"/>
            <w:hideMark/>
          </w:tcPr>
          <w:p w14:paraId="78850F9B" w14:textId="77777777" w:rsidR="004A074A" w:rsidRPr="004A074A" w:rsidRDefault="004A074A" w:rsidP="004A074A">
            <w:pPr>
              <w:jc w:val="center"/>
              <w:rPr>
                <w:b/>
                <w:bCs/>
              </w:rPr>
            </w:pPr>
            <w:r w:rsidRPr="004A074A">
              <w:rPr>
                <w:b/>
                <w:bCs/>
              </w:rPr>
              <w:t>Modèle</w:t>
            </w:r>
          </w:p>
        </w:tc>
        <w:tc>
          <w:tcPr>
            <w:tcW w:w="0" w:type="auto"/>
            <w:vAlign w:val="center"/>
            <w:hideMark/>
          </w:tcPr>
          <w:p w14:paraId="23B49636" w14:textId="77777777" w:rsidR="004A074A" w:rsidRPr="004A074A" w:rsidRDefault="004A074A" w:rsidP="004A074A">
            <w:pPr>
              <w:jc w:val="center"/>
              <w:rPr>
                <w:b/>
                <w:bCs/>
              </w:rPr>
            </w:pPr>
            <w:r w:rsidRPr="004A074A">
              <w:rPr>
                <w:b/>
                <w:bCs/>
              </w:rPr>
              <w:t>Nombre</w:t>
            </w:r>
          </w:p>
        </w:tc>
      </w:tr>
      <w:tr w:rsidR="004A074A" w:rsidRPr="004A074A" w14:paraId="58DB8361" w14:textId="77777777" w:rsidTr="004A074A">
        <w:trPr>
          <w:trHeight w:val="539"/>
          <w:tblCellSpacing w:w="15" w:type="dxa"/>
          <w:jc w:val="center"/>
        </w:trPr>
        <w:tc>
          <w:tcPr>
            <w:tcW w:w="0" w:type="auto"/>
            <w:vAlign w:val="center"/>
            <w:hideMark/>
          </w:tcPr>
          <w:p w14:paraId="4EFCDBBC" w14:textId="77777777" w:rsidR="004A074A" w:rsidRPr="004A074A" w:rsidRDefault="004A074A" w:rsidP="004A074A">
            <w:pPr>
              <w:jc w:val="center"/>
            </w:pPr>
            <w:proofErr w:type="spellStart"/>
            <w:r w:rsidRPr="004A074A">
              <w:t>Core</w:t>
            </w:r>
            <w:proofErr w:type="spellEnd"/>
            <w:r w:rsidRPr="004A074A">
              <w:t xml:space="preserve"> Switch</w:t>
            </w:r>
          </w:p>
        </w:tc>
        <w:tc>
          <w:tcPr>
            <w:tcW w:w="0" w:type="auto"/>
            <w:vAlign w:val="center"/>
            <w:hideMark/>
          </w:tcPr>
          <w:p w14:paraId="55868819" w14:textId="77777777" w:rsidR="004A074A" w:rsidRPr="004A074A" w:rsidRDefault="004A074A" w:rsidP="004A074A">
            <w:pPr>
              <w:jc w:val="center"/>
            </w:pPr>
            <w:r w:rsidRPr="004A074A">
              <w:t>Cisco Nexus 9800</w:t>
            </w:r>
          </w:p>
        </w:tc>
        <w:tc>
          <w:tcPr>
            <w:tcW w:w="0" w:type="auto"/>
            <w:vAlign w:val="center"/>
            <w:hideMark/>
          </w:tcPr>
          <w:p w14:paraId="252007E4" w14:textId="77777777" w:rsidR="004A074A" w:rsidRPr="004A074A" w:rsidRDefault="004A074A" w:rsidP="004A074A">
            <w:pPr>
              <w:jc w:val="center"/>
            </w:pPr>
            <w:r w:rsidRPr="004A074A">
              <w:t>2</w:t>
            </w:r>
          </w:p>
        </w:tc>
      </w:tr>
      <w:tr w:rsidR="004A074A" w:rsidRPr="004A074A" w14:paraId="163B4DA9" w14:textId="77777777" w:rsidTr="004A074A">
        <w:trPr>
          <w:trHeight w:val="526"/>
          <w:tblCellSpacing w:w="15" w:type="dxa"/>
          <w:jc w:val="center"/>
        </w:trPr>
        <w:tc>
          <w:tcPr>
            <w:tcW w:w="0" w:type="auto"/>
            <w:vAlign w:val="center"/>
            <w:hideMark/>
          </w:tcPr>
          <w:p w14:paraId="784BFA00" w14:textId="77777777" w:rsidR="004A074A" w:rsidRPr="004A074A" w:rsidRDefault="004A074A" w:rsidP="004A074A">
            <w:pPr>
              <w:jc w:val="center"/>
            </w:pPr>
            <w:proofErr w:type="spellStart"/>
            <w:r w:rsidRPr="004A074A">
              <w:t>Spine</w:t>
            </w:r>
            <w:proofErr w:type="spellEnd"/>
            <w:r w:rsidRPr="004A074A">
              <w:t xml:space="preserve"> Switch</w:t>
            </w:r>
          </w:p>
        </w:tc>
        <w:tc>
          <w:tcPr>
            <w:tcW w:w="0" w:type="auto"/>
            <w:vAlign w:val="center"/>
            <w:hideMark/>
          </w:tcPr>
          <w:p w14:paraId="15C2C312" w14:textId="77777777" w:rsidR="004A074A" w:rsidRPr="004A074A" w:rsidRDefault="004A074A" w:rsidP="004A074A">
            <w:pPr>
              <w:jc w:val="center"/>
            </w:pPr>
            <w:proofErr w:type="spellStart"/>
            <w:r w:rsidRPr="004A074A">
              <w:t>Arista</w:t>
            </w:r>
            <w:proofErr w:type="spellEnd"/>
            <w:r w:rsidRPr="004A074A">
              <w:t xml:space="preserve"> 7800R3</w:t>
            </w:r>
          </w:p>
        </w:tc>
        <w:tc>
          <w:tcPr>
            <w:tcW w:w="0" w:type="auto"/>
            <w:vAlign w:val="center"/>
            <w:hideMark/>
          </w:tcPr>
          <w:p w14:paraId="6BC240C2" w14:textId="77777777" w:rsidR="004A074A" w:rsidRPr="004A074A" w:rsidRDefault="004A074A" w:rsidP="004A074A">
            <w:pPr>
              <w:jc w:val="center"/>
            </w:pPr>
            <w:r w:rsidRPr="004A074A">
              <w:t>4</w:t>
            </w:r>
          </w:p>
        </w:tc>
      </w:tr>
      <w:tr w:rsidR="004A074A" w:rsidRPr="004A074A" w14:paraId="65B432C5" w14:textId="77777777" w:rsidTr="004A074A">
        <w:trPr>
          <w:trHeight w:val="526"/>
          <w:tblCellSpacing w:w="15" w:type="dxa"/>
          <w:jc w:val="center"/>
        </w:trPr>
        <w:tc>
          <w:tcPr>
            <w:tcW w:w="0" w:type="auto"/>
            <w:vAlign w:val="center"/>
            <w:hideMark/>
          </w:tcPr>
          <w:p w14:paraId="7C1F178B" w14:textId="77777777" w:rsidR="004A074A" w:rsidRPr="004A074A" w:rsidRDefault="004A074A" w:rsidP="004A074A">
            <w:pPr>
              <w:jc w:val="center"/>
            </w:pPr>
            <w:proofErr w:type="spellStart"/>
            <w:r w:rsidRPr="004A074A">
              <w:t>Leaf</w:t>
            </w:r>
            <w:proofErr w:type="spellEnd"/>
            <w:r w:rsidRPr="004A074A">
              <w:t xml:space="preserve"> Switch</w:t>
            </w:r>
          </w:p>
        </w:tc>
        <w:tc>
          <w:tcPr>
            <w:tcW w:w="0" w:type="auto"/>
            <w:vAlign w:val="center"/>
            <w:hideMark/>
          </w:tcPr>
          <w:p w14:paraId="4FD736D1" w14:textId="77777777" w:rsidR="004A074A" w:rsidRPr="004A074A" w:rsidRDefault="004A074A" w:rsidP="004A074A">
            <w:pPr>
              <w:jc w:val="center"/>
            </w:pPr>
            <w:proofErr w:type="spellStart"/>
            <w:r w:rsidRPr="004A074A">
              <w:t>Arista</w:t>
            </w:r>
            <w:proofErr w:type="spellEnd"/>
            <w:r w:rsidRPr="004A074A">
              <w:t xml:space="preserve"> 7500R</w:t>
            </w:r>
          </w:p>
        </w:tc>
        <w:tc>
          <w:tcPr>
            <w:tcW w:w="0" w:type="auto"/>
            <w:vAlign w:val="center"/>
            <w:hideMark/>
          </w:tcPr>
          <w:p w14:paraId="0E5ECB91" w14:textId="77777777" w:rsidR="004A074A" w:rsidRPr="004A074A" w:rsidRDefault="004A074A" w:rsidP="004A074A">
            <w:pPr>
              <w:jc w:val="center"/>
            </w:pPr>
            <w:r w:rsidRPr="004A074A">
              <w:t>8</w:t>
            </w:r>
          </w:p>
        </w:tc>
      </w:tr>
      <w:tr w:rsidR="004A074A" w:rsidRPr="004A074A" w14:paraId="7816F549" w14:textId="77777777" w:rsidTr="004A074A">
        <w:trPr>
          <w:trHeight w:val="539"/>
          <w:tblCellSpacing w:w="15" w:type="dxa"/>
          <w:jc w:val="center"/>
        </w:trPr>
        <w:tc>
          <w:tcPr>
            <w:tcW w:w="0" w:type="auto"/>
            <w:vAlign w:val="center"/>
            <w:hideMark/>
          </w:tcPr>
          <w:p w14:paraId="4D0C9924" w14:textId="77777777" w:rsidR="004A074A" w:rsidRPr="004A074A" w:rsidRDefault="004A074A" w:rsidP="004A074A">
            <w:pPr>
              <w:jc w:val="center"/>
            </w:pPr>
            <w:r w:rsidRPr="004A074A">
              <w:t>Routeur WAN</w:t>
            </w:r>
          </w:p>
        </w:tc>
        <w:tc>
          <w:tcPr>
            <w:tcW w:w="0" w:type="auto"/>
            <w:vAlign w:val="center"/>
            <w:hideMark/>
          </w:tcPr>
          <w:p w14:paraId="775BD14B" w14:textId="77777777" w:rsidR="004A074A" w:rsidRPr="004A074A" w:rsidRDefault="004A074A" w:rsidP="004A074A">
            <w:pPr>
              <w:jc w:val="center"/>
            </w:pPr>
            <w:r w:rsidRPr="004A074A">
              <w:t>Cisco ASR 9900</w:t>
            </w:r>
          </w:p>
        </w:tc>
        <w:tc>
          <w:tcPr>
            <w:tcW w:w="0" w:type="auto"/>
            <w:vAlign w:val="center"/>
            <w:hideMark/>
          </w:tcPr>
          <w:p w14:paraId="18791492" w14:textId="77777777" w:rsidR="004A074A" w:rsidRPr="004A074A" w:rsidRDefault="004A074A" w:rsidP="004A074A">
            <w:pPr>
              <w:jc w:val="center"/>
            </w:pPr>
            <w:r w:rsidRPr="004A074A">
              <w:t>2</w:t>
            </w:r>
          </w:p>
        </w:tc>
      </w:tr>
    </w:tbl>
    <w:p w14:paraId="23CCDFF7" w14:textId="77777777" w:rsidR="004A074A" w:rsidRPr="004A074A" w:rsidRDefault="004A074A" w:rsidP="004A074A">
      <w:pPr>
        <w:rPr>
          <w:b/>
          <w:bCs/>
        </w:rPr>
      </w:pPr>
      <w:r w:rsidRPr="004A074A">
        <w:rPr>
          <w:b/>
          <w:bCs/>
        </w:rPr>
        <w:t>Amplificateurs Optiques (EDFA)</w:t>
      </w:r>
    </w:p>
    <w:tbl>
      <w:tblPr>
        <w:tblW w:w="507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3"/>
        <w:gridCol w:w="1426"/>
      </w:tblGrid>
      <w:tr w:rsidR="004A074A" w:rsidRPr="004A074A" w14:paraId="5C680FF0" w14:textId="77777777" w:rsidTr="004A074A">
        <w:trPr>
          <w:trHeight w:val="732"/>
          <w:tblCellSpacing w:w="15" w:type="dxa"/>
          <w:jc w:val="center"/>
        </w:trPr>
        <w:tc>
          <w:tcPr>
            <w:tcW w:w="0" w:type="auto"/>
            <w:vAlign w:val="center"/>
            <w:hideMark/>
          </w:tcPr>
          <w:p w14:paraId="05B8D6AF" w14:textId="77777777" w:rsidR="004A074A" w:rsidRPr="004A074A" w:rsidRDefault="004A074A" w:rsidP="004A074A">
            <w:pPr>
              <w:jc w:val="center"/>
              <w:rPr>
                <w:b/>
                <w:bCs/>
              </w:rPr>
            </w:pPr>
            <w:r w:rsidRPr="004A074A">
              <w:rPr>
                <w:b/>
                <w:bCs/>
              </w:rPr>
              <w:t>Type</w:t>
            </w:r>
          </w:p>
        </w:tc>
        <w:tc>
          <w:tcPr>
            <w:tcW w:w="0" w:type="auto"/>
            <w:vAlign w:val="center"/>
            <w:hideMark/>
          </w:tcPr>
          <w:p w14:paraId="1F10A3C9" w14:textId="77777777" w:rsidR="004A074A" w:rsidRPr="004A074A" w:rsidRDefault="004A074A" w:rsidP="004A074A">
            <w:pPr>
              <w:jc w:val="center"/>
              <w:rPr>
                <w:b/>
                <w:bCs/>
              </w:rPr>
            </w:pPr>
            <w:r w:rsidRPr="004A074A">
              <w:rPr>
                <w:b/>
                <w:bCs/>
              </w:rPr>
              <w:t>Nombre</w:t>
            </w:r>
          </w:p>
        </w:tc>
      </w:tr>
      <w:tr w:rsidR="004A074A" w:rsidRPr="004A074A" w14:paraId="4EF09485" w14:textId="77777777" w:rsidTr="004A074A">
        <w:trPr>
          <w:trHeight w:val="749"/>
          <w:tblCellSpacing w:w="15" w:type="dxa"/>
          <w:jc w:val="center"/>
        </w:trPr>
        <w:tc>
          <w:tcPr>
            <w:tcW w:w="0" w:type="auto"/>
            <w:vAlign w:val="center"/>
            <w:hideMark/>
          </w:tcPr>
          <w:p w14:paraId="1F3853B0" w14:textId="77777777" w:rsidR="004A074A" w:rsidRPr="004A074A" w:rsidRDefault="004A074A" w:rsidP="004A074A">
            <w:pPr>
              <w:jc w:val="center"/>
            </w:pPr>
            <w:r w:rsidRPr="004A074A">
              <w:t>EDFA pré-amplification</w:t>
            </w:r>
          </w:p>
        </w:tc>
        <w:tc>
          <w:tcPr>
            <w:tcW w:w="0" w:type="auto"/>
            <w:vAlign w:val="center"/>
            <w:hideMark/>
          </w:tcPr>
          <w:p w14:paraId="4EEF572F" w14:textId="77777777" w:rsidR="004A074A" w:rsidRPr="004A074A" w:rsidRDefault="004A074A" w:rsidP="004A074A">
            <w:pPr>
              <w:jc w:val="center"/>
            </w:pPr>
            <w:r w:rsidRPr="004A074A">
              <w:t>4</w:t>
            </w:r>
          </w:p>
        </w:tc>
      </w:tr>
      <w:tr w:rsidR="004A074A" w:rsidRPr="004A074A" w14:paraId="35A6B2EF" w14:textId="77777777" w:rsidTr="004A074A">
        <w:trPr>
          <w:trHeight w:val="732"/>
          <w:tblCellSpacing w:w="15" w:type="dxa"/>
          <w:jc w:val="center"/>
        </w:trPr>
        <w:tc>
          <w:tcPr>
            <w:tcW w:w="0" w:type="auto"/>
            <w:vAlign w:val="center"/>
            <w:hideMark/>
          </w:tcPr>
          <w:p w14:paraId="7E7E821D" w14:textId="77777777" w:rsidR="004A074A" w:rsidRPr="004A074A" w:rsidRDefault="004A074A" w:rsidP="004A074A">
            <w:pPr>
              <w:jc w:val="center"/>
            </w:pPr>
            <w:r w:rsidRPr="004A074A">
              <w:t>EDFA booster</w:t>
            </w:r>
          </w:p>
        </w:tc>
        <w:tc>
          <w:tcPr>
            <w:tcW w:w="0" w:type="auto"/>
            <w:vAlign w:val="center"/>
            <w:hideMark/>
          </w:tcPr>
          <w:p w14:paraId="56527D88" w14:textId="77777777" w:rsidR="004A074A" w:rsidRPr="004A074A" w:rsidRDefault="004A074A" w:rsidP="004A074A">
            <w:pPr>
              <w:jc w:val="center"/>
            </w:pPr>
            <w:r w:rsidRPr="004A074A">
              <w:t>4</w:t>
            </w:r>
          </w:p>
        </w:tc>
      </w:tr>
      <w:tr w:rsidR="004A074A" w:rsidRPr="004A074A" w14:paraId="6D1A1092" w14:textId="77777777" w:rsidTr="004A074A">
        <w:trPr>
          <w:trHeight w:val="732"/>
          <w:tblCellSpacing w:w="15" w:type="dxa"/>
          <w:jc w:val="center"/>
        </w:trPr>
        <w:tc>
          <w:tcPr>
            <w:tcW w:w="0" w:type="auto"/>
            <w:vAlign w:val="center"/>
            <w:hideMark/>
          </w:tcPr>
          <w:p w14:paraId="572B3D36" w14:textId="77777777" w:rsidR="004A074A" w:rsidRPr="004A074A" w:rsidRDefault="004A074A" w:rsidP="004A074A">
            <w:pPr>
              <w:jc w:val="center"/>
            </w:pPr>
            <w:r w:rsidRPr="004A074A">
              <w:t>Régénérateur optique</w:t>
            </w:r>
          </w:p>
        </w:tc>
        <w:tc>
          <w:tcPr>
            <w:tcW w:w="0" w:type="auto"/>
            <w:vAlign w:val="center"/>
            <w:hideMark/>
          </w:tcPr>
          <w:p w14:paraId="30D817E9" w14:textId="77777777" w:rsidR="004A074A" w:rsidRPr="004A074A" w:rsidRDefault="004A074A" w:rsidP="004A074A">
            <w:pPr>
              <w:jc w:val="center"/>
            </w:pPr>
            <w:r w:rsidRPr="004A074A">
              <w:t>2</w:t>
            </w:r>
          </w:p>
        </w:tc>
      </w:tr>
    </w:tbl>
    <w:p w14:paraId="1BFAA375" w14:textId="77777777" w:rsidR="004A074A" w:rsidRPr="004A074A" w:rsidRDefault="00000000" w:rsidP="004A074A">
      <w:r>
        <w:pict w14:anchorId="238AC26F">
          <v:rect id="_x0000_i1027" style="width:0;height:1.5pt" o:hralign="center" o:hrstd="t" o:hr="t" fillcolor="#a0a0a0" stroked="f"/>
        </w:pict>
      </w:r>
    </w:p>
    <w:p w14:paraId="1F293B75" w14:textId="0BDAAB5C" w:rsidR="008F3F36" w:rsidRPr="008F3F36" w:rsidRDefault="004A074A" w:rsidP="008F3F36">
      <w:pPr>
        <w:pStyle w:val="Titre1"/>
      </w:pPr>
      <w:r w:rsidRPr="004A074A">
        <w:t>4. Calculs Techniques</w:t>
      </w:r>
    </w:p>
    <w:p w14:paraId="132D408C" w14:textId="77777777" w:rsidR="004A074A" w:rsidRPr="004A074A" w:rsidRDefault="004A074A" w:rsidP="00092812">
      <w:pPr>
        <w:pStyle w:val="Titre2"/>
      </w:pPr>
      <w:r w:rsidRPr="004A074A">
        <w:t>4.1 Atténuation de la Fibre</w:t>
      </w:r>
    </w:p>
    <w:p w14:paraId="4A11E68B" w14:textId="77777777" w:rsidR="004A074A" w:rsidRPr="004A074A" w:rsidRDefault="004A074A" w:rsidP="004A074A">
      <w:pPr>
        <w:numPr>
          <w:ilvl w:val="0"/>
          <w:numId w:val="4"/>
        </w:numPr>
      </w:pPr>
      <w:r w:rsidRPr="004A074A">
        <w:t xml:space="preserve">Distance : </w:t>
      </w:r>
      <w:r w:rsidRPr="004A074A">
        <w:rPr>
          <w:b/>
          <w:bCs/>
        </w:rPr>
        <w:t>93 km</w:t>
      </w:r>
    </w:p>
    <w:p w14:paraId="2BC6385E" w14:textId="20F94FB1" w:rsidR="004A074A" w:rsidRPr="004A074A" w:rsidRDefault="004A074A" w:rsidP="004A074A">
      <w:pPr>
        <w:numPr>
          <w:ilvl w:val="0"/>
          <w:numId w:val="4"/>
        </w:numPr>
      </w:pPr>
      <w:r w:rsidRPr="004A074A">
        <w:t xml:space="preserve">Atténuation : </w:t>
      </w:r>
      <w:r w:rsidRPr="004A074A">
        <w:rPr>
          <w:b/>
          <w:bCs/>
        </w:rPr>
        <w:t>0,2 dB/km à1550 nm</w:t>
      </w:r>
    </w:p>
    <w:p w14:paraId="6E6D27C4" w14:textId="77777777" w:rsidR="004A074A" w:rsidRPr="004A074A" w:rsidRDefault="004A074A" w:rsidP="004A074A">
      <w:pPr>
        <w:numPr>
          <w:ilvl w:val="0"/>
          <w:numId w:val="4"/>
        </w:numPr>
      </w:pPr>
      <w:r w:rsidRPr="004A074A">
        <w:rPr>
          <w:b/>
          <w:bCs/>
        </w:rPr>
        <w:t>Atténuation totale</w:t>
      </w:r>
      <w:r w:rsidRPr="004A074A">
        <w:t xml:space="preserve"> = 93 km × 0,2 dB/km = </w:t>
      </w:r>
      <w:r w:rsidRPr="004A074A">
        <w:rPr>
          <w:b/>
          <w:bCs/>
        </w:rPr>
        <w:t>18,6 dB</w:t>
      </w:r>
    </w:p>
    <w:p w14:paraId="6C9B7E31" w14:textId="77777777" w:rsidR="004A074A" w:rsidRPr="004A074A" w:rsidRDefault="004A074A" w:rsidP="00092812">
      <w:pPr>
        <w:pStyle w:val="Titre2"/>
      </w:pPr>
      <w:r w:rsidRPr="004A074A">
        <w:t>4.2 Budget Optique</w:t>
      </w:r>
    </w:p>
    <w:p w14:paraId="2444FE89" w14:textId="77777777" w:rsidR="004A074A" w:rsidRPr="004A074A" w:rsidRDefault="004A074A" w:rsidP="004A074A">
      <w:pPr>
        <w:numPr>
          <w:ilvl w:val="0"/>
          <w:numId w:val="5"/>
        </w:numPr>
      </w:pPr>
      <w:r w:rsidRPr="004A074A">
        <w:t xml:space="preserve">Puissance d’émission : </w:t>
      </w:r>
      <w:r w:rsidRPr="004A074A">
        <w:rPr>
          <w:b/>
          <w:bCs/>
        </w:rPr>
        <w:t>+5 dBm</w:t>
      </w:r>
    </w:p>
    <w:p w14:paraId="05E5946E" w14:textId="77777777" w:rsidR="004A074A" w:rsidRPr="004A074A" w:rsidRDefault="004A074A" w:rsidP="004A074A">
      <w:pPr>
        <w:numPr>
          <w:ilvl w:val="0"/>
          <w:numId w:val="5"/>
        </w:numPr>
      </w:pPr>
      <w:r w:rsidRPr="004A074A">
        <w:t xml:space="preserve">Sensibilité du récepteur : </w:t>
      </w:r>
      <w:r w:rsidRPr="004A074A">
        <w:rPr>
          <w:b/>
          <w:bCs/>
        </w:rPr>
        <w:t>-20 dBm</w:t>
      </w:r>
    </w:p>
    <w:p w14:paraId="537BFE73" w14:textId="77777777" w:rsidR="004A074A" w:rsidRPr="004A074A" w:rsidRDefault="004A074A" w:rsidP="004A074A">
      <w:pPr>
        <w:numPr>
          <w:ilvl w:val="0"/>
          <w:numId w:val="5"/>
        </w:numPr>
      </w:pPr>
      <w:r w:rsidRPr="004A074A">
        <w:rPr>
          <w:b/>
          <w:bCs/>
        </w:rPr>
        <w:t>Budget disponible</w:t>
      </w:r>
      <w:r w:rsidRPr="004A074A">
        <w:t xml:space="preserve"> = 5 - (-20) = </w:t>
      </w:r>
      <w:r w:rsidRPr="004A074A">
        <w:rPr>
          <w:b/>
          <w:bCs/>
        </w:rPr>
        <w:t>25 dB</w:t>
      </w:r>
    </w:p>
    <w:p w14:paraId="56DD6E59" w14:textId="1E0098CE" w:rsidR="004A074A" w:rsidRPr="004A074A" w:rsidRDefault="004A074A" w:rsidP="004A074A">
      <w:pPr>
        <w:numPr>
          <w:ilvl w:val="0"/>
          <w:numId w:val="5"/>
        </w:numPr>
      </w:pPr>
      <w:r w:rsidRPr="004A074A">
        <w:rPr>
          <w:b/>
          <w:bCs/>
        </w:rPr>
        <w:t>Marges restantes après atténuation</w:t>
      </w:r>
      <w:r w:rsidRPr="004A074A">
        <w:t xml:space="preserve"> : 25 - 18,6 = </w:t>
      </w:r>
      <w:r w:rsidRPr="004A074A">
        <w:rPr>
          <w:b/>
          <w:bCs/>
        </w:rPr>
        <w:t>6,4 dB</w:t>
      </w:r>
      <w:r w:rsidRPr="004A074A">
        <w:t xml:space="preserve"> (</w:t>
      </w:r>
      <w:r w:rsidR="007A311F">
        <w:t>moyen mais ça passe</w:t>
      </w:r>
      <w:r w:rsidRPr="004A074A">
        <w:t>)</w:t>
      </w:r>
    </w:p>
    <w:p w14:paraId="07DF2DBE" w14:textId="77777777" w:rsidR="004A074A" w:rsidRPr="004A074A" w:rsidRDefault="004A074A" w:rsidP="00092812">
      <w:pPr>
        <w:pStyle w:val="Titre2"/>
      </w:pPr>
      <w:r w:rsidRPr="004A074A">
        <w:lastRenderedPageBreak/>
        <w:t>4.3 Étude des Amplificateurs (EDFA)</w:t>
      </w:r>
    </w:p>
    <w:p w14:paraId="17EA8A99" w14:textId="77777777" w:rsidR="004A074A" w:rsidRPr="004A074A" w:rsidRDefault="004A074A" w:rsidP="004A074A">
      <w:pPr>
        <w:numPr>
          <w:ilvl w:val="0"/>
          <w:numId w:val="6"/>
        </w:numPr>
      </w:pPr>
      <w:r w:rsidRPr="004A074A">
        <w:rPr>
          <w:b/>
          <w:bCs/>
        </w:rPr>
        <w:t>Préampli</w:t>
      </w:r>
      <w:r w:rsidRPr="004A074A">
        <w:t xml:space="preserve"> : Gain de </w:t>
      </w:r>
      <w:r w:rsidRPr="004A074A">
        <w:rPr>
          <w:b/>
          <w:bCs/>
        </w:rPr>
        <w:t>15 dB</w:t>
      </w:r>
      <w:r w:rsidRPr="004A074A">
        <w:t xml:space="preserve"> pour compenser l’atténuation</w:t>
      </w:r>
    </w:p>
    <w:p w14:paraId="1BD3C861" w14:textId="77777777" w:rsidR="004A074A" w:rsidRPr="004A074A" w:rsidRDefault="004A074A" w:rsidP="004A074A">
      <w:pPr>
        <w:numPr>
          <w:ilvl w:val="0"/>
          <w:numId w:val="6"/>
        </w:numPr>
      </w:pPr>
      <w:r w:rsidRPr="004A074A">
        <w:rPr>
          <w:b/>
          <w:bCs/>
        </w:rPr>
        <w:t>Booster</w:t>
      </w:r>
      <w:r w:rsidRPr="004A074A">
        <w:t xml:space="preserve"> : Gain de </w:t>
      </w:r>
      <w:r w:rsidRPr="004A074A">
        <w:rPr>
          <w:b/>
          <w:bCs/>
        </w:rPr>
        <w:t>10 dB</w:t>
      </w:r>
      <w:r w:rsidRPr="004A074A">
        <w:t xml:space="preserve"> en sortie</w:t>
      </w:r>
    </w:p>
    <w:p w14:paraId="26BAFEF1" w14:textId="502701AE" w:rsidR="004A074A" w:rsidRPr="004A074A" w:rsidRDefault="004A074A" w:rsidP="004A074A">
      <w:pPr>
        <w:numPr>
          <w:ilvl w:val="0"/>
          <w:numId w:val="6"/>
        </w:numPr>
      </w:pPr>
      <w:r w:rsidRPr="004A074A">
        <w:rPr>
          <w:b/>
          <w:bCs/>
        </w:rPr>
        <w:t>Régénérateurs optiques</w:t>
      </w:r>
      <w:r w:rsidRPr="004A074A">
        <w:t xml:space="preserve"> </w:t>
      </w:r>
      <w:r w:rsidR="00E460CF">
        <w:t>(</w:t>
      </w:r>
      <w:r w:rsidRPr="004A074A">
        <w:t xml:space="preserve">besoin </w:t>
      </w:r>
      <w:r w:rsidR="00E460CF">
        <w:t xml:space="preserve">car distance </w:t>
      </w:r>
      <w:r w:rsidRPr="004A074A">
        <w:t>&gt;80 km)</w:t>
      </w:r>
    </w:p>
    <w:p w14:paraId="6ED324E3" w14:textId="77777777" w:rsidR="004A074A" w:rsidRPr="004A074A" w:rsidRDefault="004A074A" w:rsidP="00092812">
      <w:pPr>
        <w:pStyle w:val="Titre2"/>
      </w:pPr>
      <w:r w:rsidRPr="004A074A">
        <w:t>4.4 Calculs de Performance Réseau</w:t>
      </w:r>
    </w:p>
    <w:p w14:paraId="353B014A" w14:textId="77777777" w:rsidR="004A074A" w:rsidRPr="004A074A" w:rsidRDefault="004A074A" w:rsidP="004A074A">
      <w:pPr>
        <w:rPr>
          <w:b/>
          <w:bCs/>
        </w:rPr>
      </w:pPr>
      <w:r w:rsidRPr="004A074A">
        <w:rPr>
          <w:b/>
          <w:bCs/>
        </w:rPr>
        <w:t>Ratio d’Occupation du Spectre (ROS)</w:t>
      </w:r>
    </w:p>
    <w:p w14:paraId="33AD5238" w14:textId="77777777" w:rsidR="004A074A" w:rsidRPr="004A074A" w:rsidRDefault="004A074A" w:rsidP="004A074A">
      <w:pPr>
        <w:numPr>
          <w:ilvl w:val="0"/>
          <w:numId w:val="7"/>
        </w:numPr>
      </w:pPr>
      <w:r w:rsidRPr="004A074A">
        <w:t xml:space="preserve">DWDM avec </w:t>
      </w:r>
      <w:r w:rsidRPr="004A074A">
        <w:rPr>
          <w:b/>
          <w:bCs/>
        </w:rPr>
        <w:t xml:space="preserve">100 GHz de </w:t>
      </w:r>
      <w:proofErr w:type="spellStart"/>
      <w:r w:rsidRPr="004A074A">
        <w:rPr>
          <w:b/>
          <w:bCs/>
        </w:rPr>
        <w:t>spacing</w:t>
      </w:r>
      <w:proofErr w:type="spellEnd"/>
    </w:p>
    <w:p w14:paraId="1B37FC1F" w14:textId="77777777" w:rsidR="004A074A" w:rsidRPr="004A074A" w:rsidRDefault="004A074A" w:rsidP="004A074A">
      <w:pPr>
        <w:numPr>
          <w:ilvl w:val="0"/>
          <w:numId w:val="7"/>
        </w:numPr>
      </w:pPr>
      <w:r w:rsidRPr="004A074A">
        <w:rPr>
          <w:b/>
          <w:bCs/>
        </w:rPr>
        <w:t>32 canaux x 100G = 3,2 Tb/s</w:t>
      </w:r>
      <w:r w:rsidRPr="004A074A">
        <w:t xml:space="preserve"> (scalable à 5 Tb/s avec 64 canaux)</w:t>
      </w:r>
    </w:p>
    <w:p w14:paraId="4DCFF991" w14:textId="77777777" w:rsidR="004A074A" w:rsidRPr="004A074A" w:rsidRDefault="004A074A" w:rsidP="004A074A">
      <w:pPr>
        <w:rPr>
          <w:b/>
          <w:bCs/>
        </w:rPr>
      </w:pPr>
      <w:r w:rsidRPr="004A074A">
        <w:rPr>
          <w:b/>
          <w:bCs/>
        </w:rPr>
        <w:t>Taux d'Occupation du Spectre (TOS)</w:t>
      </w:r>
    </w:p>
    <w:p w14:paraId="3EA61461" w14:textId="77777777" w:rsidR="004A074A" w:rsidRPr="004A074A" w:rsidRDefault="004A074A" w:rsidP="004A074A">
      <w:pPr>
        <w:numPr>
          <w:ilvl w:val="0"/>
          <w:numId w:val="8"/>
        </w:numPr>
      </w:pPr>
      <w:r w:rsidRPr="004A074A">
        <w:t>TOS = (Débit utilisé / Capacité totale)</w:t>
      </w:r>
    </w:p>
    <w:p w14:paraId="0468ABE0" w14:textId="77777777" w:rsidR="004A074A" w:rsidRPr="004A074A" w:rsidRDefault="004A074A" w:rsidP="004A074A">
      <w:pPr>
        <w:numPr>
          <w:ilvl w:val="0"/>
          <w:numId w:val="8"/>
        </w:numPr>
      </w:pPr>
      <w:r w:rsidRPr="004A074A">
        <w:t xml:space="preserve">Ex. : </w:t>
      </w:r>
      <w:r w:rsidRPr="004A074A">
        <w:rPr>
          <w:b/>
          <w:bCs/>
        </w:rPr>
        <w:t>3 Tb/s / 5 Tb/s = 60%</w:t>
      </w:r>
    </w:p>
    <w:p w14:paraId="3E9673A9" w14:textId="7EC5BC5A" w:rsidR="004A074A" w:rsidRPr="004A074A" w:rsidRDefault="004A074A" w:rsidP="004A074A">
      <w:pPr>
        <w:rPr>
          <w:b/>
          <w:bCs/>
        </w:rPr>
      </w:pPr>
      <w:proofErr w:type="spellStart"/>
      <w:r w:rsidRPr="004A074A">
        <w:rPr>
          <w:b/>
          <w:bCs/>
        </w:rPr>
        <w:t>Paket</w:t>
      </w:r>
      <w:proofErr w:type="spellEnd"/>
      <w:r w:rsidRPr="004A074A">
        <w:rPr>
          <w:b/>
          <w:bCs/>
        </w:rPr>
        <w:t xml:space="preserve"> </w:t>
      </w:r>
      <w:proofErr w:type="spellStart"/>
      <w:r w:rsidRPr="004A074A">
        <w:rPr>
          <w:b/>
          <w:bCs/>
        </w:rPr>
        <w:t>Loss</w:t>
      </w:r>
      <w:proofErr w:type="spellEnd"/>
    </w:p>
    <w:p w14:paraId="2CDFF895" w14:textId="1DB48E36" w:rsidR="004A074A" w:rsidRPr="004A074A" w:rsidRDefault="004A074A" w:rsidP="004A074A">
      <w:pPr>
        <w:numPr>
          <w:ilvl w:val="0"/>
          <w:numId w:val="9"/>
        </w:numPr>
      </w:pPr>
      <w:r w:rsidRPr="004A074A">
        <w:t xml:space="preserve">Latence interne FCC : </w:t>
      </w:r>
      <w:r w:rsidRPr="004A074A">
        <w:rPr>
          <w:b/>
          <w:bCs/>
        </w:rPr>
        <w:t>~0,1 ms</w:t>
      </w:r>
      <w:r w:rsidRPr="004A074A">
        <w:t xml:space="preserve"> (réseau optique</w:t>
      </w:r>
      <w:r w:rsidR="00E460CF">
        <w:t xml:space="preserve"> performent</w:t>
      </w:r>
      <w:r w:rsidRPr="004A074A">
        <w:t>)</w:t>
      </w:r>
    </w:p>
    <w:p w14:paraId="27502BF8" w14:textId="5559A967" w:rsidR="004A074A" w:rsidRDefault="004A074A" w:rsidP="004A074A">
      <w:pPr>
        <w:numPr>
          <w:ilvl w:val="0"/>
          <w:numId w:val="9"/>
        </w:numPr>
      </w:pPr>
      <w:r w:rsidRPr="004A074A">
        <w:t xml:space="preserve">Estimation de pertes : </w:t>
      </w:r>
      <w:r w:rsidRPr="004A074A">
        <w:rPr>
          <w:b/>
          <w:bCs/>
        </w:rPr>
        <w:t>&lt; 0,001%</w:t>
      </w:r>
      <w:r w:rsidRPr="004A074A">
        <w:t xml:space="preserve"> (QOS élevé</w:t>
      </w:r>
      <w:r w:rsidR="00E460CF">
        <w:t xml:space="preserve"> </w:t>
      </w:r>
      <w:r w:rsidR="007A311F">
        <w:t>important</w:t>
      </w:r>
      <w:r w:rsidRPr="004A074A">
        <w:t>)</w:t>
      </w:r>
    </w:p>
    <w:p w14:paraId="72EEE59B" w14:textId="4094797D" w:rsidR="007A311F" w:rsidRPr="007A311F" w:rsidRDefault="007A311F" w:rsidP="007A311F">
      <w:pPr>
        <w:rPr>
          <w:b/>
          <w:bCs/>
        </w:rPr>
      </w:pPr>
      <w:r w:rsidRPr="007A311F">
        <w:rPr>
          <w:b/>
          <w:bCs/>
        </w:rPr>
        <w:t>Largeur de Raie du Laser</w:t>
      </w:r>
    </w:p>
    <w:p w14:paraId="51EB69A3" w14:textId="554F0B39" w:rsidR="007A311F" w:rsidRPr="007A311F" w:rsidRDefault="007A311F" w:rsidP="007A311F">
      <w:pPr>
        <w:numPr>
          <w:ilvl w:val="0"/>
          <w:numId w:val="11"/>
        </w:numPr>
      </w:pPr>
      <w:r w:rsidRPr="007A311F">
        <w:t>Largeur</w:t>
      </w:r>
      <w:r>
        <w:t xml:space="preserve"> </w:t>
      </w:r>
      <w:r w:rsidRPr="007A311F">
        <w:t xml:space="preserve">: </w:t>
      </w:r>
      <w:r w:rsidRPr="007A311F">
        <w:rPr>
          <w:b/>
          <w:bCs/>
        </w:rPr>
        <w:t>0,1 nm @1550 nm</w:t>
      </w:r>
    </w:p>
    <w:p w14:paraId="4F4083E1" w14:textId="77777777" w:rsidR="007A311F" w:rsidRPr="007A311F" w:rsidRDefault="007A311F" w:rsidP="007A311F">
      <w:pPr>
        <w:numPr>
          <w:ilvl w:val="0"/>
          <w:numId w:val="11"/>
        </w:numPr>
      </w:pPr>
      <w:r w:rsidRPr="007A311F">
        <w:t xml:space="preserve">Dispersion chromatique : </w:t>
      </w:r>
      <w:r w:rsidRPr="007A311F">
        <w:rPr>
          <w:b/>
          <w:bCs/>
        </w:rPr>
        <w:t xml:space="preserve">17 </w:t>
      </w:r>
      <w:proofErr w:type="spellStart"/>
      <w:r w:rsidRPr="007A311F">
        <w:rPr>
          <w:b/>
          <w:bCs/>
        </w:rPr>
        <w:t>ps</w:t>
      </w:r>
      <w:proofErr w:type="spellEnd"/>
      <w:r w:rsidRPr="007A311F">
        <w:rPr>
          <w:b/>
          <w:bCs/>
        </w:rPr>
        <w:t>/</w:t>
      </w:r>
      <w:proofErr w:type="spellStart"/>
      <w:r w:rsidRPr="007A311F">
        <w:rPr>
          <w:b/>
          <w:bCs/>
        </w:rPr>
        <w:t>nm·km</w:t>
      </w:r>
      <w:proofErr w:type="spellEnd"/>
    </w:p>
    <w:p w14:paraId="79103DA1" w14:textId="77777777" w:rsidR="007A311F" w:rsidRPr="007A311F" w:rsidRDefault="007A311F" w:rsidP="007A311F">
      <w:pPr>
        <w:numPr>
          <w:ilvl w:val="0"/>
          <w:numId w:val="11"/>
        </w:numPr>
      </w:pPr>
      <w:r w:rsidRPr="007A311F">
        <w:rPr>
          <w:b/>
          <w:bCs/>
        </w:rPr>
        <w:t>Étalement d'impulsion</w:t>
      </w:r>
      <w:r w:rsidRPr="007A311F">
        <w:t xml:space="preserve"> : </w:t>
      </w:r>
    </w:p>
    <w:p w14:paraId="7F194318" w14:textId="77777777" w:rsidR="007A311F" w:rsidRPr="007A311F" w:rsidRDefault="007A311F" w:rsidP="007A311F">
      <w:pPr>
        <w:numPr>
          <w:ilvl w:val="0"/>
          <w:numId w:val="11"/>
        </w:numPr>
      </w:pPr>
      <w:r w:rsidRPr="007A311F">
        <w:rPr>
          <w:rFonts w:ascii="Segoe UI Symbol" w:hAnsi="Segoe UI Symbol" w:cs="Segoe UI Symbol"/>
        </w:rPr>
        <w:t>➤</w:t>
      </w:r>
      <w:r w:rsidRPr="007A311F">
        <w:t xml:space="preserve"> Faible élargissement temporel, signal encore exploitable.</w:t>
      </w:r>
    </w:p>
    <w:p w14:paraId="6D0BAB7A" w14:textId="77777777" w:rsidR="007A311F" w:rsidRPr="004A074A" w:rsidRDefault="007A311F" w:rsidP="007A311F"/>
    <w:p w14:paraId="49B399A4" w14:textId="77777777" w:rsidR="004A074A" w:rsidRPr="004A074A" w:rsidRDefault="00000000" w:rsidP="004A074A">
      <w:r>
        <w:pict w14:anchorId="1D51E049">
          <v:rect id="_x0000_i1028" style="width:0;height:1.5pt" o:hralign="center" o:hrstd="t" o:hr="t" fillcolor="#a0a0a0" stroked="f"/>
        </w:pict>
      </w:r>
    </w:p>
    <w:p w14:paraId="0A1A0C89" w14:textId="77777777" w:rsidR="004A074A" w:rsidRPr="004A074A" w:rsidRDefault="004A074A" w:rsidP="00092812">
      <w:pPr>
        <w:pStyle w:val="Titre1"/>
      </w:pPr>
      <w:r w:rsidRPr="004A074A">
        <w:t>5. Liaison Chambre de Collision - Datacenter</w:t>
      </w:r>
    </w:p>
    <w:p w14:paraId="245FA316" w14:textId="77777777" w:rsidR="004A074A" w:rsidRPr="004A074A" w:rsidRDefault="004A074A" w:rsidP="00092812">
      <w:pPr>
        <w:pStyle w:val="Titre2"/>
      </w:pPr>
      <w:r w:rsidRPr="004A074A">
        <w:t>5.1 Besoins Spécifiques</w:t>
      </w:r>
    </w:p>
    <w:p w14:paraId="04004921" w14:textId="77777777" w:rsidR="004A074A" w:rsidRPr="004A074A" w:rsidRDefault="004A074A" w:rsidP="004A074A">
      <w:pPr>
        <w:numPr>
          <w:ilvl w:val="0"/>
          <w:numId w:val="10"/>
        </w:numPr>
      </w:pPr>
      <w:r w:rsidRPr="004A074A">
        <w:t>Haute disponibilité</w:t>
      </w:r>
    </w:p>
    <w:p w14:paraId="1A022B11" w14:textId="77777777" w:rsidR="004A074A" w:rsidRPr="004A074A" w:rsidRDefault="004A074A" w:rsidP="004A074A">
      <w:pPr>
        <w:numPr>
          <w:ilvl w:val="0"/>
          <w:numId w:val="10"/>
        </w:numPr>
      </w:pPr>
      <w:r w:rsidRPr="004A074A">
        <w:t>Temps de latence minimal</w:t>
      </w:r>
    </w:p>
    <w:p w14:paraId="3C2A8A9B" w14:textId="157D1191" w:rsidR="004A074A" w:rsidRPr="004A074A" w:rsidRDefault="004A074A" w:rsidP="004A074A">
      <w:pPr>
        <w:numPr>
          <w:ilvl w:val="0"/>
          <w:numId w:val="10"/>
        </w:numPr>
      </w:pPr>
      <w:r w:rsidRPr="004A074A">
        <w:t>Résilience aux pannes</w:t>
      </w:r>
    </w:p>
    <w:p w14:paraId="53F28AB9" w14:textId="32202B74" w:rsidR="004A074A" w:rsidRPr="004A074A" w:rsidRDefault="004A074A" w:rsidP="00092812">
      <w:pPr>
        <w:pStyle w:val="Titre2"/>
      </w:pPr>
      <w:r w:rsidRPr="004A074A">
        <w:lastRenderedPageBreak/>
        <w:t>5.2 Infrastructure</w:t>
      </w:r>
    </w:p>
    <w:tbl>
      <w:tblPr>
        <w:tblW w:w="514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1"/>
        <w:gridCol w:w="2244"/>
      </w:tblGrid>
      <w:tr w:rsidR="004A074A" w:rsidRPr="004A074A" w14:paraId="5FA0C06C" w14:textId="77777777" w:rsidTr="004A074A">
        <w:trPr>
          <w:trHeight w:val="522"/>
          <w:tblCellSpacing w:w="15" w:type="dxa"/>
          <w:jc w:val="center"/>
        </w:trPr>
        <w:tc>
          <w:tcPr>
            <w:tcW w:w="0" w:type="auto"/>
            <w:vAlign w:val="center"/>
            <w:hideMark/>
          </w:tcPr>
          <w:p w14:paraId="37DC898C" w14:textId="77777777" w:rsidR="004A074A" w:rsidRPr="004A074A" w:rsidRDefault="004A074A" w:rsidP="004A074A">
            <w:pPr>
              <w:jc w:val="center"/>
              <w:rPr>
                <w:b/>
                <w:bCs/>
              </w:rPr>
            </w:pPr>
            <w:r w:rsidRPr="004A074A">
              <w:rPr>
                <w:b/>
                <w:bCs/>
              </w:rPr>
              <w:t>Équipement</w:t>
            </w:r>
          </w:p>
        </w:tc>
        <w:tc>
          <w:tcPr>
            <w:tcW w:w="0" w:type="auto"/>
            <w:vAlign w:val="center"/>
            <w:hideMark/>
          </w:tcPr>
          <w:p w14:paraId="229595CE" w14:textId="77777777" w:rsidR="004A074A" w:rsidRPr="004A074A" w:rsidRDefault="004A074A" w:rsidP="004A074A">
            <w:pPr>
              <w:jc w:val="center"/>
              <w:rPr>
                <w:b/>
                <w:bCs/>
              </w:rPr>
            </w:pPr>
            <w:r w:rsidRPr="004A074A">
              <w:rPr>
                <w:b/>
                <w:bCs/>
              </w:rPr>
              <w:t>Nombre</w:t>
            </w:r>
          </w:p>
        </w:tc>
      </w:tr>
      <w:tr w:rsidR="004A074A" w:rsidRPr="004A074A" w14:paraId="0C820FA6" w14:textId="77777777" w:rsidTr="004A074A">
        <w:trPr>
          <w:trHeight w:val="534"/>
          <w:tblCellSpacing w:w="15" w:type="dxa"/>
          <w:jc w:val="center"/>
        </w:trPr>
        <w:tc>
          <w:tcPr>
            <w:tcW w:w="0" w:type="auto"/>
            <w:vAlign w:val="center"/>
            <w:hideMark/>
          </w:tcPr>
          <w:p w14:paraId="3502DF1A" w14:textId="77777777" w:rsidR="004A074A" w:rsidRPr="004A074A" w:rsidRDefault="004A074A" w:rsidP="004A074A">
            <w:pPr>
              <w:jc w:val="center"/>
            </w:pPr>
            <w:r w:rsidRPr="004A074A">
              <w:t>Fibre monomode G.652.D</w:t>
            </w:r>
          </w:p>
        </w:tc>
        <w:tc>
          <w:tcPr>
            <w:tcW w:w="0" w:type="auto"/>
            <w:vAlign w:val="center"/>
            <w:hideMark/>
          </w:tcPr>
          <w:p w14:paraId="4A35C98D" w14:textId="77777777" w:rsidR="004A074A" w:rsidRPr="004A074A" w:rsidRDefault="004A074A" w:rsidP="004A074A">
            <w:pPr>
              <w:jc w:val="center"/>
            </w:pPr>
            <w:r w:rsidRPr="004A074A">
              <w:t>10 liens redondants</w:t>
            </w:r>
          </w:p>
        </w:tc>
      </w:tr>
      <w:tr w:rsidR="004A074A" w:rsidRPr="004A074A" w14:paraId="1FF4E62A" w14:textId="77777777" w:rsidTr="004A074A">
        <w:trPr>
          <w:trHeight w:val="522"/>
          <w:tblCellSpacing w:w="15" w:type="dxa"/>
          <w:jc w:val="center"/>
        </w:trPr>
        <w:tc>
          <w:tcPr>
            <w:tcW w:w="0" w:type="auto"/>
            <w:vAlign w:val="center"/>
            <w:hideMark/>
          </w:tcPr>
          <w:p w14:paraId="749F1C95" w14:textId="77777777" w:rsidR="004A074A" w:rsidRPr="004A074A" w:rsidRDefault="004A074A" w:rsidP="004A074A">
            <w:pPr>
              <w:jc w:val="center"/>
            </w:pPr>
            <w:r w:rsidRPr="004A074A">
              <w:t xml:space="preserve">Switches </w:t>
            </w:r>
            <w:proofErr w:type="spellStart"/>
            <w:r w:rsidRPr="004A074A">
              <w:t>Arista</w:t>
            </w:r>
            <w:proofErr w:type="spellEnd"/>
            <w:r w:rsidRPr="004A074A">
              <w:t xml:space="preserve"> 7500R</w:t>
            </w:r>
          </w:p>
        </w:tc>
        <w:tc>
          <w:tcPr>
            <w:tcW w:w="0" w:type="auto"/>
            <w:vAlign w:val="center"/>
            <w:hideMark/>
          </w:tcPr>
          <w:p w14:paraId="171872B2" w14:textId="77777777" w:rsidR="004A074A" w:rsidRPr="004A074A" w:rsidRDefault="004A074A" w:rsidP="004A074A">
            <w:pPr>
              <w:jc w:val="center"/>
            </w:pPr>
            <w:r w:rsidRPr="004A074A">
              <w:t>4</w:t>
            </w:r>
          </w:p>
        </w:tc>
      </w:tr>
      <w:tr w:rsidR="004A074A" w:rsidRPr="004A074A" w14:paraId="510A7A23" w14:textId="77777777" w:rsidTr="004A074A">
        <w:trPr>
          <w:trHeight w:val="522"/>
          <w:tblCellSpacing w:w="15" w:type="dxa"/>
          <w:jc w:val="center"/>
        </w:trPr>
        <w:tc>
          <w:tcPr>
            <w:tcW w:w="0" w:type="auto"/>
            <w:vAlign w:val="center"/>
            <w:hideMark/>
          </w:tcPr>
          <w:p w14:paraId="112EA863" w14:textId="77777777" w:rsidR="004A074A" w:rsidRPr="004A074A" w:rsidRDefault="004A074A" w:rsidP="004A074A">
            <w:pPr>
              <w:jc w:val="center"/>
            </w:pPr>
            <w:r w:rsidRPr="004A074A">
              <w:t>Routeurs ASR 9900</w:t>
            </w:r>
          </w:p>
        </w:tc>
        <w:tc>
          <w:tcPr>
            <w:tcW w:w="0" w:type="auto"/>
            <w:vAlign w:val="center"/>
            <w:hideMark/>
          </w:tcPr>
          <w:p w14:paraId="45FE8A3F" w14:textId="77777777" w:rsidR="004A074A" w:rsidRPr="004A074A" w:rsidRDefault="004A074A" w:rsidP="004A074A">
            <w:pPr>
              <w:jc w:val="center"/>
            </w:pPr>
            <w:r w:rsidRPr="004A074A">
              <w:t>2</w:t>
            </w:r>
          </w:p>
        </w:tc>
      </w:tr>
      <w:tr w:rsidR="004A074A" w:rsidRPr="004A074A" w14:paraId="33FCBF87" w14:textId="77777777" w:rsidTr="004A074A">
        <w:trPr>
          <w:trHeight w:val="534"/>
          <w:tblCellSpacing w:w="15" w:type="dxa"/>
          <w:jc w:val="center"/>
        </w:trPr>
        <w:tc>
          <w:tcPr>
            <w:tcW w:w="0" w:type="auto"/>
            <w:vAlign w:val="center"/>
            <w:hideMark/>
          </w:tcPr>
          <w:p w14:paraId="19FC7618" w14:textId="77777777" w:rsidR="004A074A" w:rsidRPr="004A074A" w:rsidRDefault="004A074A" w:rsidP="004A074A">
            <w:pPr>
              <w:jc w:val="center"/>
            </w:pPr>
            <w:r w:rsidRPr="004A074A">
              <w:t>DWDM Multiplexeurs</w:t>
            </w:r>
          </w:p>
        </w:tc>
        <w:tc>
          <w:tcPr>
            <w:tcW w:w="0" w:type="auto"/>
            <w:vAlign w:val="center"/>
            <w:hideMark/>
          </w:tcPr>
          <w:p w14:paraId="054B4758" w14:textId="77777777" w:rsidR="004A074A" w:rsidRPr="004A074A" w:rsidRDefault="004A074A" w:rsidP="004A074A">
            <w:pPr>
              <w:jc w:val="center"/>
            </w:pPr>
            <w:r w:rsidRPr="004A074A">
              <w:t>4</w:t>
            </w:r>
          </w:p>
        </w:tc>
      </w:tr>
    </w:tbl>
    <w:p w14:paraId="024C7F9B" w14:textId="77777777" w:rsidR="004A074A" w:rsidRPr="004A074A" w:rsidRDefault="00000000" w:rsidP="004A074A">
      <w:r>
        <w:pict w14:anchorId="691620B1">
          <v:rect id="_x0000_i1029" style="width:0;height:1.5pt" o:hralign="center" o:hrstd="t" o:hr="t" fillcolor="#a0a0a0" stroked="f"/>
        </w:pict>
      </w:r>
    </w:p>
    <w:p w14:paraId="0F2C1543" w14:textId="7DF8C7D8" w:rsidR="00476EC6" w:rsidRDefault="00476EC6" w:rsidP="00092812">
      <w:pPr>
        <w:pStyle w:val="Titre1"/>
      </w:pPr>
      <w:r>
        <w:t xml:space="preserve">5 </w:t>
      </w:r>
      <w:r w:rsidRPr="00476EC6">
        <w:t>Estimation du Coût de l’Infrastructure Réseau FCC</w:t>
      </w:r>
    </w:p>
    <w:p w14:paraId="24DC82C2" w14:textId="329AA5D4" w:rsidR="00476EC6" w:rsidRPr="00476EC6" w:rsidRDefault="00476EC6" w:rsidP="00476EC6">
      <w:pPr>
        <w:pStyle w:val="Titre2"/>
      </w:pPr>
      <w:r>
        <w:t>5.</w:t>
      </w:r>
      <w:r w:rsidRPr="00476EC6">
        <w:t>1 Fibre optique G.652.D (93 km + redondance)</w:t>
      </w:r>
    </w:p>
    <w:p w14:paraId="3A9124BE" w14:textId="77777777" w:rsidR="00476EC6" w:rsidRPr="00476EC6" w:rsidRDefault="00476EC6" w:rsidP="00476EC6">
      <w:pPr>
        <w:numPr>
          <w:ilvl w:val="0"/>
          <w:numId w:val="13"/>
        </w:numPr>
      </w:pPr>
      <w:r w:rsidRPr="00476EC6">
        <w:rPr>
          <w:b/>
          <w:bCs/>
        </w:rPr>
        <w:t>Coût moyen</w:t>
      </w:r>
      <w:r w:rsidRPr="00476EC6">
        <w:t xml:space="preserve"> : ~0,80 €/m</w:t>
      </w:r>
    </w:p>
    <w:p w14:paraId="6D3B65D0" w14:textId="77777777" w:rsidR="00476EC6" w:rsidRPr="00476EC6" w:rsidRDefault="00476EC6" w:rsidP="00476EC6">
      <w:pPr>
        <w:numPr>
          <w:ilvl w:val="0"/>
          <w:numId w:val="13"/>
        </w:numPr>
      </w:pPr>
      <w:r w:rsidRPr="00476EC6">
        <w:rPr>
          <w:b/>
          <w:bCs/>
        </w:rPr>
        <w:t>Total</w:t>
      </w:r>
      <w:r w:rsidRPr="00476EC6">
        <w:t xml:space="preserve"> : 93 000 m × 0,80 € × 2 (redondance) = </w:t>
      </w:r>
      <w:r w:rsidRPr="00476EC6">
        <w:rPr>
          <w:b/>
          <w:bCs/>
        </w:rPr>
        <w:t>~149 000 €</w:t>
      </w:r>
    </w:p>
    <w:p w14:paraId="1ABDBFC5" w14:textId="77777777" w:rsidR="00476EC6" w:rsidRPr="00476EC6" w:rsidRDefault="00476EC6" w:rsidP="00476EC6">
      <w:r w:rsidRPr="00476EC6">
        <w:pict w14:anchorId="240AC5E1">
          <v:rect id="_x0000_i1054" style="width:0;height:1.5pt" o:hralign="center" o:hrstd="t" o:hr="t" fillcolor="#a0a0a0" stroked="f"/>
        </w:pict>
      </w:r>
    </w:p>
    <w:p w14:paraId="7C72AEEC" w14:textId="036F8ADA" w:rsidR="00476EC6" w:rsidRPr="00476EC6" w:rsidRDefault="00476EC6" w:rsidP="00476EC6">
      <w:pPr>
        <w:pStyle w:val="Titre2"/>
      </w:pPr>
      <w:r>
        <w:t>5.</w:t>
      </w:r>
      <w:r w:rsidRPr="00476EC6">
        <w:t>2 Équipements réseau</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2"/>
        <w:gridCol w:w="1035"/>
        <w:gridCol w:w="1706"/>
        <w:gridCol w:w="1090"/>
      </w:tblGrid>
      <w:tr w:rsidR="00476EC6" w:rsidRPr="00476EC6" w14:paraId="63CAFC04" w14:textId="77777777" w:rsidTr="00476EC6">
        <w:trPr>
          <w:tblHeader/>
          <w:tblCellSpacing w:w="15" w:type="dxa"/>
          <w:jc w:val="center"/>
        </w:trPr>
        <w:tc>
          <w:tcPr>
            <w:tcW w:w="0" w:type="auto"/>
            <w:vAlign w:val="center"/>
            <w:hideMark/>
          </w:tcPr>
          <w:p w14:paraId="56AD8314" w14:textId="77777777" w:rsidR="00476EC6" w:rsidRPr="00476EC6" w:rsidRDefault="00476EC6" w:rsidP="00476EC6">
            <w:pPr>
              <w:rPr>
                <w:b/>
                <w:bCs/>
              </w:rPr>
            </w:pPr>
            <w:r w:rsidRPr="00476EC6">
              <w:rPr>
                <w:b/>
                <w:bCs/>
              </w:rPr>
              <w:t>Équipement</w:t>
            </w:r>
          </w:p>
        </w:tc>
        <w:tc>
          <w:tcPr>
            <w:tcW w:w="0" w:type="auto"/>
            <w:vAlign w:val="center"/>
            <w:hideMark/>
          </w:tcPr>
          <w:p w14:paraId="598A6D1B" w14:textId="77777777" w:rsidR="00476EC6" w:rsidRPr="00476EC6" w:rsidRDefault="00476EC6" w:rsidP="00476EC6">
            <w:pPr>
              <w:rPr>
                <w:b/>
                <w:bCs/>
              </w:rPr>
            </w:pPr>
            <w:r w:rsidRPr="00476EC6">
              <w:rPr>
                <w:b/>
                <w:bCs/>
              </w:rPr>
              <w:t>Quantité</w:t>
            </w:r>
          </w:p>
        </w:tc>
        <w:tc>
          <w:tcPr>
            <w:tcW w:w="0" w:type="auto"/>
            <w:vAlign w:val="center"/>
            <w:hideMark/>
          </w:tcPr>
          <w:p w14:paraId="2E8892A8" w14:textId="77777777" w:rsidR="00476EC6" w:rsidRPr="00476EC6" w:rsidRDefault="00476EC6" w:rsidP="00476EC6">
            <w:pPr>
              <w:rPr>
                <w:b/>
                <w:bCs/>
              </w:rPr>
            </w:pPr>
            <w:r w:rsidRPr="00476EC6">
              <w:rPr>
                <w:b/>
                <w:bCs/>
              </w:rPr>
              <w:t>Prix unitaire (€)</w:t>
            </w:r>
          </w:p>
        </w:tc>
        <w:tc>
          <w:tcPr>
            <w:tcW w:w="0" w:type="auto"/>
            <w:vAlign w:val="center"/>
            <w:hideMark/>
          </w:tcPr>
          <w:p w14:paraId="486EF572" w14:textId="77777777" w:rsidR="00476EC6" w:rsidRPr="00476EC6" w:rsidRDefault="00476EC6" w:rsidP="00476EC6">
            <w:pPr>
              <w:rPr>
                <w:b/>
                <w:bCs/>
              </w:rPr>
            </w:pPr>
            <w:r w:rsidRPr="00476EC6">
              <w:rPr>
                <w:b/>
                <w:bCs/>
              </w:rPr>
              <w:t>Total (€)</w:t>
            </w:r>
          </w:p>
        </w:tc>
      </w:tr>
      <w:tr w:rsidR="00476EC6" w:rsidRPr="00476EC6" w14:paraId="591DF96C" w14:textId="77777777" w:rsidTr="00476EC6">
        <w:trPr>
          <w:tblCellSpacing w:w="15" w:type="dxa"/>
          <w:jc w:val="center"/>
        </w:trPr>
        <w:tc>
          <w:tcPr>
            <w:tcW w:w="0" w:type="auto"/>
            <w:vAlign w:val="center"/>
            <w:hideMark/>
          </w:tcPr>
          <w:p w14:paraId="7D330AFA" w14:textId="77777777" w:rsidR="00476EC6" w:rsidRPr="00476EC6" w:rsidRDefault="00476EC6" w:rsidP="00476EC6">
            <w:r w:rsidRPr="00476EC6">
              <w:t>Cisco Nexus 9800</w:t>
            </w:r>
          </w:p>
        </w:tc>
        <w:tc>
          <w:tcPr>
            <w:tcW w:w="0" w:type="auto"/>
            <w:vAlign w:val="center"/>
            <w:hideMark/>
          </w:tcPr>
          <w:p w14:paraId="2A391DBF" w14:textId="77777777" w:rsidR="00476EC6" w:rsidRPr="00476EC6" w:rsidRDefault="00476EC6" w:rsidP="00476EC6">
            <w:r w:rsidRPr="00476EC6">
              <w:t>2</w:t>
            </w:r>
          </w:p>
        </w:tc>
        <w:tc>
          <w:tcPr>
            <w:tcW w:w="0" w:type="auto"/>
            <w:vAlign w:val="center"/>
            <w:hideMark/>
          </w:tcPr>
          <w:p w14:paraId="6C36E4DA" w14:textId="77777777" w:rsidR="00476EC6" w:rsidRPr="00476EC6" w:rsidRDefault="00476EC6" w:rsidP="00476EC6">
            <w:r w:rsidRPr="00476EC6">
              <w:t>~150 000 €</w:t>
            </w:r>
          </w:p>
        </w:tc>
        <w:tc>
          <w:tcPr>
            <w:tcW w:w="0" w:type="auto"/>
            <w:vAlign w:val="center"/>
            <w:hideMark/>
          </w:tcPr>
          <w:p w14:paraId="10F66F71" w14:textId="77777777" w:rsidR="00476EC6" w:rsidRPr="00476EC6" w:rsidRDefault="00476EC6" w:rsidP="00476EC6">
            <w:r w:rsidRPr="00476EC6">
              <w:t>300 000 €</w:t>
            </w:r>
          </w:p>
        </w:tc>
      </w:tr>
      <w:tr w:rsidR="00476EC6" w:rsidRPr="00476EC6" w14:paraId="2A356803" w14:textId="77777777" w:rsidTr="00476EC6">
        <w:trPr>
          <w:tblCellSpacing w:w="15" w:type="dxa"/>
          <w:jc w:val="center"/>
        </w:trPr>
        <w:tc>
          <w:tcPr>
            <w:tcW w:w="0" w:type="auto"/>
            <w:vAlign w:val="center"/>
            <w:hideMark/>
          </w:tcPr>
          <w:p w14:paraId="6DF686FD" w14:textId="77777777" w:rsidR="00476EC6" w:rsidRPr="00476EC6" w:rsidRDefault="00476EC6" w:rsidP="00476EC6">
            <w:proofErr w:type="spellStart"/>
            <w:r w:rsidRPr="00476EC6">
              <w:t>Arista</w:t>
            </w:r>
            <w:proofErr w:type="spellEnd"/>
            <w:r w:rsidRPr="00476EC6">
              <w:t xml:space="preserve"> 7800R3</w:t>
            </w:r>
          </w:p>
        </w:tc>
        <w:tc>
          <w:tcPr>
            <w:tcW w:w="0" w:type="auto"/>
            <w:vAlign w:val="center"/>
            <w:hideMark/>
          </w:tcPr>
          <w:p w14:paraId="25A58130" w14:textId="77777777" w:rsidR="00476EC6" w:rsidRPr="00476EC6" w:rsidRDefault="00476EC6" w:rsidP="00476EC6">
            <w:r w:rsidRPr="00476EC6">
              <w:t>4</w:t>
            </w:r>
          </w:p>
        </w:tc>
        <w:tc>
          <w:tcPr>
            <w:tcW w:w="0" w:type="auto"/>
            <w:vAlign w:val="center"/>
            <w:hideMark/>
          </w:tcPr>
          <w:p w14:paraId="5959C9DB" w14:textId="77777777" w:rsidR="00476EC6" w:rsidRPr="00476EC6" w:rsidRDefault="00476EC6" w:rsidP="00476EC6">
            <w:r w:rsidRPr="00476EC6">
              <w:t>~100 000 €</w:t>
            </w:r>
          </w:p>
        </w:tc>
        <w:tc>
          <w:tcPr>
            <w:tcW w:w="0" w:type="auto"/>
            <w:vAlign w:val="center"/>
            <w:hideMark/>
          </w:tcPr>
          <w:p w14:paraId="64A1B1F8" w14:textId="77777777" w:rsidR="00476EC6" w:rsidRPr="00476EC6" w:rsidRDefault="00476EC6" w:rsidP="00476EC6">
            <w:r w:rsidRPr="00476EC6">
              <w:t>400 000 €</w:t>
            </w:r>
          </w:p>
        </w:tc>
      </w:tr>
      <w:tr w:rsidR="00476EC6" w:rsidRPr="00476EC6" w14:paraId="64A1E573" w14:textId="77777777" w:rsidTr="00476EC6">
        <w:trPr>
          <w:tblCellSpacing w:w="15" w:type="dxa"/>
          <w:jc w:val="center"/>
        </w:trPr>
        <w:tc>
          <w:tcPr>
            <w:tcW w:w="0" w:type="auto"/>
            <w:vAlign w:val="center"/>
            <w:hideMark/>
          </w:tcPr>
          <w:p w14:paraId="5DE40AAA" w14:textId="77777777" w:rsidR="00476EC6" w:rsidRPr="00476EC6" w:rsidRDefault="00476EC6" w:rsidP="00476EC6">
            <w:proofErr w:type="spellStart"/>
            <w:r w:rsidRPr="00476EC6">
              <w:t>Arista</w:t>
            </w:r>
            <w:proofErr w:type="spellEnd"/>
            <w:r w:rsidRPr="00476EC6">
              <w:t xml:space="preserve"> 7500R</w:t>
            </w:r>
          </w:p>
        </w:tc>
        <w:tc>
          <w:tcPr>
            <w:tcW w:w="0" w:type="auto"/>
            <w:vAlign w:val="center"/>
            <w:hideMark/>
          </w:tcPr>
          <w:p w14:paraId="1079F1DB" w14:textId="77777777" w:rsidR="00476EC6" w:rsidRPr="00476EC6" w:rsidRDefault="00476EC6" w:rsidP="00476EC6">
            <w:r w:rsidRPr="00476EC6">
              <w:t>8</w:t>
            </w:r>
          </w:p>
        </w:tc>
        <w:tc>
          <w:tcPr>
            <w:tcW w:w="0" w:type="auto"/>
            <w:vAlign w:val="center"/>
            <w:hideMark/>
          </w:tcPr>
          <w:p w14:paraId="314006B9" w14:textId="77777777" w:rsidR="00476EC6" w:rsidRPr="00476EC6" w:rsidRDefault="00476EC6" w:rsidP="00476EC6">
            <w:r w:rsidRPr="00476EC6">
              <w:t>~80 000 €</w:t>
            </w:r>
          </w:p>
        </w:tc>
        <w:tc>
          <w:tcPr>
            <w:tcW w:w="0" w:type="auto"/>
            <w:vAlign w:val="center"/>
            <w:hideMark/>
          </w:tcPr>
          <w:p w14:paraId="004EA879" w14:textId="77777777" w:rsidR="00476EC6" w:rsidRPr="00476EC6" w:rsidRDefault="00476EC6" w:rsidP="00476EC6">
            <w:r w:rsidRPr="00476EC6">
              <w:t>640 000 €</w:t>
            </w:r>
          </w:p>
        </w:tc>
      </w:tr>
      <w:tr w:rsidR="00476EC6" w:rsidRPr="00476EC6" w14:paraId="523F96B0" w14:textId="77777777" w:rsidTr="00476EC6">
        <w:trPr>
          <w:tblCellSpacing w:w="15" w:type="dxa"/>
          <w:jc w:val="center"/>
        </w:trPr>
        <w:tc>
          <w:tcPr>
            <w:tcW w:w="0" w:type="auto"/>
            <w:vAlign w:val="center"/>
            <w:hideMark/>
          </w:tcPr>
          <w:p w14:paraId="31EC4F29" w14:textId="77777777" w:rsidR="00476EC6" w:rsidRPr="00476EC6" w:rsidRDefault="00476EC6" w:rsidP="00476EC6">
            <w:r w:rsidRPr="00476EC6">
              <w:t>Cisco ASR 9900</w:t>
            </w:r>
          </w:p>
        </w:tc>
        <w:tc>
          <w:tcPr>
            <w:tcW w:w="0" w:type="auto"/>
            <w:vAlign w:val="center"/>
            <w:hideMark/>
          </w:tcPr>
          <w:p w14:paraId="51A5ACB6" w14:textId="77777777" w:rsidR="00476EC6" w:rsidRPr="00476EC6" w:rsidRDefault="00476EC6" w:rsidP="00476EC6">
            <w:r w:rsidRPr="00476EC6">
              <w:t>2</w:t>
            </w:r>
          </w:p>
        </w:tc>
        <w:tc>
          <w:tcPr>
            <w:tcW w:w="0" w:type="auto"/>
            <w:vAlign w:val="center"/>
            <w:hideMark/>
          </w:tcPr>
          <w:p w14:paraId="5BDFB3A2" w14:textId="77777777" w:rsidR="00476EC6" w:rsidRPr="00476EC6" w:rsidRDefault="00476EC6" w:rsidP="00476EC6">
            <w:r w:rsidRPr="00476EC6">
              <w:t>~120 000 €</w:t>
            </w:r>
          </w:p>
        </w:tc>
        <w:tc>
          <w:tcPr>
            <w:tcW w:w="0" w:type="auto"/>
            <w:vAlign w:val="center"/>
            <w:hideMark/>
          </w:tcPr>
          <w:p w14:paraId="2FFB2ECF" w14:textId="77777777" w:rsidR="00476EC6" w:rsidRPr="00476EC6" w:rsidRDefault="00476EC6" w:rsidP="00476EC6">
            <w:r w:rsidRPr="00476EC6">
              <w:t>240 000 €</w:t>
            </w:r>
          </w:p>
        </w:tc>
      </w:tr>
      <w:tr w:rsidR="00476EC6" w:rsidRPr="00476EC6" w14:paraId="31887119" w14:textId="77777777" w:rsidTr="00476EC6">
        <w:trPr>
          <w:tblCellSpacing w:w="15" w:type="dxa"/>
          <w:jc w:val="center"/>
        </w:trPr>
        <w:tc>
          <w:tcPr>
            <w:tcW w:w="0" w:type="auto"/>
            <w:vAlign w:val="center"/>
            <w:hideMark/>
          </w:tcPr>
          <w:p w14:paraId="6C84AF75" w14:textId="77777777" w:rsidR="00476EC6" w:rsidRPr="00476EC6" w:rsidRDefault="00476EC6" w:rsidP="00476EC6">
            <w:r w:rsidRPr="00476EC6">
              <w:t xml:space="preserve">DWDM </w:t>
            </w:r>
            <w:proofErr w:type="spellStart"/>
            <w:r w:rsidRPr="00476EC6">
              <w:t>Mux</w:t>
            </w:r>
            <w:proofErr w:type="spellEnd"/>
            <w:r w:rsidRPr="00476EC6">
              <w:t>/</w:t>
            </w:r>
            <w:proofErr w:type="spellStart"/>
            <w:r w:rsidRPr="00476EC6">
              <w:t>Demux</w:t>
            </w:r>
            <w:proofErr w:type="spellEnd"/>
            <w:r w:rsidRPr="00476EC6">
              <w:t xml:space="preserve"> (32 canaux)</w:t>
            </w:r>
          </w:p>
        </w:tc>
        <w:tc>
          <w:tcPr>
            <w:tcW w:w="0" w:type="auto"/>
            <w:vAlign w:val="center"/>
            <w:hideMark/>
          </w:tcPr>
          <w:p w14:paraId="394C0D52" w14:textId="77777777" w:rsidR="00476EC6" w:rsidRPr="00476EC6" w:rsidRDefault="00476EC6" w:rsidP="00476EC6">
            <w:r w:rsidRPr="00476EC6">
              <w:t>4</w:t>
            </w:r>
          </w:p>
        </w:tc>
        <w:tc>
          <w:tcPr>
            <w:tcW w:w="0" w:type="auto"/>
            <w:vAlign w:val="center"/>
            <w:hideMark/>
          </w:tcPr>
          <w:p w14:paraId="35A7D955" w14:textId="77777777" w:rsidR="00476EC6" w:rsidRPr="00476EC6" w:rsidRDefault="00476EC6" w:rsidP="00476EC6">
            <w:r w:rsidRPr="00476EC6">
              <w:t>~25 000 €</w:t>
            </w:r>
          </w:p>
        </w:tc>
        <w:tc>
          <w:tcPr>
            <w:tcW w:w="0" w:type="auto"/>
            <w:vAlign w:val="center"/>
            <w:hideMark/>
          </w:tcPr>
          <w:p w14:paraId="034963DB" w14:textId="77777777" w:rsidR="00476EC6" w:rsidRPr="00476EC6" w:rsidRDefault="00476EC6" w:rsidP="00476EC6">
            <w:r w:rsidRPr="00476EC6">
              <w:t>100 000 €</w:t>
            </w:r>
          </w:p>
        </w:tc>
      </w:tr>
      <w:tr w:rsidR="00476EC6" w:rsidRPr="00476EC6" w14:paraId="351D6B3F" w14:textId="77777777" w:rsidTr="00476EC6">
        <w:trPr>
          <w:tblCellSpacing w:w="15" w:type="dxa"/>
          <w:jc w:val="center"/>
        </w:trPr>
        <w:tc>
          <w:tcPr>
            <w:tcW w:w="0" w:type="auto"/>
            <w:vAlign w:val="center"/>
            <w:hideMark/>
          </w:tcPr>
          <w:p w14:paraId="5A6789D3" w14:textId="77777777" w:rsidR="00476EC6" w:rsidRPr="00476EC6" w:rsidRDefault="00476EC6" w:rsidP="00476EC6">
            <w:r w:rsidRPr="00476EC6">
              <w:t>EDFA (booster/préampli)</w:t>
            </w:r>
          </w:p>
        </w:tc>
        <w:tc>
          <w:tcPr>
            <w:tcW w:w="0" w:type="auto"/>
            <w:vAlign w:val="center"/>
            <w:hideMark/>
          </w:tcPr>
          <w:p w14:paraId="511F47E8" w14:textId="77777777" w:rsidR="00476EC6" w:rsidRPr="00476EC6" w:rsidRDefault="00476EC6" w:rsidP="00476EC6">
            <w:r w:rsidRPr="00476EC6">
              <w:t>8</w:t>
            </w:r>
          </w:p>
        </w:tc>
        <w:tc>
          <w:tcPr>
            <w:tcW w:w="0" w:type="auto"/>
            <w:vAlign w:val="center"/>
            <w:hideMark/>
          </w:tcPr>
          <w:p w14:paraId="38166A78" w14:textId="77777777" w:rsidR="00476EC6" w:rsidRPr="00476EC6" w:rsidRDefault="00476EC6" w:rsidP="00476EC6">
            <w:r w:rsidRPr="00476EC6">
              <w:t>~10 000 €</w:t>
            </w:r>
          </w:p>
        </w:tc>
        <w:tc>
          <w:tcPr>
            <w:tcW w:w="0" w:type="auto"/>
            <w:vAlign w:val="center"/>
            <w:hideMark/>
          </w:tcPr>
          <w:p w14:paraId="4EFF599B" w14:textId="77777777" w:rsidR="00476EC6" w:rsidRPr="00476EC6" w:rsidRDefault="00476EC6" w:rsidP="00476EC6">
            <w:r w:rsidRPr="00476EC6">
              <w:t>80 000 €</w:t>
            </w:r>
          </w:p>
        </w:tc>
      </w:tr>
      <w:tr w:rsidR="00476EC6" w:rsidRPr="00476EC6" w14:paraId="2BD19211" w14:textId="77777777" w:rsidTr="00476EC6">
        <w:trPr>
          <w:tblCellSpacing w:w="15" w:type="dxa"/>
          <w:jc w:val="center"/>
        </w:trPr>
        <w:tc>
          <w:tcPr>
            <w:tcW w:w="0" w:type="auto"/>
            <w:vAlign w:val="center"/>
            <w:hideMark/>
          </w:tcPr>
          <w:p w14:paraId="44A824DB" w14:textId="77777777" w:rsidR="00476EC6" w:rsidRPr="00476EC6" w:rsidRDefault="00476EC6" w:rsidP="00476EC6">
            <w:r w:rsidRPr="00476EC6">
              <w:t>Régénérateurs optiques</w:t>
            </w:r>
          </w:p>
        </w:tc>
        <w:tc>
          <w:tcPr>
            <w:tcW w:w="0" w:type="auto"/>
            <w:vAlign w:val="center"/>
            <w:hideMark/>
          </w:tcPr>
          <w:p w14:paraId="019ABEA7" w14:textId="77777777" w:rsidR="00476EC6" w:rsidRPr="00476EC6" w:rsidRDefault="00476EC6" w:rsidP="00476EC6">
            <w:r w:rsidRPr="00476EC6">
              <w:t>2</w:t>
            </w:r>
          </w:p>
        </w:tc>
        <w:tc>
          <w:tcPr>
            <w:tcW w:w="0" w:type="auto"/>
            <w:vAlign w:val="center"/>
            <w:hideMark/>
          </w:tcPr>
          <w:p w14:paraId="2890BF06" w14:textId="77777777" w:rsidR="00476EC6" w:rsidRPr="00476EC6" w:rsidRDefault="00476EC6" w:rsidP="00476EC6">
            <w:r w:rsidRPr="00476EC6">
              <w:t>~15 000 €</w:t>
            </w:r>
          </w:p>
        </w:tc>
        <w:tc>
          <w:tcPr>
            <w:tcW w:w="0" w:type="auto"/>
            <w:vAlign w:val="center"/>
            <w:hideMark/>
          </w:tcPr>
          <w:p w14:paraId="53FCFF0E" w14:textId="77777777" w:rsidR="00476EC6" w:rsidRPr="00476EC6" w:rsidRDefault="00476EC6" w:rsidP="00476EC6">
            <w:r w:rsidRPr="00476EC6">
              <w:t>30 000 €</w:t>
            </w:r>
          </w:p>
        </w:tc>
      </w:tr>
    </w:tbl>
    <w:p w14:paraId="21DD6D65" w14:textId="2D5B1529" w:rsidR="00476EC6" w:rsidRPr="00476EC6" w:rsidRDefault="00476EC6" w:rsidP="00476EC6">
      <w:pPr>
        <w:jc w:val="center"/>
      </w:pPr>
      <w:r w:rsidRPr="00476EC6">
        <w:rPr>
          <w:b/>
          <w:bCs/>
        </w:rPr>
        <w:t>Total équipements : ~1 790 000 €</w:t>
      </w:r>
    </w:p>
    <w:p w14:paraId="46BA7FA7" w14:textId="77777777" w:rsidR="00476EC6" w:rsidRPr="00476EC6" w:rsidRDefault="00476EC6" w:rsidP="00476EC6">
      <w:r w:rsidRPr="00476EC6">
        <w:pict w14:anchorId="4C560EB9">
          <v:rect id="_x0000_i1055" style="width:0;height:1.5pt" o:hralign="center" o:hrstd="t" o:hr="t" fillcolor="#a0a0a0" stroked="f"/>
        </w:pict>
      </w:r>
    </w:p>
    <w:p w14:paraId="7BBFF9D7" w14:textId="754A7E77" w:rsidR="00476EC6" w:rsidRPr="00476EC6" w:rsidRDefault="00476EC6" w:rsidP="00476EC6">
      <w:pPr>
        <w:pStyle w:val="Titre2"/>
      </w:pPr>
      <w:r>
        <w:lastRenderedPageBreak/>
        <w:t>5.</w:t>
      </w:r>
      <w:r w:rsidRPr="00476EC6">
        <w:t>3 Modules optiques (transceivers)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4"/>
        <w:gridCol w:w="1035"/>
        <w:gridCol w:w="1706"/>
        <w:gridCol w:w="1090"/>
      </w:tblGrid>
      <w:tr w:rsidR="00476EC6" w:rsidRPr="00476EC6" w14:paraId="5CD345A0" w14:textId="77777777" w:rsidTr="00476EC6">
        <w:trPr>
          <w:tblHeader/>
          <w:tblCellSpacing w:w="15" w:type="dxa"/>
          <w:jc w:val="center"/>
        </w:trPr>
        <w:tc>
          <w:tcPr>
            <w:tcW w:w="0" w:type="auto"/>
            <w:vAlign w:val="center"/>
            <w:hideMark/>
          </w:tcPr>
          <w:p w14:paraId="0EE09496" w14:textId="77777777" w:rsidR="00476EC6" w:rsidRPr="00476EC6" w:rsidRDefault="00476EC6" w:rsidP="00476EC6">
            <w:pPr>
              <w:rPr>
                <w:b/>
                <w:bCs/>
              </w:rPr>
            </w:pPr>
            <w:r w:rsidRPr="00476EC6">
              <w:rPr>
                <w:b/>
                <w:bCs/>
              </w:rPr>
              <w:t>Type</w:t>
            </w:r>
          </w:p>
        </w:tc>
        <w:tc>
          <w:tcPr>
            <w:tcW w:w="0" w:type="auto"/>
            <w:vAlign w:val="center"/>
            <w:hideMark/>
          </w:tcPr>
          <w:p w14:paraId="58B0EC1F" w14:textId="77777777" w:rsidR="00476EC6" w:rsidRPr="00476EC6" w:rsidRDefault="00476EC6" w:rsidP="00476EC6">
            <w:pPr>
              <w:rPr>
                <w:b/>
                <w:bCs/>
              </w:rPr>
            </w:pPr>
            <w:r w:rsidRPr="00476EC6">
              <w:rPr>
                <w:b/>
                <w:bCs/>
              </w:rPr>
              <w:t>Quantité</w:t>
            </w:r>
          </w:p>
        </w:tc>
        <w:tc>
          <w:tcPr>
            <w:tcW w:w="0" w:type="auto"/>
            <w:vAlign w:val="center"/>
            <w:hideMark/>
          </w:tcPr>
          <w:p w14:paraId="165F52DB" w14:textId="77777777" w:rsidR="00476EC6" w:rsidRPr="00476EC6" w:rsidRDefault="00476EC6" w:rsidP="00476EC6">
            <w:pPr>
              <w:rPr>
                <w:b/>
                <w:bCs/>
              </w:rPr>
            </w:pPr>
            <w:r w:rsidRPr="00476EC6">
              <w:rPr>
                <w:b/>
                <w:bCs/>
              </w:rPr>
              <w:t>Prix unitaire (€)</w:t>
            </w:r>
          </w:p>
        </w:tc>
        <w:tc>
          <w:tcPr>
            <w:tcW w:w="0" w:type="auto"/>
            <w:vAlign w:val="center"/>
            <w:hideMark/>
          </w:tcPr>
          <w:p w14:paraId="61FA5D1E" w14:textId="77777777" w:rsidR="00476EC6" w:rsidRPr="00476EC6" w:rsidRDefault="00476EC6" w:rsidP="00476EC6">
            <w:pPr>
              <w:rPr>
                <w:b/>
                <w:bCs/>
              </w:rPr>
            </w:pPr>
            <w:r w:rsidRPr="00476EC6">
              <w:rPr>
                <w:b/>
                <w:bCs/>
              </w:rPr>
              <w:t>Total (€)</w:t>
            </w:r>
          </w:p>
        </w:tc>
      </w:tr>
      <w:tr w:rsidR="00476EC6" w:rsidRPr="00476EC6" w14:paraId="3C662D50" w14:textId="77777777" w:rsidTr="00476EC6">
        <w:trPr>
          <w:tblCellSpacing w:w="15" w:type="dxa"/>
          <w:jc w:val="center"/>
        </w:trPr>
        <w:tc>
          <w:tcPr>
            <w:tcW w:w="0" w:type="auto"/>
            <w:vAlign w:val="center"/>
            <w:hideMark/>
          </w:tcPr>
          <w:p w14:paraId="30230363" w14:textId="77777777" w:rsidR="00476EC6" w:rsidRPr="00476EC6" w:rsidRDefault="00476EC6" w:rsidP="00476EC6">
            <w:r w:rsidRPr="00476EC6">
              <w:t>QSFP-100G DWDM</w:t>
            </w:r>
          </w:p>
        </w:tc>
        <w:tc>
          <w:tcPr>
            <w:tcW w:w="0" w:type="auto"/>
            <w:vAlign w:val="center"/>
            <w:hideMark/>
          </w:tcPr>
          <w:p w14:paraId="4A45B4E5" w14:textId="77777777" w:rsidR="00476EC6" w:rsidRPr="00476EC6" w:rsidRDefault="00476EC6" w:rsidP="00476EC6">
            <w:r w:rsidRPr="00476EC6">
              <w:t>~64</w:t>
            </w:r>
          </w:p>
        </w:tc>
        <w:tc>
          <w:tcPr>
            <w:tcW w:w="0" w:type="auto"/>
            <w:vAlign w:val="center"/>
            <w:hideMark/>
          </w:tcPr>
          <w:p w14:paraId="6F399D6A" w14:textId="77777777" w:rsidR="00476EC6" w:rsidRPr="00476EC6" w:rsidRDefault="00476EC6" w:rsidP="00476EC6">
            <w:r w:rsidRPr="00476EC6">
              <w:t>~2 500 €</w:t>
            </w:r>
          </w:p>
        </w:tc>
        <w:tc>
          <w:tcPr>
            <w:tcW w:w="0" w:type="auto"/>
            <w:vAlign w:val="center"/>
            <w:hideMark/>
          </w:tcPr>
          <w:p w14:paraId="1058DEC0" w14:textId="77777777" w:rsidR="00476EC6" w:rsidRPr="00476EC6" w:rsidRDefault="00476EC6" w:rsidP="00476EC6">
            <w:r w:rsidRPr="00476EC6">
              <w:t>160 000 €</w:t>
            </w:r>
          </w:p>
        </w:tc>
      </w:tr>
    </w:tbl>
    <w:p w14:paraId="36E52D6E" w14:textId="77777777" w:rsidR="00476EC6" w:rsidRPr="00476EC6" w:rsidRDefault="00476EC6" w:rsidP="00476EC6">
      <w:r w:rsidRPr="00476EC6">
        <w:pict w14:anchorId="1C7F9BB6">
          <v:rect id="_x0000_i1056" style="width:0;height:1.5pt" o:hralign="center" o:hrstd="t" o:hr="t" fillcolor="#a0a0a0" stroked="f"/>
        </w:pict>
      </w:r>
    </w:p>
    <w:p w14:paraId="110CA6DC" w14:textId="1AD2F594" w:rsidR="00476EC6" w:rsidRPr="00476EC6" w:rsidRDefault="00476EC6" w:rsidP="00476EC6">
      <w:pPr>
        <w:pStyle w:val="Titre2"/>
      </w:pPr>
      <w:r>
        <w:t>5.</w:t>
      </w:r>
      <w:r w:rsidRPr="00476EC6">
        <w:t>4 Infrastructure Datacenter (estimation liée réseau)</w:t>
      </w:r>
    </w:p>
    <w:p w14:paraId="2D6A0DDB" w14:textId="77777777" w:rsidR="00476EC6" w:rsidRPr="00476EC6" w:rsidRDefault="00476EC6" w:rsidP="00476EC6">
      <w:pPr>
        <w:numPr>
          <w:ilvl w:val="0"/>
          <w:numId w:val="14"/>
        </w:numPr>
      </w:pPr>
      <w:r w:rsidRPr="00476EC6">
        <w:t xml:space="preserve">Câblage interne, baies, UPS, etc. = </w:t>
      </w:r>
      <w:r w:rsidRPr="00476EC6">
        <w:rPr>
          <w:b/>
          <w:bCs/>
        </w:rPr>
        <w:t>~100 000 €</w:t>
      </w:r>
    </w:p>
    <w:p w14:paraId="58A24C6B" w14:textId="77777777" w:rsidR="00476EC6" w:rsidRPr="00476EC6" w:rsidRDefault="00476EC6" w:rsidP="00476EC6">
      <w:r w:rsidRPr="00476EC6">
        <w:pict w14:anchorId="66855A0D">
          <v:rect id="_x0000_i1057" style="width:0;height:1.5pt" o:hralign="center" o:hrstd="t" o:hr="t" fillcolor="#a0a0a0" stroked="f"/>
        </w:pict>
      </w:r>
    </w:p>
    <w:p w14:paraId="655A981C" w14:textId="76034A28" w:rsidR="00476EC6" w:rsidRPr="00476EC6" w:rsidRDefault="00476EC6" w:rsidP="00476EC6">
      <w:pPr>
        <w:pStyle w:val="Titre2"/>
      </w:pPr>
      <w:r w:rsidRPr="00476EC6">
        <w:t>TOTAL GLOBAL ESTIMÉ : ~2 200 000 € à 2 300 000 €</w:t>
      </w:r>
    </w:p>
    <w:p w14:paraId="722FEE61" w14:textId="77777777" w:rsidR="00476EC6" w:rsidRDefault="00476EC6" w:rsidP="00092812">
      <w:pPr>
        <w:pStyle w:val="Titre1"/>
      </w:pPr>
    </w:p>
    <w:p w14:paraId="4BC7FD74" w14:textId="29385C0C" w:rsidR="004A074A" w:rsidRPr="004A074A" w:rsidRDefault="004A074A" w:rsidP="00092812">
      <w:pPr>
        <w:pStyle w:val="Titre1"/>
      </w:pPr>
      <w:r w:rsidRPr="004A074A">
        <w:t>6. Conclusion</w:t>
      </w:r>
    </w:p>
    <w:p w14:paraId="162260D7" w14:textId="30EB3557" w:rsidR="00726A02" w:rsidRPr="00726A02" w:rsidRDefault="004A074A" w:rsidP="00726A02">
      <w:pPr>
        <w:jc w:val="both"/>
      </w:pPr>
      <w:r w:rsidRPr="004A074A">
        <w:t>L’architecture proposée permet de supporter efficacement les besoins internes (3-5 Tb/s) et externes (100 Gb/s - 1 Tb/s). Grâce à une combinaison de fibres monomodes, de DWDM et d’amplificateurs EDFA, l’infrastructure assure une transmission fiable avec une marge suffisante. Des équipements réseau de haute performance garantissent une évolutivité adaptée aux futures augmentations de débit.</w:t>
      </w:r>
      <w:r w:rsidR="00726A02">
        <w:t xml:space="preserve"> La dispersion chromatique et compenser par la </w:t>
      </w:r>
      <w:r w:rsidR="00726A02" w:rsidRPr="004A074A">
        <w:rPr>
          <w:b/>
          <w:bCs/>
        </w:rPr>
        <w:t>G.652.D</w:t>
      </w:r>
      <w:r w:rsidR="00726A02">
        <w:rPr>
          <w:b/>
          <w:bCs/>
        </w:rPr>
        <w:t xml:space="preserve"> </w:t>
      </w:r>
      <w:r w:rsidR="00726A02" w:rsidRPr="00726A02">
        <w:t>car</w:t>
      </w:r>
      <w:r w:rsidR="00726A02">
        <w:t xml:space="preserve"> c’est une fibre à faible dispersion. Aussi, le choix de cette fibre exclu le phénomène de dispersion modale </w:t>
      </w:r>
      <w:r w:rsidR="00726A02" w:rsidRPr="00726A02">
        <w:t>(présente uniquement en multimode)</w:t>
      </w:r>
      <w:r w:rsidR="00726A02">
        <w:t xml:space="preserve"> et le choix du monomode nous permet aussi u</w:t>
      </w:r>
      <w:r w:rsidR="00726A02" w:rsidRPr="00726A02">
        <w:t>n seul mode de propagation</w:t>
      </w:r>
      <w:r w:rsidR="00726A02">
        <w:t>, p</w:t>
      </w:r>
      <w:r w:rsidR="00726A02" w:rsidRPr="00726A02">
        <w:t>as d’interférence entre chemins optiques</w:t>
      </w:r>
      <w:r w:rsidR="00726A02">
        <w:t xml:space="preserve"> et une l</w:t>
      </w:r>
      <w:r w:rsidR="00726A02" w:rsidRPr="00726A02">
        <w:t>arge bande passante</w:t>
      </w:r>
      <w:r w:rsidR="00726A02">
        <w:t>.</w:t>
      </w:r>
    </w:p>
    <w:p w14:paraId="7520F754" w14:textId="77777777" w:rsidR="00726A02" w:rsidRPr="00726A02" w:rsidRDefault="00726A02" w:rsidP="004A074A"/>
    <w:p w14:paraId="3D3A81BE" w14:textId="77777777" w:rsidR="004A074A" w:rsidRDefault="004A074A"/>
    <w:sectPr w:rsidR="004A0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1EF8"/>
    <w:multiLevelType w:val="multilevel"/>
    <w:tmpl w:val="723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37ECE"/>
    <w:multiLevelType w:val="multilevel"/>
    <w:tmpl w:val="DB7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1151"/>
    <w:multiLevelType w:val="multilevel"/>
    <w:tmpl w:val="E94E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41137"/>
    <w:multiLevelType w:val="multilevel"/>
    <w:tmpl w:val="200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A6D8A"/>
    <w:multiLevelType w:val="multilevel"/>
    <w:tmpl w:val="351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22437"/>
    <w:multiLevelType w:val="multilevel"/>
    <w:tmpl w:val="04B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B2F7C"/>
    <w:multiLevelType w:val="multilevel"/>
    <w:tmpl w:val="ABB8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90457"/>
    <w:multiLevelType w:val="multilevel"/>
    <w:tmpl w:val="7D3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06ECE"/>
    <w:multiLevelType w:val="multilevel"/>
    <w:tmpl w:val="5E7E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B5D7F"/>
    <w:multiLevelType w:val="multilevel"/>
    <w:tmpl w:val="507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45E26"/>
    <w:multiLevelType w:val="multilevel"/>
    <w:tmpl w:val="6748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33A50"/>
    <w:multiLevelType w:val="multilevel"/>
    <w:tmpl w:val="99B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5037C"/>
    <w:multiLevelType w:val="multilevel"/>
    <w:tmpl w:val="D34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C31FC"/>
    <w:multiLevelType w:val="multilevel"/>
    <w:tmpl w:val="BBB8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167110">
    <w:abstractNumId w:val="8"/>
  </w:num>
  <w:num w:numId="2" w16cid:durableId="1211576877">
    <w:abstractNumId w:val="2"/>
  </w:num>
  <w:num w:numId="3" w16cid:durableId="958609216">
    <w:abstractNumId w:val="10"/>
  </w:num>
  <w:num w:numId="4" w16cid:durableId="1877740443">
    <w:abstractNumId w:val="11"/>
  </w:num>
  <w:num w:numId="5" w16cid:durableId="870265568">
    <w:abstractNumId w:val="9"/>
  </w:num>
  <w:num w:numId="6" w16cid:durableId="1845439098">
    <w:abstractNumId w:val="13"/>
  </w:num>
  <w:num w:numId="7" w16cid:durableId="1485126333">
    <w:abstractNumId w:val="6"/>
  </w:num>
  <w:num w:numId="8" w16cid:durableId="883174028">
    <w:abstractNumId w:val="5"/>
  </w:num>
  <w:num w:numId="9" w16cid:durableId="1384214542">
    <w:abstractNumId w:val="12"/>
  </w:num>
  <w:num w:numId="10" w16cid:durableId="1638729510">
    <w:abstractNumId w:val="1"/>
  </w:num>
  <w:num w:numId="11" w16cid:durableId="2079132687">
    <w:abstractNumId w:val="7"/>
  </w:num>
  <w:num w:numId="12" w16cid:durableId="597446370">
    <w:abstractNumId w:val="4"/>
  </w:num>
  <w:num w:numId="13" w16cid:durableId="1866090992">
    <w:abstractNumId w:val="0"/>
  </w:num>
  <w:num w:numId="14" w16cid:durableId="1551528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4A"/>
    <w:rsid w:val="00092812"/>
    <w:rsid w:val="00224524"/>
    <w:rsid w:val="00476EC6"/>
    <w:rsid w:val="004A074A"/>
    <w:rsid w:val="00726A02"/>
    <w:rsid w:val="007A311F"/>
    <w:rsid w:val="008F3F36"/>
    <w:rsid w:val="00E4536A"/>
    <w:rsid w:val="00E46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C373"/>
  <w15:chartTrackingRefBased/>
  <w15:docId w15:val="{A68C0170-70E2-4676-90F6-4E979084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0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A0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074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074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074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07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07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07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07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7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A07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07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07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07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07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07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07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074A"/>
    <w:rPr>
      <w:rFonts w:eastAsiaTheme="majorEastAsia" w:cstheme="majorBidi"/>
      <w:color w:val="272727" w:themeColor="text1" w:themeTint="D8"/>
    </w:rPr>
  </w:style>
  <w:style w:type="paragraph" w:styleId="Titre">
    <w:name w:val="Title"/>
    <w:basedOn w:val="Normal"/>
    <w:next w:val="Normal"/>
    <w:link w:val="TitreCar"/>
    <w:uiPriority w:val="10"/>
    <w:qFormat/>
    <w:rsid w:val="004A0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07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07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07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074A"/>
    <w:pPr>
      <w:spacing w:before="160"/>
      <w:jc w:val="center"/>
    </w:pPr>
    <w:rPr>
      <w:i/>
      <w:iCs/>
      <w:color w:val="404040" w:themeColor="text1" w:themeTint="BF"/>
    </w:rPr>
  </w:style>
  <w:style w:type="character" w:customStyle="1" w:styleId="CitationCar">
    <w:name w:val="Citation Car"/>
    <w:basedOn w:val="Policepardfaut"/>
    <w:link w:val="Citation"/>
    <w:uiPriority w:val="29"/>
    <w:rsid w:val="004A074A"/>
    <w:rPr>
      <w:i/>
      <w:iCs/>
      <w:color w:val="404040" w:themeColor="text1" w:themeTint="BF"/>
    </w:rPr>
  </w:style>
  <w:style w:type="paragraph" w:styleId="Paragraphedeliste">
    <w:name w:val="List Paragraph"/>
    <w:basedOn w:val="Normal"/>
    <w:uiPriority w:val="34"/>
    <w:qFormat/>
    <w:rsid w:val="004A074A"/>
    <w:pPr>
      <w:ind w:left="720"/>
      <w:contextualSpacing/>
    </w:pPr>
  </w:style>
  <w:style w:type="character" w:styleId="Accentuationintense">
    <w:name w:val="Intense Emphasis"/>
    <w:basedOn w:val="Policepardfaut"/>
    <w:uiPriority w:val="21"/>
    <w:qFormat/>
    <w:rsid w:val="004A074A"/>
    <w:rPr>
      <w:i/>
      <w:iCs/>
      <w:color w:val="0F4761" w:themeColor="accent1" w:themeShade="BF"/>
    </w:rPr>
  </w:style>
  <w:style w:type="paragraph" w:styleId="Citationintense">
    <w:name w:val="Intense Quote"/>
    <w:basedOn w:val="Normal"/>
    <w:next w:val="Normal"/>
    <w:link w:val="CitationintenseCar"/>
    <w:uiPriority w:val="30"/>
    <w:qFormat/>
    <w:rsid w:val="004A0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074A"/>
    <w:rPr>
      <w:i/>
      <w:iCs/>
      <w:color w:val="0F4761" w:themeColor="accent1" w:themeShade="BF"/>
    </w:rPr>
  </w:style>
  <w:style w:type="character" w:styleId="Rfrenceintense">
    <w:name w:val="Intense Reference"/>
    <w:basedOn w:val="Policepardfaut"/>
    <w:uiPriority w:val="32"/>
    <w:qFormat/>
    <w:rsid w:val="004A074A"/>
    <w:rPr>
      <w:b/>
      <w:bCs/>
      <w:smallCaps/>
      <w:color w:val="0F4761" w:themeColor="accent1" w:themeShade="BF"/>
      <w:spacing w:val="5"/>
    </w:rPr>
  </w:style>
  <w:style w:type="paragraph" w:styleId="NormalWeb">
    <w:name w:val="Normal (Web)"/>
    <w:basedOn w:val="Normal"/>
    <w:uiPriority w:val="99"/>
    <w:semiHidden/>
    <w:unhideWhenUsed/>
    <w:rsid w:val="00726A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5900">
      <w:bodyDiv w:val="1"/>
      <w:marLeft w:val="0"/>
      <w:marRight w:val="0"/>
      <w:marTop w:val="0"/>
      <w:marBottom w:val="0"/>
      <w:divBdr>
        <w:top w:val="none" w:sz="0" w:space="0" w:color="auto"/>
        <w:left w:val="none" w:sz="0" w:space="0" w:color="auto"/>
        <w:bottom w:val="none" w:sz="0" w:space="0" w:color="auto"/>
        <w:right w:val="none" w:sz="0" w:space="0" w:color="auto"/>
      </w:divBdr>
      <w:divsChild>
        <w:div w:id="1207991811">
          <w:marLeft w:val="0"/>
          <w:marRight w:val="0"/>
          <w:marTop w:val="0"/>
          <w:marBottom w:val="0"/>
          <w:divBdr>
            <w:top w:val="none" w:sz="0" w:space="0" w:color="auto"/>
            <w:left w:val="none" w:sz="0" w:space="0" w:color="auto"/>
            <w:bottom w:val="none" w:sz="0" w:space="0" w:color="auto"/>
            <w:right w:val="none" w:sz="0" w:space="0" w:color="auto"/>
          </w:divBdr>
        </w:div>
        <w:div w:id="694422521">
          <w:marLeft w:val="0"/>
          <w:marRight w:val="0"/>
          <w:marTop w:val="0"/>
          <w:marBottom w:val="0"/>
          <w:divBdr>
            <w:top w:val="none" w:sz="0" w:space="0" w:color="auto"/>
            <w:left w:val="none" w:sz="0" w:space="0" w:color="auto"/>
            <w:bottom w:val="none" w:sz="0" w:space="0" w:color="auto"/>
            <w:right w:val="none" w:sz="0" w:space="0" w:color="auto"/>
          </w:divBdr>
        </w:div>
        <w:div w:id="1029143019">
          <w:marLeft w:val="0"/>
          <w:marRight w:val="0"/>
          <w:marTop w:val="0"/>
          <w:marBottom w:val="0"/>
          <w:divBdr>
            <w:top w:val="none" w:sz="0" w:space="0" w:color="auto"/>
            <w:left w:val="none" w:sz="0" w:space="0" w:color="auto"/>
            <w:bottom w:val="none" w:sz="0" w:space="0" w:color="auto"/>
            <w:right w:val="none" w:sz="0" w:space="0" w:color="auto"/>
          </w:divBdr>
        </w:div>
        <w:div w:id="230046134">
          <w:marLeft w:val="0"/>
          <w:marRight w:val="0"/>
          <w:marTop w:val="0"/>
          <w:marBottom w:val="0"/>
          <w:divBdr>
            <w:top w:val="none" w:sz="0" w:space="0" w:color="auto"/>
            <w:left w:val="none" w:sz="0" w:space="0" w:color="auto"/>
            <w:bottom w:val="none" w:sz="0" w:space="0" w:color="auto"/>
            <w:right w:val="none" w:sz="0" w:space="0" w:color="auto"/>
          </w:divBdr>
        </w:div>
        <w:div w:id="1938902845">
          <w:marLeft w:val="0"/>
          <w:marRight w:val="0"/>
          <w:marTop w:val="0"/>
          <w:marBottom w:val="0"/>
          <w:divBdr>
            <w:top w:val="none" w:sz="0" w:space="0" w:color="auto"/>
            <w:left w:val="none" w:sz="0" w:space="0" w:color="auto"/>
            <w:bottom w:val="none" w:sz="0" w:space="0" w:color="auto"/>
            <w:right w:val="none" w:sz="0" w:space="0" w:color="auto"/>
          </w:divBdr>
        </w:div>
      </w:divsChild>
    </w:div>
    <w:div w:id="369233094">
      <w:bodyDiv w:val="1"/>
      <w:marLeft w:val="0"/>
      <w:marRight w:val="0"/>
      <w:marTop w:val="0"/>
      <w:marBottom w:val="0"/>
      <w:divBdr>
        <w:top w:val="none" w:sz="0" w:space="0" w:color="auto"/>
        <w:left w:val="none" w:sz="0" w:space="0" w:color="auto"/>
        <w:bottom w:val="none" w:sz="0" w:space="0" w:color="auto"/>
        <w:right w:val="none" w:sz="0" w:space="0" w:color="auto"/>
      </w:divBdr>
    </w:div>
    <w:div w:id="683047707">
      <w:bodyDiv w:val="1"/>
      <w:marLeft w:val="0"/>
      <w:marRight w:val="0"/>
      <w:marTop w:val="0"/>
      <w:marBottom w:val="0"/>
      <w:divBdr>
        <w:top w:val="none" w:sz="0" w:space="0" w:color="auto"/>
        <w:left w:val="none" w:sz="0" w:space="0" w:color="auto"/>
        <w:bottom w:val="none" w:sz="0" w:space="0" w:color="auto"/>
        <w:right w:val="none" w:sz="0" w:space="0" w:color="auto"/>
      </w:divBdr>
      <w:divsChild>
        <w:div w:id="485709748">
          <w:marLeft w:val="0"/>
          <w:marRight w:val="0"/>
          <w:marTop w:val="0"/>
          <w:marBottom w:val="0"/>
          <w:divBdr>
            <w:top w:val="none" w:sz="0" w:space="0" w:color="auto"/>
            <w:left w:val="none" w:sz="0" w:space="0" w:color="auto"/>
            <w:bottom w:val="none" w:sz="0" w:space="0" w:color="auto"/>
            <w:right w:val="none" w:sz="0" w:space="0" w:color="auto"/>
          </w:divBdr>
        </w:div>
        <w:div w:id="587469027">
          <w:marLeft w:val="0"/>
          <w:marRight w:val="0"/>
          <w:marTop w:val="0"/>
          <w:marBottom w:val="0"/>
          <w:divBdr>
            <w:top w:val="none" w:sz="0" w:space="0" w:color="auto"/>
            <w:left w:val="none" w:sz="0" w:space="0" w:color="auto"/>
            <w:bottom w:val="none" w:sz="0" w:space="0" w:color="auto"/>
            <w:right w:val="none" w:sz="0" w:space="0" w:color="auto"/>
          </w:divBdr>
        </w:div>
        <w:div w:id="2042240663">
          <w:marLeft w:val="0"/>
          <w:marRight w:val="0"/>
          <w:marTop w:val="0"/>
          <w:marBottom w:val="0"/>
          <w:divBdr>
            <w:top w:val="none" w:sz="0" w:space="0" w:color="auto"/>
            <w:left w:val="none" w:sz="0" w:space="0" w:color="auto"/>
            <w:bottom w:val="none" w:sz="0" w:space="0" w:color="auto"/>
            <w:right w:val="none" w:sz="0" w:space="0" w:color="auto"/>
          </w:divBdr>
        </w:div>
        <w:div w:id="1947348778">
          <w:marLeft w:val="0"/>
          <w:marRight w:val="0"/>
          <w:marTop w:val="0"/>
          <w:marBottom w:val="0"/>
          <w:divBdr>
            <w:top w:val="none" w:sz="0" w:space="0" w:color="auto"/>
            <w:left w:val="none" w:sz="0" w:space="0" w:color="auto"/>
            <w:bottom w:val="none" w:sz="0" w:space="0" w:color="auto"/>
            <w:right w:val="none" w:sz="0" w:space="0" w:color="auto"/>
          </w:divBdr>
        </w:div>
        <w:div w:id="973678823">
          <w:marLeft w:val="0"/>
          <w:marRight w:val="0"/>
          <w:marTop w:val="0"/>
          <w:marBottom w:val="0"/>
          <w:divBdr>
            <w:top w:val="none" w:sz="0" w:space="0" w:color="auto"/>
            <w:left w:val="none" w:sz="0" w:space="0" w:color="auto"/>
            <w:bottom w:val="none" w:sz="0" w:space="0" w:color="auto"/>
            <w:right w:val="none" w:sz="0" w:space="0" w:color="auto"/>
          </w:divBdr>
        </w:div>
      </w:divsChild>
    </w:div>
    <w:div w:id="929659809">
      <w:bodyDiv w:val="1"/>
      <w:marLeft w:val="0"/>
      <w:marRight w:val="0"/>
      <w:marTop w:val="0"/>
      <w:marBottom w:val="0"/>
      <w:divBdr>
        <w:top w:val="none" w:sz="0" w:space="0" w:color="auto"/>
        <w:left w:val="none" w:sz="0" w:space="0" w:color="auto"/>
        <w:bottom w:val="none" w:sz="0" w:space="0" w:color="auto"/>
        <w:right w:val="none" w:sz="0" w:space="0" w:color="auto"/>
      </w:divBdr>
    </w:div>
    <w:div w:id="1249194563">
      <w:bodyDiv w:val="1"/>
      <w:marLeft w:val="0"/>
      <w:marRight w:val="0"/>
      <w:marTop w:val="0"/>
      <w:marBottom w:val="0"/>
      <w:divBdr>
        <w:top w:val="none" w:sz="0" w:space="0" w:color="auto"/>
        <w:left w:val="none" w:sz="0" w:space="0" w:color="auto"/>
        <w:bottom w:val="none" w:sz="0" w:space="0" w:color="auto"/>
        <w:right w:val="none" w:sz="0" w:space="0" w:color="auto"/>
      </w:divBdr>
    </w:div>
    <w:div w:id="1300069780">
      <w:bodyDiv w:val="1"/>
      <w:marLeft w:val="0"/>
      <w:marRight w:val="0"/>
      <w:marTop w:val="0"/>
      <w:marBottom w:val="0"/>
      <w:divBdr>
        <w:top w:val="none" w:sz="0" w:space="0" w:color="auto"/>
        <w:left w:val="none" w:sz="0" w:space="0" w:color="auto"/>
        <w:bottom w:val="none" w:sz="0" w:space="0" w:color="auto"/>
        <w:right w:val="none" w:sz="0" w:space="0" w:color="auto"/>
      </w:divBdr>
    </w:div>
    <w:div w:id="1411922657">
      <w:bodyDiv w:val="1"/>
      <w:marLeft w:val="0"/>
      <w:marRight w:val="0"/>
      <w:marTop w:val="0"/>
      <w:marBottom w:val="0"/>
      <w:divBdr>
        <w:top w:val="none" w:sz="0" w:space="0" w:color="auto"/>
        <w:left w:val="none" w:sz="0" w:space="0" w:color="auto"/>
        <w:bottom w:val="none" w:sz="0" w:space="0" w:color="auto"/>
        <w:right w:val="none" w:sz="0" w:space="0" w:color="auto"/>
      </w:divBdr>
      <w:divsChild>
        <w:div w:id="1827430403">
          <w:marLeft w:val="0"/>
          <w:marRight w:val="0"/>
          <w:marTop w:val="0"/>
          <w:marBottom w:val="0"/>
          <w:divBdr>
            <w:top w:val="none" w:sz="0" w:space="0" w:color="auto"/>
            <w:left w:val="none" w:sz="0" w:space="0" w:color="auto"/>
            <w:bottom w:val="none" w:sz="0" w:space="0" w:color="auto"/>
            <w:right w:val="none" w:sz="0" w:space="0" w:color="auto"/>
          </w:divBdr>
        </w:div>
        <w:div w:id="994845088">
          <w:marLeft w:val="0"/>
          <w:marRight w:val="0"/>
          <w:marTop w:val="0"/>
          <w:marBottom w:val="0"/>
          <w:divBdr>
            <w:top w:val="none" w:sz="0" w:space="0" w:color="auto"/>
            <w:left w:val="none" w:sz="0" w:space="0" w:color="auto"/>
            <w:bottom w:val="none" w:sz="0" w:space="0" w:color="auto"/>
            <w:right w:val="none" w:sz="0" w:space="0" w:color="auto"/>
          </w:divBdr>
        </w:div>
      </w:divsChild>
    </w:div>
    <w:div w:id="1440296948">
      <w:bodyDiv w:val="1"/>
      <w:marLeft w:val="0"/>
      <w:marRight w:val="0"/>
      <w:marTop w:val="0"/>
      <w:marBottom w:val="0"/>
      <w:divBdr>
        <w:top w:val="none" w:sz="0" w:space="0" w:color="auto"/>
        <w:left w:val="none" w:sz="0" w:space="0" w:color="auto"/>
        <w:bottom w:val="none" w:sz="0" w:space="0" w:color="auto"/>
        <w:right w:val="none" w:sz="0" w:space="0" w:color="auto"/>
      </w:divBdr>
    </w:div>
    <w:div w:id="1564440361">
      <w:bodyDiv w:val="1"/>
      <w:marLeft w:val="0"/>
      <w:marRight w:val="0"/>
      <w:marTop w:val="0"/>
      <w:marBottom w:val="0"/>
      <w:divBdr>
        <w:top w:val="none" w:sz="0" w:space="0" w:color="auto"/>
        <w:left w:val="none" w:sz="0" w:space="0" w:color="auto"/>
        <w:bottom w:val="none" w:sz="0" w:space="0" w:color="auto"/>
        <w:right w:val="none" w:sz="0" w:space="0" w:color="auto"/>
      </w:divBdr>
    </w:div>
    <w:div w:id="1838761567">
      <w:bodyDiv w:val="1"/>
      <w:marLeft w:val="0"/>
      <w:marRight w:val="0"/>
      <w:marTop w:val="0"/>
      <w:marBottom w:val="0"/>
      <w:divBdr>
        <w:top w:val="none" w:sz="0" w:space="0" w:color="auto"/>
        <w:left w:val="none" w:sz="0" w:space="0" w:color="auto"/>
        <w:bottom w:val="none" w:sz="0" w:space="0" w:color="auto"/>
        <w:right w:val="none" w:sz="0" w:space="0" w:color="auto"/>
      </w:divBdr>
      <w:divsChild>
        <w:div w:id="880434641">
          <w:marLeft w:val="0"/>
          <w:marRight w:val="0"/>
          <w:marTop w:val="0"/>
          <w:marBottom w:val="0"/>
          <w:divBdr>
            <w:top w:val="none" w:sz="0" w:space="0" w:color="auto"/>
            <w:left w:val="none" w:sz="0" w:space="0" w:color="auto"/>
            <w:bottom w:val="none" w:sz="0" w:space="0" w:color="auto"/>
            <w:right w:val="none" w:sz="0" w:space="0" w:color="auto"/>
          </w:divBdr>
        </w:div>
        <w:div w:id="2136830168">
          <w:marLeft w:val="0"/>
          <w:marRight w:val="0"/>
          <w:marTop w:val="0"/>
          <w:marBottom w:val="0"/>
          <w:divBdr>
            <w:top w:val="none" w:sz="0" w:space="0" w:color="auto"/>
            <w:left w:val="none" w:sz="0" w:space="0" w:color="auto"/>
            <w:bottom w:val="none" w:sz="0" w:space="0" w:color="auto"/>
            <w:right w:val="none" w:sz="0" w:space="0" w:color="auto"/>
          </w:divBdr>
        </w:div>
      </w:divsChild>
    </w:div>
    <w:div w:id="1889562553">
      <w:bodyDiv w:val="1"/>
      <w:marLeft w:val="0"/>
      <w:marRight w:val="0"/>
      <w:marTop w:val="0"/>
      <w:marBottom w:val="0"/>
      <w:divBdr>
        <w:top w:val="none" w:sz="0" w:space="0" w:color="auto"/>
        <w:left w:val="none" w:sz="0" w:space="0" w:color="auto"/>
        <w:bottom w:val="none" w:sz="0" w:space="0" w:color="auto"/>
        <w:right w:val="none" w:sz="0" w:space="0" w:color="auto"/>
      </w:divBdr>
    </w:div>
    <w:div w:id="19655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669</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genay</dc:creator>
  <cp:keywords/>
  <dc:description/>
  <cp:lastModifiedBy>anita genay</cp:lastModifiedBy>
  <cp:revision>4</cp:revision>
  <dcterms:created xsi:type="dcterms:W3CDTF">2025-03-13T16:33:00Z</dcterms:created>
  <dcterms:modified xsi:type="dcterms:W3CDTF">2025-04-07T07:37:00Z</dcterms:modified>
</cp:coreProperties>
</file>