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Yu Gothic" w:cs="Yu Gothic" w:eastAsia="Yu Gothic" w:hAnsi="Yu Gothic"/>
        </w:rPr>
        <w:t xml:space="preserve">指示書：API契約 v0（命名規則・主要エンドポイント）</w:t>
      </w:r>
    </w:p>
    <w:p>
      <w:pPr>
        <w:spacing w:after="4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対象：Cloud Run（Hono＋TypeScript）層のAPI契約 v0 を文書として定義する（実装はしない）</w:t>
      </w:r>
    </w:p>
    <w:p>
      <w:pPr>
        <w:spacing w:after="8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起票：業務A　／　承認：LOL（設計まとめ役）　／　状態：☐ 承認待ち　☐ 承認済み　☐ 確定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A. 固定の前提（毎回共通）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新基盤（Supabase ＋ SvelteKit ＋ Cloud Run）。移行ではなく新規構築。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検証環境のみ。AI生成のダミーデータを使う。本番データ・現行GASには触らない。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全テーブルでRLSを有効にする。秘密情報は環境変数に置く。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画面・操作・用語は現行マニュアルv9に合わせる（用語集v0.1）。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B. この指示書の中身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API契約 v0：命名規則と主要エンドポイントを文書として定義する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対象機能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（要件定義の章番号）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第4章 システム構成（4.2 技術スタックと層構成／4.5 階層間のデータフロー／4.1 階層と責務）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第11章 11.4 保守性（部品化・LEGO方式／設計まとめ役がDB・API契約を統制）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（具体的に）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AIに、Cloud Run（Hono＋TypeScript）層のAPI契約 v0 を文書として書かせる。前提の層構成：フロント＝SvelteKit、データ・認証＝Supabase、業務ロジック・帳票・外部連携＝Cloud Run（4.2）。可視範囲はDBのRLSに委譲し、API層で再実装しない（4.1・11.4）。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命名規則を定める。少なくとも次を含める。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ベースパス・版：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例 /api/v1。後方互換の方針も一文。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リソース名・パス設計：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英語・複数形・ケース統一（例：kebab-case のパス）。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メソッドとステータス：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GET/POST/PATCH/DELETE の使い分けと、成功・エラーのステータスコード方針。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フィールド命名：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英語snake_case を既定とし、「日本語業務用語↔英語キー」対応表を付ける（問合番号・共通ID・かご記号・営業所コード 等）。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統一エラー形式：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code・message の共通フォーマット。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認証：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Supabase JWT をAPIで検証。行の可視範囲はRLSに任せ、APIは認証検証と業務処理に専念。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一覧の共通規約：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ページング・フィルタ・ソートの書式。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主要エンドポイント（v0）を、4.5のデータフロー順に列挙・定義する。各エンドポイントに「メソッド／パス／用途／主な入出力／対象ロール」を書く。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取込：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荷主取込（POST）。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全国配分（本部）：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共通ID・拠点・かご記号の付与を実行。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配車（営業所）：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ドライバー予測の実行と結果参照。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仕分け（営業所）：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仕分けナビ用の当日分照会。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出力：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ラベル印刷・帳票生成。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参照系：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配送データ／問合Index／マスタ（全国Master・ZonePlan・営業所・ドライバー）／稼働予定。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配布：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DB内の帰属付与＋RLSで表現するため、独立エンドポイントにするか否かを契約内で方針として明記。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成果物を文書（docx または md）にまとめ、業務B経由で記録する。LOL（設計まとめ役）が承認したら「API契約 v0」として確定し、以降の実装はこれに従う。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やらないこと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（範囲外）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実装コード（Honoのルーティング実体・ハンドラ）。今回は契約（仕様）のみ。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T2 CS／T3ドライバーアプリ固有のエンドポイント詳細。今回はT1コアの主要分が対象（T2/T3は項目名の予約に留める）。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RLSロジックをAPI層で再実装すること。行の可視範囲はDB側（4.1・11.4の責務分離）。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OpenAPIの完全網羅・全フィールドの厳密スキーマ。v0は骨格（主要エンドポイント＋規則）まで。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認証基盤の実構築。UI画面。本番データ・現行GASへのアクセス。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合格条件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（動作確認の観点）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命名規則がひと通り揃っている（パス・メソッド・フィールド・エラー・認証・一覧規約）。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主要エンドポイントが4.5のフロー（取込→全国配分→配車→仕分け→出力）と参照系を網羅し、各々にメソッド／パス／用途／対象ロールが書かれている。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用語が要件定義／用語集v0.1どおり（問合番号・共通ID・かご記号・営業所コード等）で、日本語業務用語と英語APIキーの対応が取れている。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同じ概念に複数の命名が混在していない（命名の一貫性）。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RLSとの責務分離が明記されている（APIは認証検証、行可視範囲はDB）。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（ファイル等）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api_contract_v0（docx または md）：命名規則＋主要エンドポイント表＋日本語↔英語キー対応表。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endpoints_v0 一覧表（メソッド・パス・用途・対象ロール）。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2026-06-08T03:43:12.621Z</dcterms:created>
  <dcterms:modified xsi:type="dcterms:W3CDTF">2026-06-08T03:43:12.622Z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