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Yu Gothic" w:cs="Yu Gothic" w:eastAsia="Yu Gothic" w:hAnsi="Yu Gothic"/>
        </w:rPr>
        <w:t xml:space="preserve">指示書：DBスキーマ v0（骨格）</w:t>
      </w:r>
    </w:p>
    <w:p>
      <w:pPr>
        <w:spacing w:after="4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対象：配送データ・問合Index・マスタ・ドライバー・稼働予定</w:t>
      </w:r>
    </w:p>
    <w:p>
      <w:pPr>
        <w:spacing w:after="8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A. 固定の前提（毎回共通）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新基盤（Supabase ＋ SvelteKit ＋ Cloud Run）。移行ではなく新規構築。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検証環境のみ。AI生成のダミーデータを使う。本番データ・現行GASには触らない。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全テーブルでRLSを有効にする。秘密情報は環境変数に置く。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画面・操作・用語は現行マニュアルv9に合わせる（用語集v0.1）。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B. この指示書の中身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DBスキーマ v0（骨格）：配送データ・問合Index・マスタ・ドライバー・稼働予定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対象機能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（要件定義の章番号）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第9章 データ要件（9.1 主要エンティティ＜荷物・問合Index＞／9.2 マスタ・組織・ドライバー・稼働予定／9.3 キー）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※RLS（第5章5.3）は今回含めない。別指示書で設定する。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（具体的に）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AIに、次の5グループの「骨格テーブル」を作るSQLを書かせる。各テーブルに主キー・主要列・参照（営業所コード等）を含める。用語は要件定義／用語集v0.1どおり。RLSは今回入れない。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配送データ（荷物）：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問合番号［主キー］／日付／配送先住所／共通ID／拠点コード／営業所コード／ドライバーID／配達順／かご記号／ステータス／時間指定／荷主ID／取込バッチID。（バッグ番号・親バッグは作らない）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問合Index（高速参照）：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問合番号［荷物を参照］→ ドライバーID／配達順／かご記号／共通ID。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マスタ：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①拠点／営業所マスタ（拠点コード・営業所コード・親子関係・配車優先方式・かご振り順・かご台車上限・自動保存閾値・申請可能期間）。②住所／ゾーンマスタ（全国Master：TownKey・共通ID／全国ZonePlan：共通ID→ゾーン）。※版管理ロジックは範囲外、骨格のみ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ドライバー（マスタ）：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ドライバーID［主キー］／氏名／連絡先／車両／スキル（1時間あたり配達個数）／契約開始日／契約解除日／所属営業所コード／登録状態。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稼働予定：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ドライバーID／日付／稼働区分／申請状態（申請中・承認・却下）。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生成SQLをSupabaseのSQL Editorに業務Aが手でコピペして実行する。参照される側を先に流す（マスタ → 荷物 → 問合Index → ドライバー → 稼働予定）。エラーはAIに直させて貼り直す。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各テーブルに少量のダミーデータを入れ、テーブル作成・参照（FK）成立を確認する。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やらないこと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（範囲外）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業務ロジック（配車・仕分け・帳票出力・住所判定・KPI集計）。今回は骨格テーブルのみ。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他エンティティ：配達実績ログ・未登録住所・荷主・再配達受付・通話／対応ログ・サポートチケット・募集／応援（別の指示書）。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荷主ID・取込バッチIDは列としては持つが、対応マスタが未作成のため外部キー制約は今は張らない（後続指示書で接続）。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全国Master／ZonePlanの版管理フロー（改訂案→承認→適用）。今回はテーブルの骨格のみ。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RLSの有効化・ポリシー設定。前提Aの方針（全テーブルRLS）は維持するが、設定作業は別指示書で行う。今回はテーブル骨格のみで、RLSは入れない。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UI画面。SQLの自動実行・マイグレーションツール導入（人手でコピペ）。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本番データ・現行GASへのアクセス。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合格条件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（動作確認の観点）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5グループのテーブルがSupabaseにエラーなく作成できる。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参照が成立する：荷物.営業所コード→営業所マスタ／ドライバー.所属営業所コード→営業所マスタ／稼働予定.ドライバーID→ドライバー／問合Index.問合番号→荷物。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用語が要件定義／用語集v0.1どおり（問合番号・かご記号・共通ID・営業所コード等。バッグ番号・親バッグが無い）。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（ファイル等）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create_schema_v0.sql（5グループの骨格テーブル定義＋参照）※コピペ実行。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seed_dummy_v0.sql（少量のダミーデータ）※コピペ実行。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check_v0.sql（参照成立の確認用）※コピペ実行。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確認結果メモ（実行順・作成できたテーブル一覧）。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2026-06-08T02:13:43.533Z</dcterms:created>
  <dcterms:modified xsi:type="dcterms:W3CDTF">2026-06-08T02:13:43.547Z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