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Pr="00480580" w:rsidRDefault="00392FCB" w:rsidP="00392FCB">
      <w:pPr>
        <w:jc w:val="both"/>
        <w:rPr>
          <w:rFonts w:asciiTheme="majorHAnsi" w:hAnsiTheme="majorHAnsi" w:cstheme="majorHAnsi"/>
          <w:sz w:val="24"/>
          <w:szCs w:val="24"/>
        </w:rPr>
      </w:pPr>
    </w:p>
    <w:p w:rsidR="00392FCB" w:rsidRDefault="00392FCB" w:rsidP="00392FCB">
      <w:pPr>
        <w:jc w:val="both"/>
        <w:rPr>
          <w:rFonts w:asciiTheme="majorHAnsi" w:hAnsiTheme="majorHAnsi" w:cstheme="majorHAnsi"/>
          <w:b/>
          <w:sz w:val="24"/>
          <w:szCs w:val="24"/>
        </w:rPr>
      </w:pPr>
      <w:r w:rsidRPr="00480580">
        <w:rPr>
          <w:rFonts w:asciiTheme="majorHAnsi" w:hAnsiTheme="majorHAnsi" w:cstheme="majorHAnsi"/>
          <w:b/>
          <w:sz w:val="24"/>
          <w:szCs w:val="24"/>
        </w:rPr>
        <w:lastRenderedPageBreak/>
        <w:t>Introduction</w:t>
      </w:r>
    </w:p>
    <w:p w:rsidR="00392FCB" w:rsidRPr="00137B83" w:rsidRDefault="00392FCB" w:rsidP="00392FCB">
      <w:pPr>
        <w:jc w:val="both"/>
        <w:rPr>
          <w:rFonts w:asciiTheme="majorHAnsi" w:hAnsiTheme="majorHAnsi" w:cstheme="majorHAnsi"/>
          <w:sz w:val="6"/>
          <w:szCs w:val="6"/>
        </w:rPr>
      </w:pPr>
    </w:p>
    <w:p w:rsidR="00392FCB" w:rsidRPr="00C4090C" w:rsidRDefault="00392FCB" w:rsidP="00392FCB">
      <w:pPr>
        <w:jc w:val="both"/>
        <w:rPr>
          <w:rFonts w:asciiTheme="majorHAnsi" w:hAnsiTheme="majorHAnsi" w:cstheme="majorHAnsi"/>
        </w:rPr>
      </w:pPr>
      <w:r w:rsidRPr="00C4090C">
        <w:rPr>
          <w:rFonts w:asciiTheme="majorHAnsi" w:hAnsiTheme="majorHAnsi" w:cstheme="majorHAnsi"/>
        </w:rPr>
        <w:t xml:space="preserve">The intent of this paper is to forecast the price of Western Canada Select (WCS), a pricing benchmark for Canadian heavy crude oil. The data was collected from a multitude of sources; Statistics Canada, National Energy Board, Energy Information Administration, and the Federal Reserve Bank of St. Louis. The data is monthly and ranges from January 2009 to July 2018. </w:t>
      </w:r>
    </w:p>
    <w:p w:rsidR="00392FCB" w:rsidRPr="00C4090C" w:rsidRDefault="00392FCB" w:rsidP="00392FCB">
      <w:pPr>
        <w:jc w:val="both"/>
        <w:rPr>
          <w:rFonts w:asciiTheme="majorHAnsi" w:hAnsiTheme="majorHAnsi" w:cstheme="majorHAnsi"/>
        </w:rPr>
      </w:pPr>
    </w:p>
    <w:p w:rsidR="00392FCB" w:rsidRPr="00C4090C" w:rsidRDefault="00392FCB" w:rsidP="00392FCB">
      <w:pPr>
        <w:jc w:val="both"/>
        <w:rPr>
          <w:rFonts w:asciiTheme="majorHAnsi" w:hAnsiTheme="majorHAnsi" w:cstheme="majorHAnsi"/>
        </w:rPr>
      </w:pPr>
      <w:r w:rsidRPr="00C4090C">
        <w:rPr>
          <w:rFonts w:asciiTheme="majorHAnsi" w:hAnsiTheme="majorHAnsi" w:cstheme="majorHAnsi"/>
        </w:rPr>
        <w:t xml:space="preserve">Crude oil, a naturally occurring fossil fuel, is an essential part of the global energy market and is consumed daily worldwide; it is typically refined into more practical commodities – most commonly in the form of petroleum, gasoline, and diesel. As one of its main products and exports, crude is an integral source of income for Alberta’s economy. In order to measure its price and keep its competitiveness with US oil, WCS was created as a benchmark for heavy Canadian crude. </w:t>
      </w:r>
    </w:p>
    <w:p w:rsidR="00392FCB" w:rsidRPr="00137B83" w:rsidRDefault="00392FCB" w:rsidP="00392FCB">
      <w:pPr>
        <w:jc w:val="both"/>
        <w:rPr>
          <w:rFonts w:asciiTheme="majorHAnsi" w:hAnsiTheme="majorHAnsi" w:cstheme="majorHAnsi"/>
          <w:sz w:val="12"/>
          <w:szCs w:val="12"/>
        </w:rPr>
      </w:pPr>
    </w:p>
    <w:p w:rsidR="00392FCB" w:rsidRDefault="00392FCB" w:rsidP="00392FCB">
      <w:pPr>
        <w:jc w:val="both"/>
        <w:rPr>
          <w:rFonts w:asciiTheme="majorHAnsi" w:hAnsiTheme="majorHAnsi" w:cstheme="majorHAnsi"/>
          <w:b/>
          <w:sz w:val="24"/>
          <w:szCs w:val="24"/>
        </w:rPr>
      </w:pPr>
      <w:r>
        <w:rPr>
          <w:rFonts w:asciiTheme="majorHAnsi" w:hAnsiTheme="majorHAnsi" w:cstheme="majorHAnsi"/>
          <w:b/>
          <w:sz w:val="24"/>
          <w:szCs w:val="24"/>
        </w:rPr>
        <w:t>Methodology</w:t>
      </w:r>
    </w:p>
    <w:p w:rsidR="00392FCB" w:rsidRPr="00137B83" w:rsidRDefault="00392FCB" w:rsidP="00392FCB">
      <w:pPr>
        <w:jc w:val="both"/>
        <w:rPr>
          <w:rFonts w:asciiTheme="majorHAnsi" w:hAnsiTheme="majorHAnsi" w:cstheme="majorHAnsi"/>
          <w:sz w:val="6"/>
          <w:szCs w:val="6"/>
        </w:rPr>
      </w:pPr>
    </w:p>
    <w:p w:rsidR="00392FCB" w:rsidRPr="00C4090C" w:rsidRDefault="00392FCB" w:rsidP="00392FCB">
      <w:pPr>
        <w:tabs>
          <w:tab w:val="left" w:pos="1200"/>
        </w:tabs>
        <w:jc w:val="both"/>
        <w:rPr>
          <w:rFonts w:asciiTheme="majorHAnsi" w:hAnsiTheme="majorHAnsi" w:cstheme="majorHAnsi"/>
        </w:rPr>
      </w:pPr>
      <w:r w:rsidRPr="00C4090C">
        <w:rPr>
          <w:rFonts w:asciiTheme="majorHAnsi" w:hAnsiTheme="majorHAnsi" w:cstheme="majorHAnsi"/>
        </w:rPr>
        <w:t>This paper will utilize dynamic regression</w:t>
      </w:r>
      <w:r w:rsidR="00D2720E">
        <w:rPr>
          <w:rFonts w:asciiTheme="majorHAnsi" w:hAnsiTheme="majorHAnsi" w:cstheme="majorHAnsi"/>
        </w:rPr>
        <w:t xml:space="preserve"> model (DRM)</w:t>
      </w:r>
      <w:r w:rsidRPr="00C4090C">
        <w:rPr>
          <w:rFonts w:asciiTheme="majorHAnsi" w:hAnsiTheme="majorHAnsi" w:cstheme="majorHAnsi"/>
        </w:rPr>
        <w:t xml:space="preserve"> techniques to forecast WCS prices. Modelling the price of WCS requires consideration of several key factors. Even though WCS has been a benchmark for Canadian crude since 2004, many still price WCS as a differential to WTI – the benchmark for US crude – as well as Mexican MAYA – the global benchmark for crude. This is often attributed to the fact that, because of Alberta’s landlocked nature, 99% of Canadian crude exports go to the US. As such, the pricing of WCS depends heavily on these international price criterions. Another component important to modelling WCS is the strength of the economy relative to its trade partners. Because Canada practically exports exclusively to the US, the exchange rate between the two can be used as a proxy variable for economy strength. Economically, it is important to consider demand for a good when modelling its price. To model the demand for Canadian crude, proxy variables will once again be used. A large bulk of the crude the US imports from Canada are sent to PADDs II and III for refinery; as such, the utilization of refinery operational capacity of these two PADDs will be taken into account for the model.</w:t>
      </w:r>
    </w:p>
    <w:p w:rsidR="00392FCB" w:rsidRPr="00C4090C" w:rsidRDefault="00392FCB" w:rsidP="00392FCB">
      <w:pPr>
        <w:tabs>
          <w:tab w:val="left" w:pos="1200"/>
        </w:tabs>
        <w:jc w:val="both"/>
        <w:rPr>
          <w:rFonts w:asciiTheme="majorHAnsi" w:hAnsiTheme="majorHAnsi" w:cstheme="majorHAnsi"/>
        </w:rPr>
      </w:pPr>
    </w:p>
    <w:p w:rsidR="00392FCB" w:rsidRDefault="00D2720E" w:rsidP="00392FCB">
      <w:pPr>
        <w:tabs>
          <w:tab w:val="left" w:pos="1200"/>
        </w:tabs>
        <w:jc w:val="both"/>
        <w:rPr>
          <w:rFonts w:asciiTheme="majorHAnsi" w:hAnsiTheme="majorHAnsi" w:cstheme="majorHAnsi"/>
        </w:rPr>
      </w:pPr>
      <w:r>
        <w:rPr>
          <w:rFonts w:asciiTheme="majorHAnsi" w:hAnsiTheme="majorHAnsi" w:cstheme="majorHAnsi"/>
        </w:rPr>
        <w:t xml:space="preserve">To begin constructing a DRM for WCS prices, we first require all variables to be stationary. </w:t>
      </w:r>
    </w:p>
    <w:p w:rsidR="00D2720E" w:rsidRDefault="00D2720E" w:rsidP="00392FCB">
      <w:pPr>
        <w:tabs>
          <w:tab w:val="left" w:pos="1200"/>
        </w:tabs>
        <w:jc w:val="both"/>
        <w:rPr>
          <w:rFonts w:asciiTheme="majorHAnsi" w:hAnsiTheme="majorHAnsi" w:cstheme="majorHAnsi"/>
        </w:rPr>
      </w:pPr>
    </w:p>
    <w:p w:rsidR="00D2720E" w:rsidRDefault="00D2720E" w:rsidP="00392FCB">
      <w:pPr>
        <w:tabs>
          <w:tab w:val="left" w:pos="1200"/>
        </w:tabs>
        <w:jc w:val="both"/>
        <w:rPr>
          <w:rFonts w:asciiTheme="majorHAnsi" w:hAnsiTheme="majorHAnsi" w:cstheme="majorHAnsi"/>
        </w:rPr>
      </w:pPr>
      <w:r>
        <w:rPr>
          <w:noProof/>
        </w:rPr>
        <w:drawing>
          <wp:inline distT="0" distB="0" distL="0" distR="0" wp14:anchorId="59F5CDA2" wp14:editId="091C7D12">
            <wp:extent cx="5715495" cy="2286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495" cy="2286198"/>
                    </a:xfrm>
                    <a:prstGeom prst="rect">
                      <a:avLst/>
                    </a:prstGeom>
                  </pic:spPr>
                </pic:pic>
              </a:graphicData>
            </a:graphic>
          </wp:inline>
        </w:drawing>
      </w:r>
    </w:p>
    <w:p w:rsidR="00D2720E" w:rsidRPr="00D2720E" w:rsidRDefault="00D2720E" w:rsidP="00392FCB">
      <w:pPr>
        <w:tabs>
          <w:tab w:val="left" w:pos="1200"/>
        </w:tabs>
        <w:jc w:val="both"/>
        <w:rPr>
          <w:rFonts w:asciiTheme="majorHAnsi" w:hAnsiTheme="majorHAnsi" w:cstheme="majorHAnsi"/>
          <w:sz w:val="20"/>
          <w:szCs w:val="20"/>
        </w:rPr>
      </w:pPr>
      <w:r>
        <w:rPr>
          <w:rFonts w:asciiTheme="majorHAnsi" w:hAnsiTheme="majorHAnsi" w:cstheme="majorHAnsi"/>
          <w:sz w:val="20"/>
          <w:szCs w:val="20"/>
        </w:rPr>
        <w:t>Figure 1. A plot of all variables over time.</w:t>
      </w:r>
    </w:p>
    <w:p w:rsidR="00D2720E" w:rsidRDefault="00D2720E" w:rsidP="00392FCB">
      <w:pPr>
        <w:tabs>
          <w:tab w:val="left" w:pos="1200"/>
        </w:tabs>
        <w:jc w:val="both"/>
        <w:rPr>
          <w:rFonts w:asciiTheme="majorHAnsi" w:hAnsiTheme="majorHAnsi" w:cstheme="majorHAnsi"/>
        </w:rPr>
      </w:pPr>
    </w:p>
    <w:p w:rsidR="00D2720E" w:rsidRDefault="00D2720E" w:rsidP="00392FCB">
      <w:pPr>
        <w:tabs>
          <w:tab w:val="left" w:pos="1200"/>
        </w:tabs>
        <w:jc w:val="both"/>
        <w:rPr>
          <w:rFonts w:asciiTheme="majorHAnsi" w:hAnsiTheme="majorHAnsi" w:cstheme="majorHAnsi"/>
        </w:rPr>
      </w:pPr>
      <w:r>
        <w:rPr>
          <w:rFonts w:asciiTheme="majorHAnsi" w:hAnsiTheme="majorHAnsi" w:cstheme="majorHAnsi"/>
        </w:rPr>
        <w:t>As observed in Figure 1, most of the variables have a moving average; they are non-stationary. A first difference is applied t</w:t>
      </w:r>
      <w:r w:rsidR="00F62A25">
        <w:rPr>
          <w:rFonts w:asciiTheme="majorHAnsi" w:hAnsiTheme="majorHAnsi" w:cstheme="majorHAnsi"/>
        </w:rPr>
        <w:t>o all the data:</w:t>
      </w:r>
    </w:p>
    <w:p w:rsidR="00F62A25" w:rsidRDefault="00F62A25" w:rsidP="00392FCB">
      <w:pPr>
        <w:tabs>
          <w:tab w:val="left" w:pos="1200"/>
        </w:tabs>
        <w:jc w:val="both"/>
        <w:rPr>
          <w:rFonts w:asciiTheme="majorHAnsi" w:hAnsiTheme="majorHAnsi" w:cstheme="majorHAnsi"/>
        </w:rPr>
      </w:pPr>
    </w:p>
    <w:p w:rsidR="00F62A25" w:rsidRDefault="00F62A25" w:rsidP="00392FCB">
      <w:pPr>
        <w:tabs>
          <w:tab w:val="left" w:pos="1200"/>
        </w:tabs>
        <w:jc w:val="both"/>
        <w:rPr>
          <w:rFonts w:asciiTheme="majorHAnsi" w:hAnsiTheme="majorHAnsi" w:cstheme="majorHAnsi"/>
        </w:rPr>
      </w:pPr>
      <w:r>
        <w:rPr>
          <w:noProof/>
        </w:rPr>
        <w:lastRenderedPageBreak/>
        <w:drawing>
          <wp:inline distT="0" distB="0" distL="0" distR="0" wp14:anchorId="08A87D79" wp14:editId="7A06B693">
            <wp:extent cx="5715495" cy="228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495" cy="2286198"/>
                    </a:xfrm>
                    <a:prstGeom prst="rect">
                      <a:avLst/>
                    </a:prstGeom>
                  </pic:spPr>
                </pic:pic>
              </a:graphicData>
            </a:graphic>
          </wp:inline>
        </w:drawing>
      </w:r>
    </w:p>
    <w:p w:rsidR="00F62A25" w:rsidRDefault="00F62A25" w:rsidP="00392FCB">
      <w:pPr>
        <w:tabs>
          <w:tab w:val="left" w:pos="1200"/>
        </w:tabs>
        <w:jc w:val="both"/>
        <w:rPr>
          <w:rFonts w:asciiTheme="majorHAnsi" w:hAnsiTheme="majorHAnsi" w:cstheme="majorHAnsi"/>
          <w:sz w:val="20"/>
          <w:szCs w:val="20"/>
        </w:rPr>
      </w:pPr>
      <w:r>
        <w:rPr>
          <w:rFonts w:asciiTheme="majorHAnsi" w:hAnsiTheme="majorHAnsi" w:cstheme="majorHAnsi"/>
          <w:sz w:val="20"/>
          <w:szCs w:val="20"/>
        </w:rPr>
        <w:t>Figure 2. A plot of all the differenced variables over time.</w:t>
      </w:r>
    </w:p>
    <w:p w:rsidR="00F62A25" w:rsidRDefault="00F62A25" w:rsidP="00392FCB">
      <w:pPr>
        <w:tabs>
          <w:tab w:val="left" w:pos="1200"/>
        </w:tabs>
        <w:jc w:val="both"/>
        <w:rPr>
          <w:rFonts w:asciiTheme="majorHAnsi" w:hAnsiTheme="majorHAnsi" w:cstheme="majorHAnsi"/>
          <w:sz w:val="20"/>
          <w:szCs w:val="20"/>
        </w:rPr>
      </w:pPr>
    </w:p>
    <w:p w:rsidR="00F62A25" w:rsidRDefault="00480DD4" w:rsidP="00392FCB">
      <w:pPr>
        <w:tabs>
          <w:tab w:val="left" w:pos="1200"/>
        </w:tabs>
        <w:jc w:val="both"/>
        <w:rPr>
          <w:rFonts w:asciiTheme="majorHAnsi" w:hAnsiTheme="majorHAnsi" w:cstheme="majorHAnsi"/>
        </w:rPr>
      </w:pPr>
      <w:r>
        <w:rPr>
          <w:rFonts w:asciiTheme="majorHAnsi" w:hAnsiTheme="majorHAnsi" w:cstheme="majorHAnsi"/>
        </w:rPr>
        <w:t>A</w:t>
      </w:r>
      <w:r w:rsidR="00F62A25">
        <w:rPr>
          <w:rFonts w:asciiTheme="majorHAnsi" w:hAnsiTheme="majorHAnsi" w:cstheme="majorHAnsi"/>
        </w:rPr>
        <w:t>n augmented Dickey Fuller (ADF) test</w:t>
      </w:r>
      <w:r w:rsidR="00AC16E2">
        <w:rPr>
          <w:rFonts w:asciiTheme="majorHAnsi" w:hAnsiTheme="majorHAnsi" w:cstheme="majorHAnsi"/>
        </w:rPr>
        <w:t xml:space="preserve"> is taken</w:t>
      </w:r>
      <w:r w:rsidR="00F62A25">
        <w:rPr>
          <w:rFonts w:asciiTheme="majorHAnsi" w:hAnsiTheme="majorHAnsi" w:cstheme="majorHAnsi"/>
        </w:rPr>
        <w:t xml:space="preserve"> for all the variables, where the null hypothesis is that there is a unit root present in the data – meaning non-stationarity</w:t>
      </w:r>
      <w:r>
        <w:rPr>
          <w:rFonts w:asciiTheme="majorHAnsi" w:hAnsiTheme="majorHAnsi" w:cstheme="majorHAnsi"/>
        </w:rPr>
        <w:t>. A</w:t>
      </w:r>
      <w:r w:rsidR="00F62A25">
        <w:rPr>
          <w:rFonts w:asciiTheme="majorHAnsi" w:hAnsiTheme="majorHAnsi" w:cstheme="majorHAnsi"/>
        </w:rPr>
        <w:t>ll the p-values are extremely small; we reject the null hypothesis and conclude that the data does not exhibit non-stationarity.</w:t>
      </w:r>
      <w:r>
        <w:rPr>
          <w:rFonts w:asciiTheme="majorHAnsi" w:hAnsiTheme="majorHAnsi" w:cstheme="majorHAnsi"/>
        </w:rPr>
        <w:t xml:space="preserve"> </w:t>
      </w:r>
    </w:p>
    <w:p w:rsidR="00480DD4" w:rsidRDefault="00480DD4" w:rsidP="00392FCB">
      <w:pPr>
        <w:tabs>
          <w:tab w:val="left" w:pos="1200"/>
        </w:tabs>
        <w:jc w:val="both"/>
        <w:rPr>
          <w:rFonts w:asciiTheme="majorHAnsi" w:hAnsiTheme="majorHAnsi" w:cstheme="majorHAnsi"/>
        </w:rPr>
      </w:pPr>
    </w:p>
    <w:tbl>
      <w:tblPr>
        <w:tblW w:w="2880" w:type="dxa"/>
        <w:jc w:val="center"/>
        <w:tblLook w:val="04A0" w:firstRow="1" w:lastRow="0" w:firstColumn="1" w:lastColumn="0" w:noHBand="0" w:noVBand="1"/>
      </w:tblPr>
      <w:tblGrid>
        <w:gridCol w:w="1640"/>
        <w:gridCol w:w="1240"/>
      </w:tblGrid>
      <w:tr w:rsidR="00F62A25" w:rsidRPr="00F62A25" w:rsidTr="00F62A25">
        <w:trPr>
          <w:trHeight w:val="288"/>
          <w:jc w:val="center"/>
        </w:trPr>
        <w:tc>
          <w:tcPr>
            <w:tcW w:w="1640" w:type="dxa"/>
            <w:vMerge w:val="restart"/>
            <w:tcBorders>
              <w:top w:val="single" w:sz="4" w:space="0" w:color="auto"/>
              <w:left w:val="nil"/>
              <w:bottom w:val="nil"/>
              <w:right w:val="nil"/>
            </w:tcBorders>
            <w:shd w:val="clear" w:color="auto" w:fill="auto"/>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Variable</w:t>
            </w:r>
          </w:p>
        </w:tc>
        <w:tc>
          <w:tcPr>
            <w:tcW w:w="1240" w:type="dxa"/>
            <w:vMerge w:val="restart"/>
            <w:tcBorders>
              <w:top w:val="single" w:sz="4" w:space="0" w:color="auto"/>
              <w:left w:val="nil"/>
              <w:bottom w:val="nil"/>
              <w:right w:val="nil"/>
            </w:tcBorders>
            <w:shd w:val="clear" w:color="auto" w:fill="auto"/>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P value</w:t>
            </w:r>
          </w:p>
        </w:tc>
      </w:tr>
      <w:tr w:rsidR="00F62A25" w:rsidRPr="00F62A25" w:rsidTr="00F62A25">
        <w:trPr>
          <w:trHeight w:val="288"/>
          <w:jc w:val="center"/>
        </w:trPr>
        <w:tc>
          <w:tcPr>
            <w:tcW w:w="1640" w:type="dxa"/>
            <w:vMerge/>
            <w:tcBorders>
              <w:top w:val="single" w:sz="4" w:space="0" w:color="auto"/>
              <w:left w:val="nil"/>
              <w:bottom w:val="nil"/>
              <w:right w:val="nil"/>
            </w:tcBorders>
            <w:vAlign w:val="center"/>
            <w:hideMark/>
          </w:tcPr>
          <w:p w:rsidR="00F62A25" w:rsidRPr="00F62A25" w:rsidRDefault="00F62A25" w:rsidP="00F62A25">
            <w:pPr>
              <w:rPr>
                <w:rFonts w:ascii="Calibri" w:eastAsia="Times New Roman" w:hAnsi="Calibri" w:cs="Calibri"/>
                <w:color w:val="000000"/>
              </w:rPr>
            </w:pPr>
          </w:p>
        </w:tc>
        <w:tc>
          <w:tcPr>
            <w:tcW w:w="1240" w:type="dxa"/>
            <w:vMerge/>
            <w:tcBorders>
              <w:top w:val="single" w:sz="4" w:space="0" w:color="auto"/>
              <w:left w:val="nil"/>
              <w:bottom w:val="nil"/>
              <w:right w:val="nil"/>
            </w:tcBorders>
            <w:vAlign w:val="center"/>
            <w:hideMark/>
          </w:tcPr>
          <w:p w:rsidR="00F62A25" w:rsidRPr="00F62A25" w:rsidRDefault="00F62A25" w:rsidP="00F62A25">
            <w:pPr>
              <w:rPr>
                <w:rFonts w:ascii="Calibri" w:eastAsia="Times New Roman" w:hAnsi="Calibri" w:cs="Calibri"/>
                <w:color w:val="000000"/>
              </w:rPr>
            </w:pPr>
          </w:p>
        </w:tc>
      </w:tr>
      <w:tr w:rsidR="00F62A25" w:rsidRPr="00F62A25" w:rsidTr="00F62A25">
        <w:trPr>
          <w:trHeight w:val="288"/>
          <w:jc w:val="center"/>
        </w:trPr>
        <w:tc>
          <w:tcPr>
            <w:tcW w:w="1640" w:type="dxa"/>
            <w:tcBorders>
              <w:top w:val="single" w:sz="4" w:space="0" w:color="auto"/>
              <w:left w:val="nil"/>
              <w:bottom w:val="nil"/>
              <w:right w:val="nil"/>
            </w:tcBorders>
            <w:shd w:val="clear" w:color="auto" w:fill="auto"/>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WCS</w:t>
            </w:r>
          </w:p>
        </w:tc>
        <w:tc>
          <w:tcPr>
            <w:tcW w:w="1240" w:type="dxa"/>
            <w:tcBorders>
              <w:top w:val="single" w:sz="4" w:space="0" w:color="auto"/>
              <w:left w:val="nil"/>
              <w:bottom w:val="nil"/>
              <w:right w:val="nil"/>
            </w:tcBorders>
            <w:shd w:val="clear" w:color="auto" w:fill="auto"/>
            <w:noWrap/>
            <w:vAlign w:val="center"/>
            <w:hideMark/>
          </w:tcPr>
          <w:p w:rsidR="00F62A25" w:rsidRPr="00F62A25" w:rsidRDefault="00F62A25" w:rsidP="00F62A25">
            <w:pPr>
              <w:jc w:val="center"/>
              <w:rPr>
                <w:rFonts w:ascii="Lucida Console" w:eastAsia="Times New Roman" w:hAnsi="Lucida Console" w:cs="Calibri"/>
                <w:color w:val="000000"/>
                <w:sz w:val="20"/>
                <w:szCs w:val="20"/>
              </w:rPr>
            </w:pPr>
            <w:r w:rsidRPr="00F62A25">
              <w:rPr>
                <w:rFonts w:ascii="Lucida Console" w:eastAsia="Times New Roman" w:hAnsi="Lucida Console" w:cs="Calibri"/>
                <w:color w:val="000000"/>
                <w:sz w:val="20"/>
                <w:szCs w:val="20"/>
              </w:rPr>
              <w:t>5.12E-14</w:t>
            </w:r>
          </w:p>
        </w:tc>
      </w:tr>
      <w:tr w:rsidR="00F62A25" w:rsidRPr="00F62A25" w:rsidTr="00F62A25">
        <w:trPr>
          <w:trHeight w:val="288"/>
          <w:jc w:val="center"/>
        </w:trPr>
        <w:tc>
          <w:tcPr>
            <w:tcW w:w="16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WTI</w:t>
            </w:r>
          </w:p>
        </w:tc>
        <w:tc>
          <w:tcPr>
            <w:tcW w:w="12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Lucida Console" w:eastAsia="Times New Roman" w:hAnsi="Lucida Console" w:cs="Calibri"/>
                <w:color w:val="000000"/>
                <w:sz w:val="20"/>
                <w:szCs w:val="20"/>
              </w:rPr>
            </w:pPr>
            <w:r w:rsidRPr="00F62A25">
              <w:rPr>
                <w:rFonts w:ascii="Lucida Console" w:eastAsia="Times New Roman" w:hAnsi="Lucida Console" w:cs="Calibri"/>
                <w:color w:val="000000"/>
                <w:sz w:val="20"/>
                <w:szCs w:val="20"/>
              </w:rPr>
              <w:t>1.39E-12</w:t>
            </w:r>
          </w:p>
        </w:tc>
      </w:tr>
      <w:tr w:rsidR="00F62A25" w:rsidRPr="00F62A25" w:rsidTr="00F62A25">
        <w:trPr>
          <w:trHeight w:val="288"/>
          <w:jc w:val="center"/>
        </w:trPr>
        <w:tc>
          <w:tcPr>
            <w:tcW w:w="16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MAYA</w:t>
            </w:r>
          </w:p>
        </w:tc>
        <w:tc>
          <w:tcPr>
            <w:tcW w:w="12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1.62E-10</w:t>
            </w:r>
          </w:p>
        </w:tc>
      </w:tr>
      <w:tr w:rsidR="00F62A25" w:rsidRPr="00F62A25" w:rsidTr="00F62A25">
        <w:trPr>
          <w:trHeight w:val="288"/>
          <w:jc w:val="center"/>
        </w:trPr>
        <w:tc>
          <w:tcPr>
            <w:tcW w:w="16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EXCH</w:t>
            </w:r>
          </w:p>
        </w:tc>
        <w:tc>
          <w:tcPr>
            <w:tcW w:w="12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1.48E-11</w:t>
            </w:r>
          </w:p>
        </w:tc>
      </w:tr>
      <w:tr w:rsidR="00F62A25" w:rsidRPr="00F62A25" w:rsidTr="00F62A25">
        <w:trPr>
          <w:trHeight w:val="288"/>
          <w:jc w:val="center"/>
        </w:trPr>
        <w:tc>
          <w:tcPr>
            <w:tcW w:w="16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PADDII</w:t>
            </w:r>
          </w:p>
        </w:tc>
        <w:tc>
          <w:tcPr>
            <w:tcW w:w="1240" w:type="dxa"/>
            <w:tcBorders>
              <w:top w:val="nil"/>
              <w:left w:val="nil"/>
              <w:bottom w:val="nil"/>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2.20E-16</w:t>
            </w:r>
          </w:p>
        </w:tc>
      </w:tr>
      <w:tr w:rsidR="00F62A25" w:rsidRPr="00F62A25" w:rsidTr="00F62A25">
        <w:trPr>
          <w:trHeight w:val="288"/>
          <w:jc w:val="center"/>
        </w:trPr>
        <w:tc>
          <w:tcPr>
            <w:tcW w:w="1640" w:type="dxa"/>
            <w:tcBorders>
              <w:top w:val="nil"/>
              <w:left w:val="nil"/>
              <w:bottom w:val="single" w:sz="4" w:space="0" w:color="auto"/>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PADDIII</w:t>
            </w:r>
          </w:p>
        </w:tc>
        <w:tc>
          <w:tcPr>
            <w:tcW w:w="1240" w:type="dxa"/>
            <w:tcBorders>
              <w:top w:val="nil"/>
              <w:left w:val="nil"/>
              <w:bottom w:val="single" w:sz="4" w:space="0" w:color="auto"/>
              <w:right w:val="nil"/>
            </w:tcBorders>
            <w:shd w:val="clear" w:color="auto" w:fill="auto"/>
            <w:noWrap/>
            <w:vAlign w:val="center"/>
            <w:hideMark/>
          </w:tcPr>
          <w:p w:rsidR="00F62A25" w:rsidRPr="00F62A25" w:rsidRDefault="00F62A25" w:rsidP="00F62A25">
            <w:pPr>
              <w:jc w:val="center"/>
              <w:rPr>
                <w:rFonts w:ascii="Calibri" w:eastAsia="Times New Roman" w:hAnsi="Calibri" w:cs="Calibri"/>
                <w:color w:val="000000"/>
              </w:rPr>
            </w:pPr>
            <w:r w:rsidRPr="00F62A25">
              <w:rPr>
                <w:rFonts w:ascii="Calibri" w:eastAsia="Times New Roman" w:hAnsi="Calibri" w:cs="Calibri"/>
                <w:color w:val="000000"/>
              </w:rPr>
              <w:t>2.20E-16</w:t>
            </w:r>
          </w:p>
        </w:tc>
      </w:tr>
    </w:tbl>
    <w:p w:rsidR="00F62A25" w:rsidRPr="00480DD4" w:rsidRDefault="00480DD4" w:rsidP="00480DD4">
      <w:pPr>
        <w:tabs>
          <w:tab w:val="left" w:pos="1200"/>
        </w:tabs>
        <w:jc w:val="center"/>
        <w:rPr>
          <w:rFonts w:asciiTheme="majorHAnsi" w:hAnsiTheme="majorHAnsi" w:cstheme="majorHAnsi"/>
          <w:sz w:val="20"/>
          <w:szCs w:val="20"/>
        </w:rPr>
      </w:pPr>
      <w:r>
        <w:rPr>
          <w:rFonts w:asciiTheme="majorHAnsi" w:hAnsiTheme="majorHAnsi" w:cstheme="majorHAnsi"/>
          <w:sz w:val="20"/>
          <w:szCs w:val="20"/>
        </w:rPr>
        <w:t>Table 1. The p values of the ADF of each variable.</w:t>
      </w:r>
    </w:p>
    <w:p w:rsidR="00480DD4" w:rsidRDefault="00480DD4" w:rsidP="00392FCB">
      <w:pPr>
        <w:tabs>
          <w:tab w:val="left" w:pos="1200"/>
        </w:tabs>
        <w:jc w:val="both"/>
        <w:rPr>
          <w:rFonts w:asciiTheme="majorHAnsi" w:hAnsiTheme="majorHAnsi" w:cstheme="majorHAnsi"/>
        </w:rPr>
      </w:pPr>
    </w:p>
    <w:p w:rsidR="00480DD4" w:rsidRDefault="00480DD4" w:rsidP="00392FCB">
      <w:pPr>
        <w:tabs>
          <w:tab w:val="left" w:pos="1200"/>
        </w:tabs>
        <w:jc w:val="both"/>
        <w:rPr>
          <w:rFonts w:asciiTheme="majorHAnsi" w:hAnsiTheme="majorHAnsi" w:cstheme="majorHAnsi"/>
        </w:rPr>
      </w:pPr>
      <w:r>
        <w:rPr>
          <w:rFonts w:asciiTheme="majorHAnsi" w:hAnsiTheme="majorHAnsi" w:cstheme="majorHAnsi"/>
        </w:rPr>
        <w:t>F</w:t>
      </w:r>
      <w:bookmarkStart w:id="0" w:name="_GoBack"/>
      <w:bookmarkEnd w:id="0"/>
    </w:p>
    <w:p w:rsidR="00480DD4" w:rsidRDefault="00480DD4" w:rsidP="00392FCB">
      <w:pPr>
        <w:tabs>
          <w:tab w:val="left" w:pos="1200"/>
        </w:tabs>
        <w:jc w:val="both"/>
        <w:rPr>
          <w:rFonts w:asciiTheme="majorHAnsi" w:hAnsiTheme="majorHAnsi" w:cstheme="majorHAnsi"/>
        </w:rPr>
      </w:pPr>
    </w:p>
    <w:p w:rsidR="00480DD4" w:rsidRPr="00F62A25" w:rsidRDefault="00480DD4" w:rsidP="00392FCB">
      <w:pPr>
        <w:tabs>
          <w:tab w:val="left" w:pos="1200"/>
        </w:tabs>
        <w:jc w:val="both"/>
        <w:rPr>
          <w:rFonts w:asciiTheme="majorHAnsi" w:hAnsiTheme="majorHAnsi" w:cstheme="majorHAnsi"/>
        </w:rPr>
      </w:pPr>
    </w:p>
    <w:p w:rsidR="00392FCB" w:rsidRPr="00137B83" w:rsidRDefault="00392FCB" w:rsidP="00392FCB">
      <w:pPr>
        <w:jc w:val="both"/>
        <w:rPr>
          <w:rFonts w:asciiTheme="majorHAnsi" w:hAnsiTheme="majorHAnsi" w:cstheme="majorHAnsi"/>
          <w:sz w:val="12"/>
          <w:szCs w:val="12"/>
        </w:rPr>
      </w:pPr>
    </w:p>
    <w:p w:rsidR="00392FCB" w:rsidRDefault="00392FCB" w:rsidP="00392FCB">
      <w:pPr>
        <w:jc w:val="both"/>
        <w:rPr>
          <w:rFonts w:asciiTheme="majorHAnsi" w:hAnsiTheme="majorHAnsi" w:cstheme="majorHAnsi"/>
          <w:b/>
          <w:sz w:val="24"/>
          <w:szCs w:val="24"/>
        </w:rPr>
      </w:pPr>
      <w:r>
        <w:rPr>
          <w:rFonts w:asciiTheme="majorHAnsi" w:hAnsiTheme="majorHAnsi" w:cstheme="majorHAnsi"/>
          <w:b/>
          <w:sz w:val="24"/>
          <w:szCs w:val="24"/>
        </w:rPr>
        <w:t>Discussion</w:t>
      </w:r>
    </w:p>
    <w:p w:rsidR="00392FCB" w:rsidRPr="00137B83" w:rsidRDefault="00392FCB" w:rsidP="00392FCB">
      <w:pPr>
        <w:jc w:val="both"/>
        <w:rPr>
          <w:rFonts w:asciiTheme="majorHAnsi" w:hAnsiTheme="majorHAnsi" w:cstheme="majorHAnsi"/>
          <w:sz w:val="6"/>
          <w:szCs w:val="6"/>
        </w:rPr>
      </w:pPr>
    </w:p>
    <w:p w:rsidR="00392FCB" w:rsidRPr="00C4090C" w:rsidRDefault="00392FCB" w:rsidP="00392FCB">
      <w:pPr>
        <w:jc w:val="both"/>
        <w:rPr>
          <w:rFonts w:asciiTheme="majorHAnsi" w:hAnsiTheme="majorHAnsi" w:cstheme="majorHAnsi"/>
        </w:rPr>
      </w:pPr>
    </w:p>
    <w:p w:rsidR="00392FCB" w:rsidRPr="00137B83" w:rsidRDefault="00392FCB" w:rsidP="00392FCB">
      <w:pPr>
        <w:jc w:val="both"/>
        <w:rPr>
          <w:rFonts w:asciiTheme="majorHAnsi" w:hAnsiTheme="majorHAnsi" w:cstheme="majorHAnsi"/>
          <w:sz w:val="12"/>
          <w:szCs w:val="12"/>
        </w:rPr>
      </w:pPr>
    </w:p>
    <w:p w:rsidR="00392FCB" w:rsidRDefault="00392FCB" w:rsidP="00392FCB">
      <w:pPr>
        <w:jc w:val="both"/>
        <w:rPr>
          <w:rFonts w:asciiTheme="majorHAnsi" w:hAnsiTheme="majorHAnsi" w:cstheme="majorHAnsi"/>
          <w:b/>
          <w:sz w:val="24"/>
          <w:szCs w:val="24"/>
        </w:rPr>
      </w:pPr>
      <w:r>
        <w:rPr>
          <w:rFonts w:asciiTheme="majorHAnsi" w:hAnsiTheme="majorHAnsi" w:cstheme="majorHAnsi"/>
          <w:b/>
          <w:sz w:val="24"/>
          <w:szCs w:val="24"/>
        </w:rPr>
        <w:t>Conclusion</w:t>
      </w:r>
    </w:p>
    <w:p w:rsidR="00392FCB" w:rsidRPr="00137B83" w:rsidRDefault="00392FCB" w:rsidP="00392FCB">
      <w:pPr>
        <w:jc w:val="both"/>
        <w:rPr>
          <w:rFonts w:asciiTheme="majorHAnsi" w:hAnsiTheme="majorHAnsi" w:cstheme="majorHAnsi"/>
          <w:b/>
          <w:sz w:val="6"/>
          <w:szCs w:val="6"/>
        </w:rPr>
      </w:pPr>
    </w:p>
    <w:p w:rsidR="00392FCB" w:rsidRPr="00C4090C" w:rsidRDefault="00392FCB" w:rsidP="00392FCB">
      <w:pPr>
        <w:jc w:val="both"/>
        <w:rPr>
          <w:rFonts w:asciiTheme="majorHAnsi" w:hAnsiTheme="majorHAnsi" w:cstheme="majorHAnsi"/>
          <w:b/>
        </w:rPr>
      </w:pPr>
    </w:p>
    <w:p w:rsidR="00392FCB" w:rsidRPr="00137B83" w:rsidRDefault="00392FCB" w:rsidP="00392FCB">
      <w:pPr>
        <w:jc w:val="both"/>
        <w:rPr>
          <w:rFonts w:asciiTheme="majorHAnsi" w:hAnsiTheme="majorHAnsi" w:cstheme="majorHAnsi"/>
          <w:b/>
          <w:sz w:val="12"/>
          <w:szCs w:val="12"/>
        </w:rPr>
      </w:pPr>
    </w:p>
    <w:p w:rsidR="00392FCB" w:rsidRDefault="00392FCB" w:rsidP="00392FCB">
      <w:pPr>
        <w:jc w:val="both"/>
        <w:rPr>
          <w:rFonts w:asciiTheme="majorHAnsi" w:hAnsiTheme="majorHAnsi" w:cstheme="majorHAnsi"/>
          <w:b/>
          <w:sz w:val="24"/>
          <w:szCs w:val="24"/>
        </w:rPr>
      </w:pPr>
      <w:r>
        <w:rPr>
          <w:rFonts w:asciiTheme="majorHAnsi" w:hAnsiTheme="majorHAnsi" w:cstheme="majorHAnsi"/>
          <w:b/>
          <w:sz w:val="24"/>
          <w:szCs w:val="24"/>
        </w:rPr>
        <w:t>Appendix</w:t>
      </w:r>
    </w:p>
    <w:p w:rsidR="00392FCB" w:rsidRPr="00137B83" w:rsidRDefault="00392FCB" w:rsidP="00392FCB">
      <w:pPr>
        <w:jc w:val="both"/>
        <w:rPr>
          <w:rFonts w:asciiTheme="majorHAnsi" w:hAnsiTheme="majorHAnsi" w:cstheme="majorHAnsi"/>
          <w:b/>
          <w:sz w:val="6"/>
          <w:szCs w:val="6"/>
        </w:rPr>
      </w:pPr>
    </w:p>
    <w:p w:rsidR="00392FCB" w:rsidRPr="00C4090C" w:rsidRDefault="00392FCB" w:rsidP="00392FCB">
      <w:pPr>
        <w:jc w:val="both"/>
        <w:rPr>
          <w:rFonts w:asciiTheme="majorHAnsi" w:hAnsiTheme="majorHAnsi" w:cstheme="majorHAnsi"/>
          <w:b/>
        </w:rPr>
      </w:pPr>
    </w:p>
    <w:p w:rsidR="00392FCB" w:rsidRPr="00137B83" w:rsidRDefault="00392FCB" w:rsidP="00392FCB">
      <w:pPr>
        <w:jc w:val="both"/>
        <w:rPr>
          <w:rFonts w:asciiTheme="majorHAnsi" w:hAnsiTheme="majorHAnsi" w:cstheme="majorHAnsi"/>
          <w:b/>
          <w:sz w:val="12"/>
          <w:szCs w:val="12"/>
        </w:rPr>
      </w:pPr>
    </w:p>
    <w:p w:rsidR="00392FCB" w:rsidRDefault="00392FCB" w:rsidP="00392FCB">
      <w:pPr>
        <w:jc w:val="both"/>
        <w:rPr>
          <w:rFonts w:asciiTheme="majorHAnsi" w:hAnsiTheme="majorHAnsi" w:cstheme="majorHAnsi"/>
          <w:b/>
          <w:sz w:val="24"/>
          <w:szCs w:val="24"/>
        </w:rPr>
      </w:pPr>
      <w:r>
        <w:rPr>
          <w:rFonts w:asciiTheme="majorHAnsi" w:hAnsiTheme="majorHAnsi" w:cstheme="majorHAnsi"/>
          <w:b/>
          <w:sz w:val="24"/>
          <w:szCs w:val="24"/>
        </w:rPr>
        <w:t>References</w:t>
      </w:r>
    </w:p>
    <w:p w:rsidR="00392FCB" w:rsidRDefault="00392FCB" w:rsidP="00392FCB">
      <w:pPr>
        <w:pStyle w:val="ListParagraph"/>
        <w:numPr>
          <w:ilvl w:val="0"/>
          <w:numId w:val="1"/>
        </w:numPr>
        <w:jc w:val="both"/>
        <w:rPr>
          <w:rFonts w:asciiTheme="majorHAnsi" w:hAnsiTheme="majorHAnsi" w:cstheme="majorHAnsi"/>
          <w:b/>
          <w:sz w:val="24"/>
          <w:szCs w:val="24"/>
        </w:rPr>
      </w:pPr>
      <w:r>
        <w:rPr>
          <w:rFonts w:asciiTheme="majorHAnsi" w:hAnsiTheme="majorHAnsi" w:cstheme="majorHAnsi"/>
          <w:b/>
          <w:sz w:val="24"/>
          <w:szCs w:val="24"/>
        </w:rPr>
        <w:t>Data sources</w:t>
      </w:r>
    </w:p>
    <w:p w:rsidR="00392FCB" w:rsidRDefault="00392FCB" w:rsidP="00392FCB">
      <w:pPr>
        <w:pStyle w:val="ListParagraph"/>
        <w:numPr>
          <w:ilvl w:val="1"/>
          <w:numId w:val="1"/>
        </w:numPr>
        <w:jc w:val="both"/>
      </w:pPr>
      <w:hyperlink r:id="rId7" w:history="1">
        <w:r w:rsidRPr="00C84091">
          <w:rPr>
            <w:rStyle w:val="Hyperlink"/>
          </w:rPr>
          <w:t>https://economicdashboard.alberta.ca/OilPrice</w:t>
        </w:r>
      </w:hyperlink>
    </w:p>
    <w:p w:rsidR="00392FCB" w:rsidRDefault="00392FCB" w:rsidP="00392FCB">
      <w:pPr>
        <w:pStyle w:val="ListParagraph"/>
        <w:numPr>
          <w:ilvl w:val="1"/>
          <w:numId w:val="1"/>
        </w:numPr>
        <w:jc w:val="both"/>
      </w:pPr>
      <w:hyperlink r:id="rId8" w:history="1">
        <w:r w:rsidRPr="00C84091">
          <w:rPr>
            <w:rStyle w:val="Hyperlink"/>
          </w:rPr>
          <w:t>https://www.eia.gov/dnav/pet/hist/LeafHandler.ashx?n=PET&amp;s=MCRIMUSCA1&amp;f=M</w:t>
        </w:r>
      </w:hyperlink>
    </w:p>
    <w:p w:rsidR="00392FCB" w:rsidRDefault="00392FCB" w:rsidP="00392FCB">
      <w:pPr>
        <w:pStyle w:val="ListParagraph"/>
        <w:numPr>
          <w:ilvl w:val="1"/>
          <w:numId w:val="1"/>
        </w:numPr>
        <w:jc w:val="both"/>
      </w:pPr>
      <w:r w:rsidRPr="00E11963">
        <w:lastRenderedPageBreak/>
        <w:t>Statistics Canada. Table 25-10-0056-01 Canadian pipeline transport of oil and other liquid petroleum products, monthly (cubic metres)</w:t>
      </w:r>
    </w:p>
    <w:p w:rsidR="00392FCB" w:rsidRDefault="00392FCB" w:rsidP="00392FCB">
      <w:pPr>
        <w:pStyle w:val="ListParagraph"/>
        <w:numPr>
          <w:ilvl w:val="2"/>
          <w:numId w:val="1"/>
        </w:numPr>
        <w:jc w:val="both"/>
      </w:pPr>
      <w:hyperlink r:id="rId9" w:history="1">
        <w:r w:rsidRPr="00C84091">
          <w:rPr>
            <w:rStyle w:val="Hyperlink"/>
          </w:rPr>
          <w:t>https://www150.statcan.gc.ca/t1/tbl1/en/tv.action?pid=2510005601</w:t>
        </w:r>
      </w:hyperlink>
      <w:r>
        <w:t xml:space="preserve"> </w:t>
      </w:r>
    </w:p>
    <w:p w:rsidR="00392FCB" w:rsidRDefault="00392FCB" w:rsidP="00392FCB">
      <w:pPr>
        <w:pStyle w:val="ListParagraph"/>
        <w:numPr>
          <w:ilvl w:val="1"/>
          <w:numId w:val="1"/>
        </w:numPr>
        <w:jc w:val="both"/>
      </w:pPr>
      <w:hyperlink r:id="rId10" w:history="1">
        <w:r w:rsidRPr="00C84091">
          <w:rPr>
            <w:rStyle w:val="Hyperlink"/>
          </w:rPr>
          <w:t>http://www.aopl.org/resources/pipeline-basics/about-pipelines/</w:t>
        </w:r>
      </w:hyperlink>
    </w:p>
    <w:p w:rsidR="00392FCB" w:rsidRPr="001B4A75" w:rsidRDefault="00392FCB" w:rsidP="00392FCB">
      <w:pPr>
        <w:pStyle w:val="ListParagraph"/>
        <w:numPr>
          <w:ilvl w:val="1"/>
          <w:numId w:val="1"/>
        </w:numPr>
        <w:jc w:val="both"/>
        <w:rPr>
          <w:rStyle w:val="Hyperlink"/>
          <w:color w:val="auto"/>
          <w:u w:val="none"/>
        </w:rPr>
      </w:pPr>
      <w:hyperlink r:id="rId11" w:history="1">
        <w:r w:rsidRPr="00C84091">
          <w:rPr>
            <w:rStyle w:val="Hyperlink"/>
          </w:rPr>
          <w:t>https://www.neb-one.gc.ca/nrg/sttstc/crdlndptrlmprdct/stt/cndncrdlxprtsrl-eng.html</w:t>
        </w:r>
      </w:hyperlink>
    </w:p>
    <w:p w:rsidR="00392FCB" w:rsidRDefault="00392FCB" w:rsidP="00392FCB">
      <w:pPr>
        <w:pStyle w:val="ListParagraph"/>
        <w:numPr>
          <w:ilvl w:val="1"/>
          <w:numId w:val="1"/>
        </w:numPr>
        <w:jc w:val="both"/>
      </w:pPr>
      <w:hyperlink r:id="rId12" w:history="1">
        <w:r w:rsidRPr="00D40D23">
          <w:rPr>
            <w:rStyle w:val="Hyperlink"/>
          </w:rPr>
          <w:t>https://fred.stlouisfed.org/series/EXCAUS</w:t>
        </w:r>
      </w:hyperlink>
    </w:p>
    <w:p w:rsidR="00392FCB" w:rsidRDefault="00392FCB" w:rsidP="00392FCB">
      <w:pPr>
        <w:pStyle w:val="ListParagraph"/>
        <w:numPr>
          <w:ilvl w:val="1"/>
          <w:numId w:val="1"/>
        </w:numPr>
        <w:jc w:val="both"/>
      </w:pPr>
      <w:hyperlink r:id="rId13" w:history="1">
        <w:r w:rsidRPr="00D40D23">
          <w:rPr>
            <w:rStyle w:val="Hyperlink"/>
          </w:rPr>
          <w:t>https://www.eia.gov/dnav/pet/hist/LeafHandler.ashx?n=PET&amp;s=MOPUEP22&amp;f=M</w:t>
        </w:r>
      </w:hyperlink>
    </w:p>
    <w:p w:rsidR="00392FCB" w:rsidRDefault="00392FCB" w:rsidP="00392FCB">
      <w:pPr>
        <w:pStyle w:val="ListParagraph"/>
        <w:numPr>
          <w:ilvl w:val="1"/>
          <w:numId w:val="1"/>
        </w:numPr>
        <w:jc w:val="both"/>
      </w:pPr>
      <w:hyperlink r:id="rId14" w:history="1">
        <w:r w:rsidRPr="00D40D23">
          <w:rPr>
            <w:rStyle w:val="Hyperlink"/>
          </w:rPr>
          <w:t>https://www.eia.gov/dnav/pet/hist/LeafHandler.ashx?n=PET&amp;s=MOPUEP32&amp;f=M</w:t>
        </w:r>
      </w:hyperlink>
    </w:p>
    <w:p w:rsidR="00392FCB" w:rsidRDefault="00392FCB" w:rsidP="00392FCB">
      <w:pPr>
        <w:pStyle w:val="ListParagraph"/>
        <w:numPr>
          <w:ilvl w:val="0"/>
          <w:numId w:val="1"/>
        </w:numPr>
        <w:jc w:val="both"/>
      </w:pPr>
      <w:r>
        <w:rPr>
          <w:b/>
        </w:rPr>
        <w:t>Other</w:t>
      </w:r>
    </w:p>
    <w:p w:rsidR="00392FCB" w:rsidRPr="001F2B33" w:rsidRDefault="00392FCB" w:rsidP="00392FCB">
      <w:pPr>
        <w:pStyle w:val="ListParagraph"/>
        <w:numPr>
          <w:ilvl w:val="0"/>
          <w:numId w:val="1"/>
        </w:numPr>
        <w:jc w:val="both"/>
      </w:pPr>
    </w:p>
    <w:p w:rsidR="009926C8" w:rsidRDefault="009926C8"/>
    <w:sectPr w:rsidR="00992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F5AB5"/>
    <w:multiLevelType w:val="hybridMultilevel"/>
    <w:tmpl w:val="C5C6F010"/>
    <w:lvl w:ilvl="0" w:tplc="BE00BD4C">
      <w:numFmt w:val="bullet"/>
      <w:lvlText w:val="-"/>
      <w:lvlJc w:val="left"/>
      <w:pPr>
        <w:ind w:left="720" w:hanging="360"/>
      </w:pPr>
      <w:rPr>
        <w:rFonts w:ascii="Calibri Light" w:eastAsiaTheme="minorEastAsia" w:hAnsi="Calibri Light" w:cs="Calibri Light"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CB"/>
    <w:rsid w:val="00392FCB"/>
    <w:rsid w:val="00480DD4"/>
    <w:rsid w:val="009926C8"/>
    <w:rsid w:val="00AC16E2"/>
    <w:rsid w:val="00D2720E"/>
    <w:rsid w:val="00F62A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405D6-C627-4CF5-B23E-EFFC6116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CB"/>
    <w:pPr>
      <w:ind w:left="720"/>
      <w:contextualSpacing/>
    </w:pPr>
  </w:style>
  <w:style w:type="character" w:styleId="Hyperlink">
    <w:name w:val="Hyperlink"/>
    <w:basedOn w:val="DefaultParagraphFont"/>
    <w:uiPriority w:val="99"/>
    <w:unhideWhenUsed/>
    <w:rsid w:val="00392FCB"/>
    <w:rPr>
      <w:color w:val="0563C1" w:themeColor="hyperlink"/>
      <w:u w:val="single"/>
    </w:rPr>
  </w:style>
  <w:style w:type="paragraph" w:styleId="HTMLPreformatted">
    <w:name w:val="HTML Preformatted"/>
    <w:basedOn w:val="Normal"/>
    <w:link w:val="HTMLPreformattedChar"/>
    <w:uiPriority w:val="99"/>
    <w:semiHidden/>
    <w:unhideWhenUsed/>
    <w:rsid w:val="0039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FCB"/>
    <w:rPr>
      <w:rFonts w:ascii="Courier New" w:eastAsia="Times New Roman" w:hAnsi="Courier New" w:cs="Courier New"/>
      <w:sz w:val="20"/>
      <w:szCs w:val="20"/>
    </w:rPr>
  </w:style>
  <w:style w:type="character" w:customStyle="1" w:styleId="gnkrckgcgsb">
    <w:name w:val="gnkrckgcgsb"/>
    <w:basedOn w:val="DefaultParagraphFont"/>
    <w:rsid w:val="00392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dnav/pet/hist/LeafHandler.ashx?n=PET&amp;s=MCRIMUSCA1&amp;f=M" TargetMode="External"/><Relationship Id="rId13" Type="http://schemas.openxmlformats.org/officeDocument/2006/relationships/hyperlink" Target="https://www.eia.gov/dnav/pet/hist/LeafHandler.ashx?n=PET&amp;s=MOPUEP22&amp;f=M" TargetMode="External"/><Relationship Id="rId3" Type="http://schemas.openxmlformats.org/officeDocument/2006/relationships/settings" Target="settings.xml"/><Relationship Id="rId7" Type="http://schemas.openxmlformats.org/officeDocument/2006/relationships/hyperlink" Target="https://economicdashboard.alberta.ca/OilPrice" TargetMode="External"/><Relationship Id="rId12" Type="http://schemas.openxmlformats.org/officeDocument/2006/relationships/hyperlink" Target="https://fred.stlouisfed.org/series/EXCA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b-one.gc.ca/nrg/sttstc/crdlndptrlmprdct/stt/cndncrdlxprtsrl-eng.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opl.org/resources/pipeline-basics/about-pipelines/" TargetMode="External"/><Relationship Id="rId4" Type="http://schemas.openxmlformats.org/officeDocument/2006/relationships/webSettings" Target="webSettings.xml"/><Relationship Id="rId9" Type="http://schemas.openxmlformats.org/officeDocument/2006/relationships/hyperlink" Target="https://www150.statcan.gc.ca/t1/tbl1/en/tv.action?pid=2510005601" TargetMode="External"/><Relationship Id="rId14" Type="http://schemas.openxmlformats.org/officeDocument/2006/relationships/hyperlink" Target="https://www.eia.gov/dnav/pet/hist/LeafHandler.ashx?n=PET&amp;s=MOPUEP32&amp;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2018-11-13T20:00:00Z</dcterms:created>
  <dcterms:modified xsi:type="dcterms:W3CDTF">2018-11-13T20:48:00Z</dcterms:modified>
</cp:coreProperties>
</file>