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GOV-001 – Enterprise Information Security Governance Manual</w:t>
      </w:r>
    </w:p>
    <w:p>
      <w:pPr>
        <w:jc w:val="center"/>
      </w:pPr>
      <w:r>
        <w:rPr>
          <w:b/>
        </w:rPr>
        <w:t>Chapter 2</w:t>
        <w:br/>
      </w:r>
      <w:r>
        <w:t>Enterprise Information Security Governance Framework</w:t>
        <w:br/>
        <w:t>Section 2.1 – Governance Philosophy</w:t>
      </w:r>
    </w:p>
    <w:p>
      <w:pPr>
        <w:pStyle w:val="Heading2"/>
      </w:pPr>
      <w:r>
        <w:t>2.1.1 Purpose</w:t>
      </w:r>
    </w:p>
    <w:p>
      <w:r>
        <w:t>The Enterprise Information Security Governance Framework establishes the strategic direction, leadership, accountability, and oversight necessary to protect Apex Financial Services' information assets. It aligns cybersecurity initiatives with business objectives while ensuring information security risks are managed consistently across the enterprise. Information security governance supports the Information Security Management System (ISMS) by defining decision-making authority, assigning accountability, and establishing processes for continual improvement.</w:t>
      </w:r>
    </w:p>
    <w:p>
      <w:pPr>
        <w:pStyle w:val="Heading2"/>
      </w:pPr>
      <w:r>
        <w:t>2.1.2 Governance Philosophy</w:t>
      </w:r>
    </w:p>
    <w:p>
      <w:r>
        <w:t>Apex Financial Services recognizes cybersecurity as a strategic business capability rather than solely a technical function.</w:t>
      </w:r>
    </w:p>
    <w:p>
      <w:pPr>
        <w:pStyle w:val="ListBullet"/>
      </w:pPr>
      <w:r>
        <w:t>Information security supports the organization's strategic business objectives.</w:t>
      </w:r>
    </w:p>
    <w:p>
      <w:pPr>
        <w:pStyle w:val="ListBullet"/>
      </w:pPr>
      <w:r>
        <w:t>Cybersecurity risks are managed using a structured, risk-based methodology.</w:t>
      </w:r>
    </w:p>
    <w:p>
      <w:pPr>
        <w:pStyle w:val="ListBullet"/>
      </w:pPr>
      <w:r>
        <w:t>Executive leadership maintains overall accountability for information security governance.</w:t>
      </w:r>
    </w:p>
    <w:p>
      <w:pPr>
        <w:pStyle w:val="ListBullet"/>
      </w:pPr>
      <w:r>
        <w:t>Information security responsibilities are shared across all organizational levels.</w:t>
      </w:r>
    </w:p>
    <w:p>
      <w:pPr>
        <w:pStyle w:val="ListBullet"/>
      </w:pPr>
      <w:r>
        <w:t>Governance decisions are evidence-based.</w:t>
      </w:r>
    </w:p>
    <w:p>
      <w:pPr>
        <w:pStyle w:val="ListBullet"/>
      </w:pPr>
      <w:r>
        <w:t>Compliance with legal, regulatory, and contractual obligations is mandatory.</w:t>
      </w:r>
    </w:p>
    <w:p>
      <w:pPr>
        <w:pStyle w:val="Heading2"/>
      </w:pPr>
      <w:r>
        <w:t>2.1.3 Governance Vision</w:t>
      </w:r>
    </w:p>
    <w:p>
      <w:r>
        <w:t>To establish a resilient, trusted, and secure organization where information security enables innovation and supports sustainable business growth.</w:t>
      </w:r>
    </w:p>
    <w:p>
      <w:pPr>
        <w:pStyle w:val="Heading2"/>
      </w:pPr>
      <w:r>
        <w:t>2.1.4 Governance Mission</w:t>
      </w:r>
    </w:p>
    <w:p>
      <w:pPr>
        <w:pStyle w:val="ListBullet"/>
      </w:pPr>
      <w:r>
        <w:t>Protect confidentiality, integrity, and availability.</w:t>
      </w:r>
    </w:p>
    <w:p>
      <w:pPr>
        <w:pStyle w:val="ListBullet"/>
      </w:pPr>
      <w:r>
        <w:t>Support secure business operations.</w:t>
      </w:r>
    </w:p>
    <w:p>
      <w:pPr>
        <w:pStyle w:val="ListBullet"/>
      </w:pPr>
      <w:r>
        <w:t>Establish governance accountability.</w:t>
      </w:r>
    </w:p>
    <w:p>
      <w:pPr>
        <w:pStyle w:val="ListBullet"/>
      </w:pPr>
      <w:r>
        <w:t>Enable risk-informed executive decisions.</w:t>
      </w:r>
    </w:p>
    <w:p>
      <w:pPr>
        <w:pStyle w:val="ListBullet"/>
      </w:pPr>
      <w:r>
        <w:t>Maintain compliance.</w:t>
      </w:r>
    </w:p>
    <w:p>
      <w:pPr>
        <w:pStyle w:val="ListBullet"/>
      </w:pPr>
      <w:r>
        <w:t>Promote continual improvement.</w:t>
      </w:r>
    </w:p>
    <w:p>
      <w:pPr>
        <w:pStyle w:val="Heading2"/>
      </w:pPr>
      <w:r>
        <w:t>2.1.5 Strategic Governance Objectives</w:t>
      </w:r>
    </w:p>
    <w:p>
      <w:pPr>
        <w:pStyle w:val="ListBullet"/>
      </w:pPr>
      <w:r>
        <w:t>Business Alignment</w:t>
      </w:r>
    </w:p>
    <w:p>
      <w:pPr>
        <w:pStyle w:val="ListBullet"/>
      </w:pPr>
      <w:r>
        <w:t>Risk Management</w:t>
      </w:r>
    </w:p>
    <w:p>
      <w:pPr>
        <w:pStyle w:val="ListBullet"/>
      </w:pPr>
      <w:r>
        <w:t>Regulatory Compliance</w:t>
      </w:r>
    </w:p>
    <w:p>
      <w:pPr>
        <w:pStyle w:val="ListBullet"/>
      </w:pPr>
      <w:r>
        <w:t>Resource Optimization</w:t>
      </w:r>
    </w:p>
    <w:p>
      <w:pPr>
        <w:pStyle w:val="ListBullet"/>
      </w:pPr>
      <w:r>
        <w:t>Performance Measurement</w:t>
      </w:r>
    </w:p>
    <w:p>
      <w:pPr>
        <w:pStyle w:val="ListBullet"/>
      </w:pPr>
      <w:r>
        <w:t>Continuous Improvement</w:t>
      </w:r>
    </w:p>
    <w:p>
      <w:pPr>
        <w:pStyle w:val="Heading2"/>
      </w:pPr>
      <w:r>
        <w:t>2.1.6 Business Alignment</w:t>
      </w:r>
    </w:p>
    <w:p>
      <w:r>
        <w:t>Governance supports customer protection, operational resilience, regulatory compliance, secure transformation, and stakeholder confidence.</w:t>
      </w:r>
    </w:p>
    <w:p>
      <w:pPr>
        <w:pStyle w:val="Heading2"/>
      </w:pPr>
      <w:r>
        <w:t>2.1.7 Governance Principles</w:t>
      </w:r>
    </w:p>
    <w:p>
      <w:pPr>
        <w:pStyle w:val="ListBullet"/>
      </w:pPr>
      <w:r>
        <w:t>Accountability</w:t>
      </w:r>
    </w:p>
    <w:p>
      <w:pPr>
        <w:pStyle w:val="ListBullet"/>
      </w:pPr>
      <w:r>
        <w:t>Transparency</w:t>
      </w:r>
    </w:p>
    <w:p>
      <w:pPr>
        <w:pStyle w:val="ListBullet"/>
      </w:pPr>
      <w:r>
        <w:t>Risk-Based Decision Making</w:t>
      </w:r>
    </w:p>
    <w:p>
      <w:pPr>
        <w:pStyle w:val="ListBullet"/>
      </w:pPr>
      <w:r>
        <w:t>Continual Improvement</w:t>
      </w:r>
    </w:p>
    <w:p>
      <w:pPr>
        <w:pStyle w:val="ListBullet"/>
      </w:pPr>
      <w:r>
        <w:t>Business Integration</w:t>
      </w:r>
    </w:p>
    <w:p>
      <w:pPr>
        <w:pStyle w:val="ListBullet"/>
      </w:pPr>
      <w:r>
        <w:t>Compliance</w:t>
      </w:r>
    </w:p>
    <w:p>
      <w:pPr>
        <w:pStyle w:val="Heading2"/>
      </w:pPr>
      <w:r>
        <w:t>2.1.8 Expected Outcomes</w:t>
      </w:r>
    </w:p>
    <w:p>
      <w:pPr>
        <w:pStyle w:val="ListBullet"/>
      </w:pPr>
      <w:r>
        <w:t>Improved executive oversight</w:t>
      </w:r>
    </w:p>
    <w:p>
      <w:pPr>
        <w:pStyle w:val="ListBullet"/>
      </w:pPr>
      <w:r>
        <w:t>Reduced cybersecurity risk</w:t>
      </w:r>
    </w:p>
    <w:p>
      <w:pPr>
        <w:pStyle w:val="ListBullet"/>
      </w:pPr>
      <w:r>
        <w:t>Improved governance maturity</w:t>
      </w:r>
    </w:p>
    <w:p>
      <w:pPr>
        <w:pStyle w:val="ListBullet"/>
      </w:pPr>
      <w:r>
        <w:t>Enhanced business resilience</w:t>
      </w:r>
    </w:p>
    <w:p>
      <w:pPr>
        <w:pStyle w:val="Heading2"/>
      </w:pPr>
      <w:r>
        <w:t>2.1.9 Framework Alignment</w:t>
      </w:r>
    </w:p>
    <w:tbl>
      <w:tblPr>
        <w:tblStyle w:val="TableGrid"/>
        <w:tblW w:type="auto" w:w="0"/>
        <w:tblLook w:firstColumn="1" w:firstRow="1" w:lastColumn="0" w:lastRow="0" w:noHBand="0" w:noVBand="1" w:val="04A0"/>
      </w:tblPr>
      <w:tblGrid>
        <w:gridCol w:w="5040"/>
        <w:gridCol w:w="5040"/>
      </w:tblGrid>
      <w:tr>
        <w:tc>
          <w:tcPr>
            <w:tcW w:type="dxa" w:w="5040"/>
          </w:tcPr>
          <w:p>
            <w:r>
              <w:t>Framework</w:t>
            </w:r>
          </w:p>
        </w:tc>
        <w:tc>
          <w:tcPr>
            <w:tcW w:type="dxa" w:w="5040"/>
          </w:tcPr>
          <w:p>
            <w:r>
              <w:t>Alignment</w:t>
            </w:r>
          </w:p>
        </w:tc>
      </w:tr>
      <w:tr>
        <w:tc>
          <w:tcPr>
            <w:tcW w:type="dxa" w:w="5040"/>
          </w:tcPr>
          <w:p>
            <w:r>
              <w:t>NIST CSF 2.0</w:t>
            </w:r>
          </w:p>
        </w:tc>
        <w:tc>
          <w:tcPr>
            <w:tcW w:type="dxa" w:w="5040"/>
          </w:tcPr>
          <w:p>
            <w:r>
              <w:t>GV, ID, PR, DE, RS, RC</w:t>
            </w:r>
          </w:p>
        </w:tc>
      </w:tr>
      <w:tr>
        <w:tc>
          <w:tcPr>
            <w:tcW w:type="dxa" w:w="5040"/>
          </w:tcPr>
          <w:p>
            <w:r>
              <w:t>NIST SP 800-53 Rev.5</w:t>
            </w:r>
          </w:p>
        </w:tc>
        <w:tc>
          <w:tcPr>
            <w:tcW w:type="dxa" w:w="5040"/>
          </w:tcPr>
          <w:p>
            <w:r>
              <w:t>PM, PL, RA, AC, IR</w:t>
            </w:r>
          </w:p>
        </w:tc>
      </w:tr>
      <w:tr>
        <w:tc>
          <w:tcPr>
            <w:tcW w:type="dxa" w:w="5040"/>
          </w:tcPr>
          <w:p>
            <w:r>
              <w:t>ISO/IEC 27001:2022</w:t>
            </w:r>
          </w:p>
        </w:tc>
        <w:tc>
          <w:tcPr>
            <w:tcW w:type="dxa" w:w="5040"/>
          </w:tcPr>
          <w:p>
            <w:r>
              <w:t>Clauses 4–10 &amp; Annex A</w:t>
            </w:r>
          </w:p>
        </w:tc>
      </w:tr>
      <w:tr>
        <w:tc>
          <w:tcPr>
            <w:tcW w:type="dxa" w:w="5040"/>
          </w:tcPr>
          <w:p>
            <w:r>
              <w:t>CIS Controls v8</w:t>
            </w:r>
          </w:p>
        </w:tc>
        <w:tc>
          <w:tcPr>
            <w:tcW w:type="dxa" w:w="5040"/>
          </w:tcPr>
          <w:p>
            <w:r>
              <w:t>Controls 1–18</w:t>
            </w:r>
          </w:p>
        </w:tc>
      </w:tr>
      <w:tr>
        <w:tc>
          <w:tcPr>
            <w:tcW w:type="dxa" w:w="5040"/>
          </w:tcPr>
          <w:p>
            <w:r>
              <w:t>COBIT 2019</w:t>
            </w:r>
          </w:p>
        </w:tc>
        <w:tc>
          <w:tcPr>
            <w:tcW w:type="dxa" w:w="5040"/>
          </w:tcPr>
          <w:p>
            <w:r>
              <w:t>EDM, APO, DSS, BAI</w:t>
            </w:r>
          </w:p>
        </w:tc>
      </w:tr>
    </w:tbl>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