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jc w:val="center"/>
      </w:pPr>
      <w:r>
        <w:rPr>
          <w:b/>
          <w:color w:val="0F3C78"/>
          <w:sz w:val="88"/>
        </w:rPr>
        <w:t>MEDAS</w:t>
      </w:r>
    </w:p>
    <w:p>
      <w:pPr>
        <w:jc w:val="center"/>
      </w:pPr>
      <w:r>
        <w:rPr>
          <w:color w:val="444444"/>
          <w:sz w:val="32"/>
        </w:rPr>
        <w:t>Медицинский маркетплейс</w:t>
      </w:r>
    </w:p>
    <w:p/>
    <w:p>
      <w:pPr>
        <w:jc w:val="center"/>
      </w:pPr>
      <w:r>
        <w:rPr>
          <w:b/>
          <w:color w:val="1A1A2E"/>
          <w:sz w:val="40"/>
        </w:rPr>
        <w:t>ФИНАНСОВЫЙ ПЛАН И БИЗНЕС-МОДЕЛЬ</w:t>
      </w:r>
    </w:p>
    <w:p/>
    <w:p>
      <w:pPr>
        <w:jc w:val="center"/>
      </w:pPr>
      <w:r>
        <w:rPr>
          <w:color w:val="888888"/>
          <w:sz w:val="20"/>
        </w:rPr>
        <w:t>Версия 1.0  •  Июнь 2026  •  saas.med-as.ru</w:t>
      </w:r>
    </w:p>
    <w:p>
      <w:r>
        <w:br w:type="page"/>
      </w:r>
    </w:p>
    <w:p>
      <w:pPr>
        <w:pStyle w:val="Heading1"/>
      </w:pPr>
      <w:r>
        <w:rPr>
          <w:color w:val="0F3C78"/>
          <w:sz w:val="30"/>
        </w:rPr>
        <w:t>1. Анализ рынка (TAM / SAM / SOM)</w:t>
      </w:r>
    </w:p>
    <w:p>
      <w:pPr>
        <w:pStyle w:val="Heading2"/>
      </w:pPr>
      <w:r>
        <w:rPr>
          <w:color w:val="16213E"/>
          <w:sz w:val="24"/>
        </w:rPr>
        <w:t>Исходные данные рынка РФ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969"/>
            <w:shd w:fill="1A2E6C" w:val="clear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835"/>
            <w:shd w:fill="1A2E6C" w:val="clear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2835"/>
            <w:shd w:fill="1A2E6C" w:val="clear"/>
          </w:tcPr>
          <w:p>
            <w:r>
              <w:rPr>
                <w:b/>
                <w:color w:val="FFFFFF"/>
                <w:sz w:val="18"/>
              </w:rPr>
              <w:t>Источник</w:t>
            </w:r>
          </w:p>
        </w:tc>
      </w:tr>
      <w:tr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Рынок платной медицины РФ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1,78–2,32 трлн руб./год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Kommersant, Eqiva</w:t>
            </w:r>
          </w:p>
        </w:tc>
      </w:tr>
      <w:tr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Рост рынка ежегодно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13–18%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РБК</w:t>
            </w:r>
          </w:p>
        </w:tc>
      </w:tr>
      <w:tr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Рынок к 2030 году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4,27 трлн руб.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Kommersant</w:t>
            </w:r>
          </w:p>
        </w:tc>
      </w:tr>
      <w:tr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Рынок телемедицины 2025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21 млрд руб.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MAR Consult</w:t>
            </w:r>
          </w:p>
        </w:tc>
      </w:tr>
      <w:tr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Рост телемедицины 2025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30–35%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MAR Consult</w:t>
            </w:r>
          </w:p>
        </w:tc>
      </w:tr>
      <w:tr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Всего клиник в РФ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44 000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zdrav.expert</w:t>
            </w:r>
          </w:p>
        </w:tc>
      </w:tr>
      <w:tr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Топ-700 клиник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49% рынка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zdrav.expert</w:t>
            </w:r>
          </w:p>
        </w:tc>
      </w:tr>
      <w:tr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Средний чек медуслуги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4 900 руб.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РБК</w:t>
            </w:r>
          </w:p>
        </w:tc>
      </w:tr>
      <w:tr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СберЗдоровье выручка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13,4 млрд руб.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SmartRanking</w:t>
            </w:r>
          </w:p>
        </w:tc>
      </w:tr>
      <w:tr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Стоимость лида (НаПоправку)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400–700 руб./запись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Setka.ru 2026</w:t>
            </w:r>
          </w:p>
        </w:tc>
      </w:tr>
    </w:tbl>
    <w:p/>
    <w:p>
      <w:pPr>
        <w:pStyle w:val="Heading2"/>
      </w:pPr>
      <w:r>
        <w:rPr>
          <w:color w:val="16213E"/>
          <w:sz w:val="24"/>
        </w:rPr>
        <w:t>TAM — Total Addressable Market</w:t>
      </w:r>
    </w:p>
    <w:p>
      <w:pPr>
        <w:ind w:left="283"/>
      </w:pPr>
      <w:r>
        <w:rPr>
          <w:rFonts w:ascii="Courier New" w:hAnsi="Courier New"/>
          <w:color w:val="24292E"/>
          <w:sz w:val="16"/>
        </w:rPr>
        <w:t>Платная медицина РФ: 1,78 трлн руб./год</w:t>
        <w:br/>
        <w:t>Доля агрегаторов (онлайн ~3%): 53 млрд руб.</w:t>
        <w:br/>
        <w:t>Комиссия 10% с записей: 5,3 млрд руб./год</w:t>
        <w:br/>
        <w:t>Подписки клиник: 44 000 × 20% онлайн × 15 000 руб./мес. = 1,6 млрд</w:t>
        <w:br/>
        <w:t>TAM ≈ 7 млрд руб./год</w:t>
      </w:r>
    </w:p>
    <w:p>
      <w:pPr>
        <w:pStyle w:val="Heading2"/>
      </w:pPr>
      <w:r>
        <w:rPr>
          <w:color w:val="16213E"/>
          <w:sz w:val="24"/>
        </w:rPr>
        <w:t>SAM — Serviceable Addressable Market</w:t>
      </w:r>
    </w:p>
    <w:p>
      <w:pPr>
        <w:spacing w:after="80"/>
      </w:pPr>
      <w:r>
        <w:rPr>
          <w:b w:val="0"/>
          <w:sz w:val="20"/>
        </w:rPr>
        <w:t>Стратегия: 5 городов-миллионников (Краснодар, Екатеринбург, Новосибирск, Казань, Ростов-на-Дону)</w:t>
      </w:r>
    </w:p>
    <w:p>
      <w:pPr>
        <w:ind w:left="283"/>
      </w:pPr>
      <w:r>
        <w:rPr>
          <w:rFonts w:ascii="Courier New" w:hAnsi="Courier New"/>
          <w:color w:val="24292E"/>
          <w:sz w:val="16"/>
        </w:rPr>
        <w:t>Платная медицина в регионах (~15% рынка): 267 млрд руб.</w:t>
        <w:br/>
        <w:t>Онлайн-доля (3%) → комиссия 10%: 800 млн руб.</w:t>
        <w:br/>
        <w:t>Подписки клиник (~3 000 клиник): 540 млн руб./год</w:t>
        <w:br/>
        <w:t>SAM ≈ 1,3 млрд руб./год</w:t>
      </w:r>
    </w:p>
    <w:p>
      <w:pPr>
        <w:pStyle w:val="Heading2"/>
      </w:pPr>
      <w:r>
        <w:rPr>
          <w:color w:val="16213E"/>
          <w:sz w:val="24"/>
        </w:rPr>
        <w:t>SOM — Serviceable Obtainable 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fill="1A2E6C" w:val="clear"/>
          </w:tcPr>
          <w:p>
            <w:r>
              <w:rPr>
                <w:b/>
                <w:color w:val="FFFFFF"/>
                <w:sz w:val="18"/>
              </w:rPr>
              <w:t>Год</w:t>
            </w:r>
          </w:p>
        </w:tc>
        <w:tc>
          <w:tcPr>
            <w:tcW w:type="dxa" w:w="1701"/>
            <w:shd w:fill="1A2E6C" w:val="clear"/>
          </w:tcPr>
          <w:p>
            <w:r>
              <w:rPr>
                <w:b/>
                <w:color w:val="FFFFFF"/>
                <w:sz w:val="18"/>
              </w:rPr>
              <w:t>Города</w:t>
            </w:r>
          </w:p>
        </w:tc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Клиники</w:t>
            </w:r>
          </w:p>
        </w:tc>
        <w:tc>
          <w:tcPr>
            <w:tcW w:type="dxa" w:w="3969"/>
            <w:shd w:fill="1A2E6C" w:val="clear"/>
          </w:tcPr>
          <w:p>
            <w:r>
              <w:rPr>
                <w:b/>
                <w:color w:val="FFFFFF"/>
                <w:sz w:val="18"/>
              </w:rPr>
              <w:t>Выручка MEDAS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Год 1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10,9 млн руб.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Год 2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45,6 млн руб.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Год 3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1 200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142 млн руб.</w:t>
            </w:r>
          </w:p>
        </w:tc>
      </w:tr>
    </w:tbl>
    <w:p/>
    <w:p>
      <w:pPr>
        <w:spacing w:after="80"/>
      </w:pPr>
      <w:r>
        <w:rPr>
          <w:b/>
          <w:sz w:val="20"/>
        </w:rPr>
        <w:t>SOM Год 3 = 142 млн руб. = 10,9% от SAM</w:t>
      </w:r>
    </w:p>
    <w:p>
      <w:pPr>
        <w:pStyle w:val="Heading1"/>
      </w:pPr>
      <w:r>
        <w:rPr>
          <w:color w:val="0F3C78"/>
          <w:sz w:val="30"/>
        </w:rPr>
        <w:t>2. Конкурентный ландшафт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Конкурент</w:t>
            </w:r>
          </w:p>
        </w:tc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Сильные стороны</w:t>
            </w:r>
          </w:p>
        </w:tc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Слабые стороны</w:t>
            </w:r>
          </w:p>
        </w:tc>
        <w:tc>
          <w:tcPr>
            <w:tcW w:type="dxa" w:w="2835"/>
            <w:shd w:fill="1A2E6C" w:val="clear"/>
          </w:tcPr>
          <w:p>
            <w:r>
              <w:rPr>
                <w:b/>
                <w:color w:val="FFFFFF"/>
                <w:sz w:val="18"/>
              </w:rPr>
              <w:t>Наша возможность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СберЗдоровье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100k+ врачей, 7k клиник, 13,4 млрд выручки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Плохой UX, дорогой для клиник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Лучший UX + дешевле для регионов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НаПоправку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Сильный SEO, &gt;15 лет на рынке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Устаревший дизайн, нет медкарты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Медкарта + бонусы + мобиль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ПроДокторов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2+ млн отзывов, доверие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Только отзывы, слабая запись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Полная запись + аналитика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ЕМИАС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Бесплатный, госгарантии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Только Москва, только госклиники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Частные клиники по всей РФ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Яндекс.Здоровье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Трафик Яндекса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Не основной продукт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Специализация на маркетплейсе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>Вывод: нет ни одного игрока с одновременно хорошим UX + медкартой + бонусами + аналитикой для клиник в регионах.</w:t>
      </w:r>
    </w:p>
    <w:p>
      <w:pPr>
        <w:pStyle w:val="Heading1"/>
      </w:pPr>
      <w:r>
        <w:rPr>
          <w:color w:val="0F3C78"/>
          <w:sz w:val="30"/>
        </w:rPr>
        <w:t>3. Бизнес-модель и монетизация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3402"/>
            <w:shd w:fill="1A2E6C" w:val="clear"/>
          </w:tcPr>
          <w:p>
            <w:r>
              <w:rPr>
                <w:b/>
                <w:color w:val="FFFFFF"/>
                <w:sz w:val="18"/>
              </w:rPr>
              <w:t>Механика</w:t>
            </w:r>
          </w:p>
        </w:tc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Доход/ед.</w:t>
            </w:r>
          </w:p>
        </w:tc>
        <w:tc>
          <w:tcPr>
            <w:tcW w:type="dxa" w:w="1701"/>
            <w:shd w:fill="1A2E6C" w:val="clear"/>
          </w:tcPr>
          <w:p>
            <w:r>
              <w:rPr>
                <w:b/>
                <w:color w:val="FFFFFF"/>
                <w:sz w:val="18"/>
              </w:rPr>
              <w:t>Доля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Комиссия с записи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10% от стоимости приёма при онлайн-оплате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~490 руб./запись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55%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Подписка Base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До 5 врачей, базовый профиль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7 900 руб./мес.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Подписка Pro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До 20 врачей, аналитика, топ в поиске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19 900 руб./мес.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Продвижение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Топ-позиция по специальности/району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5–25 тыс. руб./мес.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7%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Онлайн-консультации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15–20% комиссии с видеоприёма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~750 руб./консультация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3%</w:t>
            </w:r>
          </w:p>
        </w:tc>
      </w:tr>
    </w:tbl>
    <w:p/>
    <w:p>
      <w:pPr>
        <w:pStyle w:val="Heading1"/>
      </w:pPr>
      <w:r>
        <w:rPr>
          <w:color w:val="0F3C78"/>
          <w:sz w:val="30"/>
        </w:rPr>
        <w:t>4. Юнит-экономика</w:t>
      </w:r>
    </w:p>
    <w:p>
      <w:pPr>
        <w:pStyle w:val="Heading2"/>
      </w:pPr>
      <w:r>
        <w:rPr>
          <w:color w:val="16213E"/>
          <w:sz w:val="24"/>
        </w:rPr>
        <w:t>Пациент (B2C)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fill="1A2E6C" w:val="clear"/>
          </w:tcPr>
          <w:p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835"/>
            <w:shd w:fill="1A2E6C" w:val="clear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969"/>
            <w:shd w:fill="1A2E6C" w:val="clear"/>
          </w:tcPr>
          <w:p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CAC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500 руб.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Mix: SEO-органика + реферальная программа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Средний чек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4 900 руб.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По рынку РФ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Комиссия MEDAS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490 руб./запись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Записей в год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2,5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Среднее по рынку частной медицины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LTV 3 года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2 450 руб.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490 × 5 записей за 3 года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LTV / CAC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4,9x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✅ Норма SaaS: &gt;3x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Payback period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4,9 мес.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color w:val="16213E"/>
          <w:sz w:val="24"/>
        </w:rPr>
        <w:t>Клиника (B2B)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fill="1A2E6C" w:val="clear"/>
          </w:tcPr>
          <w:p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835"/>
            <w:shd w:fill="1A2E6C" w:val="clear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969"/>
            <w:shd w:fill="1A2E6C" w:val="clear"/>
          </w:tcPr>
          <w:p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CAC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6 700 руб.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1 менеджер × 100 тыс./мес. / 15 клиник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MRR с клиники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20 000 руб.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Подписка 12 тыс. + комиссии 8 тыс.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Churn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2%/мес.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При видимом ROI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LTV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1 000 000 руб.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20 000 / 0,02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LTV / CAC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149x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✅ Отличный показатель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Payback period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10 дней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</w:pPr>
      <w:r>
        <w:rPr>
          <w:color w:val="0F3C78"/>
          <w:sz w:val="30"/>
        </w:rPr>
        <w:t>5. Финансовая модель — 5 лет (базовый сценарий)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835"/>
            <w:shd w:fill="1A2E6C" w:val="clear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1701"/>
            <w:shd w:fill="1A2E6C" w:val="clear"/>
          </w:tcPr>
          <w:p>
            <w:r>
              <w:rPr>
                <w:b/>
                <w:color w:val="FFFFFF"/>
                <w:sz w:val="18"/>
              </w:rPr>
              <w:t>Год 1</w:t>
            </w:r>
          </w:p>
        </w:tc>
        <w:tc>
          <w:tcPr>
            <w:tcW w:type="dxa" w:w="1701"/>
            <w:shd w:fill="1A2E6C" w:val="clear"/>
          </w:tcPr>
          <w:p>
            <w:r>
              <w:rPr>
                <w:b/>
                <w:color w:val="FFFFFF"/>
                <w:sz w:val="18"/>
              </w:rPr>
              <w:t>Год 2</w:t>
            </w:r>
          </w:p>
        </w:tc>
        <w:tc>
          <w:tcPr>
            <w:tcW w:type="dxa" w:w="1701"/>
            <w:shd w:fill="1A2E6C" w:val="clear"/>
          </w:tcPr>
          <w:p>
            <w:r>
              <w:rPr>
                <w:b/>
                <w:color w:val="FFFFFF"/>
                <w:sz w:val="18"/>
              </w:rPr>
              <w:t>Год 3</w:t>
            </w:r>
          </w:p>
        </w:tc>
        <w:tc>
          <w:tcPr>
            <w:tcW w:type="dxa" w:w="1701"/>
            <w:shd w:fill="1A2E6C" w:val="clear"/>
          </w:tcPr>
          <w:p>
            <w:r>
              <w:rPr>
                <w:b/>
                <w:color w:val="FFFFFF"/>
                <w:sz w:val="18"/>
              </w:rPr>
              <w:t>Год 4</w:t>
            </w:r>
          </w:p>
        </w:tc>
        <w:tc>
          <w:tcPr>
            <w:tcW w:type="dxa" w:w="1701"/>
            <w:shd w:fill="1A2E6C" w:val="clear"/>
          </w:tcPr>
          <w:p>
            <w:r>
              <w:rPr>
                <w:b/>
                <w:color w:val="FFFFFF"/>
                <w:sz w:val="18"/>
              </w:rPr>
              <w:t>Год 5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Клиники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1 200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2 800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5 500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Пациентов (MAU)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2 400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12 000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45 000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120 000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280 000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Записей/мес.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3 000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18 000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75 000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210 000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520 000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Выручка от комиссий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1,8 млн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10,6 млн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44 млн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123 млн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305 млн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Выручка от подписок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8,6 млн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32 млн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86 млн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202 млн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396 млн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Продвижение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0,5 млн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3 млн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12 млн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30 млн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65 млн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ИТОГО ВЫРУЧКА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10,9 млн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45,6 млн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142 млн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355 млн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766 млн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Операционные расходы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24 млн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48 млн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96 млн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180 млн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310 млн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EBITDA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−13 млн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−2,4 млн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+46 млн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+175 млн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+456 млн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EBITDA margin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−120%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−5%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+32%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+49%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+60%</w:t>
            </w:r>
          </w:p>
        </w:tc>
      </w:tr>
    </w:tbl>
    <w:p/>
    <w:p>
      <w:pPr>
        <w:pStyle w:val="Heading2"/>
      </w:pPr>
      <w:r>
        <w:rPr>
          <w:color w:val="16213E"/>
          <w:sz w:val="24"/>
        </w:rPr>
        <w:t>Три сценария — выручка Год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835"/>
            <w:shd w:fill="1A2E6C" w:val="clear"/>
          </w:tcPr>
          <w:p>
            <w:r>
              <w:rPr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2835"/>
            <w:shd w:fill="1A2E6C" w:val="clear"/>
          </w:tcPr>
          <w:p>
            <w:r>
              <w:rPr>
                <w:b/>
                <w:color w:val="FFFFFF"/>
                <w:sz w:val="18"/>
              </w:rPr>
              <w:t>Условие</w:t>
            </w:r>
          </w:p>
        </w:tc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Выручка Год 3</w:t>
            </w:r>
          </w:p>
        </w:tc>
        <w:tc>
          <w:tcPr>
            <w:tcW w:type="dxa" w:w="1701"/>
            <w:shd w:fill="1A2E6C" w:val="clear"/>
          </w:tcPr>
          <w:p>
            <w:r>
              <w:rPr>
                <w:b/>
                <w:color w:val="FFFFFF"/>
                <w:sz w:val="18"/>
              </w:rPr>
              <w:t>Break-even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🐻 Пессимистичный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Churn 5%, медленный рост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65 млн руб.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Год 4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📊 Базовый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По финансовой модели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142 млн руб.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Q3 Год 3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🚀 Оптимистичный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Быстрый рост, B2B корпоративные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280 млн руб.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Q1 Год 3</w:t>
            </w:r>
          </w:p>
        </w:tc>
      </w:tr>
    </w:tbl>
    <w:p/>
    <w:p>
      <w:pPr>
        <w:pStyle w:val="Heading1"/>
      </w:pPr>
      <w:r>
        <w:rPr>
          <w:color w:val="0F3C78"/>
          <w:sz w:val="30"/>
        </w:rPr>
        <w:t>6. Точка безубыточности</w:t>
      </w:r>
    </w:p>
    <w:p>
      <w:pPr>
        <w:ind w:left="283"/>
      </w:pPr>
      <w:r>
        <w:rPr>
          <w:rFonts w:ascii="Courier New" w:hAnsi="Courier New"/>
          <w:color w:val="24292E"/>
          <w:sz w:val="16"/>
        </w:rPr>
        <w:t>Фиксированные расходы Год 1: 650 000 руб./мес.</w:t>
        <w:br/>
        <w:t xml:space="preserve">  Разработка (2 чел.):    300 000</w:t>
        <w:br/>
        <w:t xml:space="preserve">  Продажи (1 чел.):       100 000</w:t>
        <w:br/>
        <w:t xml:space="preserve">  Маркетинг:              150 000</w:t>
        <w:br/>
        <w:t xml:space="preserve">  Инфраструктура:          30 000</w:t>
        <w:br/>
        <w:t xml:space="preserve">  Прочие:                  70 000</w:t>
        <w:br/>
        <w:br/>
        <w:t>Break-even при:</w:t>
        <w:br/>
        <w:t xml:space="preserve">  40 клиник × 12 000 руб./мес. = 480 000 руб.</w:t>
        <w:br/>
        <w:t xml:space="preserve">  350 записей/мес. × 392 руб.  = 137 000 руб.</w:t>
        <w:br/>
        <w:t xml:space="preserve">  Итого: 617 000 ≈ 650 000 ✅</w:t>
        <w:br/>
        <w:br/>
        <w:t>Break-even = ~40 клиник → достижимо через 3–4 месяца работы</w:t>
      </w:r>
    </w:p>
    <w:p>
      <w:pPr>
        <w:pStyle w:val="Heading1"/>
      </w:pPr>
      <w:r>
        <w:rPr>
          <w:color w:val="0F3C78"/>
          <w:sz w:val="30"/>
        </w:rPr>
        <w:t>7. Привлечение клиник (B2B)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402"/>
            <w:shd w:fill="1A2E6C" w:val="clear"/>
          </w:tcPr>
          <w:p>
            <w:r>
              <w:rPr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Стоимость</w:t>
            </w:r>
          </w:p>
        </w:tc>
        <w:tc>
          <w:tcPr>
            <w:tcW w:type="dxa" w:w="1701"/>
            <w:shd w:fill="1A2E6C" w:val="clear"/>
          </w:tcPr>
          <w:p>
            <w:r>
              <w:rPr>
                <w:b/>
                <w:color w:val="FFFFFF"/>
                <w:sz w:val="18"/>
              </w:rPr>
              <w:t>Конверсия</w:t>
            </w:r>
          </w:p>
        </w:tc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Клиник/мес.</w:t>
            </w:r>
          </w:p>
        </w:tc>
      </w:tr>
      <w:tr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Прямые продажи (звонки из 2ГИС/Яндекс)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100 тыс./мес.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3–5%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15–20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Бесплатный период 3 мес. (первые 50 клиник)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~180 тыс. (lost revenue)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40% → платные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Партнёрство с МИС (MEDODS, IDENT, ArchiMed)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0 (интеграция)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30–50 пассивно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Конференции и медфорумы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50 тыс./мероприятие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2–5%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5–10</w:t>
            </w:r>
          </w:p>
        </w:tc>
      </w:tr>
      <w:tr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SEO "как привлечь пациентов"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30 тыс./мес.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органика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5–10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>Стратегия старта: первые 30 клиник — вручную, 3 мес. бесплатно, личный контакт → кейсы → сарафанное радио.</w:t>
      </w:r>
    </w:p>
    <w:p>
      <w:pPr>
        <w:pStyle w:val="Heading1"/>
      </w:pPr>
      <w:r>
        <w:rPr>
          <w:color w:val="0F3C78"/>
          <w:sz w:val="30"/>
        </w:rPr>
        <w:t>8. Привлечение пациентов (B2C)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402"/>
            <w:shd w:fill="1A2E6C" w:val="clear"/>
          </w:tcPr>
          <w:p>
            <w:r>
              <w:rPr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CAC</w:t>
            </w:r>
          </w:p>
        </w:tc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Масштабируемость</w:t>
            </w:r>
          </w:p>
        </w:tc>
        <w:tc>
          <w:tcPr>
            <w:tcW w:type="dxa" w:w="1701"/>
            <w:shd w:fill="1A2E6C" w:val="clear"/>
          </w:tcPr>
          <w:p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SEO (медстатьи, симптомы, профили врачей)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0–50 руб.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Высокая (6–12 мес.)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Реферальная программа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150 руб.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Высокая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Push/email retention (повторные записи)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~30 руб.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Высокая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Яндекс.Директ (брендовые запросы)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600–1 200 руб.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Партнёрство с работодателями (ДМС)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200–400 руб.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Высокая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Telegram-каналы о здоровье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300–700 руб.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>Ключевой инсайт: 80% трафика у конкурентов — SEO. Цель: 200+ медстатей за год 1 → ~50 000 органических посещений/мес.</w:t>
      </w:r>
    </w:p>
    <w:p>
      <w:pPr>
        <w:pStyle w:val="Heading1"/>
      </w:pPr>
      <w:r>
        <w:rPr>
          <w:color w:val="0F3C78"/>
          <w:sz w:val="30"/>
        </w:rPr>
        <w:t>9. Инфраструктура и расходы</w:t>
      </w:r>
    </w:p>
    <w:p>
      <w:pPr>
        <w:pStyle w:val="Heading2"/>
      </w:pPr>
      <w:r>
        <w:rPr>
          <w:color w:val="16213E"/>
          <w:sz w:val="24"/>
        </w:rPr>
        <w:t>Ежемесячные расходы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969"/>
            <w:shd w:fill="1A2E6C" w:val="clear"/>
          </w:tcPr>
          <w:p>
            <w:r>
              <w:rPr>
                <w:b/>
                <w:color w:val="FFFFFF"/>
                <w:sz w:val="18"/>
              </w:rPr>
              <w:t>Статья</w:t>
            </w:r>
          </w:p>
        </w:tc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Год 1 / мес.</w:t>
            </w:r>
          </w:p>
        </w:tc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Год 2 / мес.</w:t>
            </w:r>
          </w:p>
        </w:tc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Год 3 / мес.</w:t>
            </w:r>
          </w:p>
        </w:tc>
      </w:tr>
      <w:tr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Разработка (2→3→5 чел.)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300 тыс.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500 тыс.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900 тыс.</w:t>
            </w:r>
          </w:p>
        </w:tc>
      </w:tr>
      <w:tr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Продажи (1→2→4 чел.)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100 тыс.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200 тыс.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400 тыс.</w:t>
            </w:r>
          </w:p>
        </w:tc>
      </w:tr>
      <w:tr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Маркетинг (SEO + реклама)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150 тыс.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350 тыс.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700 тыс.</w:t>
            </w:r>
          </w:p>
        </w:tc>
      </w:tr>
      <w:tr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Контент-менеджер (статьи)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50 тыс.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80 тыс.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120 тыс.</w:t>
            </w:r>
          </w:p>
        </w:tc>
      </w:tr>
      <w:tr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DevOps + инфраструктура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30 тыс.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60 тыс.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100 тыс.</w:t>
            </w:r>
          </w:p>
        </w:tc>
      </w:tr>
      <w:tr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SMS / email / push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15 тыс.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50 тыс.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150 тыс.</w:t>
            </w:r>
          </w:p>
        </w:tc>
      </w:tr>
      <w:tr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Платёжная система (ЮKassa)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8 тыс.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30 тыс.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90 тыс.</w:t>
            </w:r>
          </w:p>
        </w:tc>
      </w:tr>
      <w:tr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Юрист, бухгалтерия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40 тыс.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60 тыс.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80 тыс.</w:t>
            </w:r>
          </w:p>
        </w:tc>
      </w:tr>
      <w:tr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Офис / прочие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15 тыс.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30 тыс.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50 тыс.</w:t>
            </w:r>
          </w:p>
        </w:tc>
      </w:tr>
      <w:tr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708 тыс.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1 360 тыс.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2 590 тыс.</w:t>
            </w:r>
          </w:p>
        </w:tc>
      </w:tr>
      <w:tr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ИТОГО ЗА ГОД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8,5 млн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16,3 млн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31 млн</w:t>
            </w:r>
          </w:p>
        </w:tc>
      </w:tr>
    </w:tbl>
    <w:p/>
    <w:p>
      <w:pPr>
        <w:pStyle w:val="Heading2"/>
      </w:pPr>
      <w:r>
        <w:rPr>
          <w:color w:val="16213E"/>
          <w:sz w:val="24"/>
        </w:rPr>
        <w:t>Инфраструктурный стек (~27 000 руб./мес.)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shd w:fill="1A2E6C" w:val="clear"/>
          </w:tcPr>
          <w:p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2835"/>
            <w:shd w:fill="1A2E6C" w:val="clear"/>
          </w:tcPr>
          <w:p>
            <w:r>
              <w:rPr>
                <w:b/>
                <w:color w:val="FFFFFF"/>
                <w:sz w:val="18"/>
              </w:rPr>
              <w:t>Сервис</w:t>
            </w:r>
          </w:p>
        </w:tc>
        <w:tc>
          <w:tcPr>
            <w:tcW w:type="dxa" w:w="3402"/>
            <w:shd w:fill="1A2E6C" w:val="clear"/>
          </w:tcPr>
          <w:p>
            <w:r>
              <w:rPr>
                <w:b/>
                <w:color w:val="FFFFFF"/>
                <w:sz w:val="18"/>
              </w:rPr>
              <w:t>Стоимость/мес.</w:t>
            </w:r>
          </w:p>
        </w:tc>
      </w:tr>
      <w:tr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VPS (2 сервера)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Timeweb / Selectel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6 000 руб.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S3 хранилище (фото, PDF)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Selectel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3 000 руб.</w:t>
            </w:r>
          </w:p>
        </w:tc>
      </w:tr>
      <w:tr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PostgreSQL (managed)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Selectel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5 000 руб.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Timeweb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2 000 руб.</w:t>
            </w:r>
          </w:p>
        </w:tc>
      </w:tr>
      <w:tr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SMS (~10k SMS/мес.)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SMSC.ru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6 000 руб.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Unisender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2 500 руб.</w:t>
            </w:r>
          </w:p>
        </w:tc>
      </w:tr>
      <w:tr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CDN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Cloudflare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бесплатно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Мониторинг ошибок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Sentry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2 500 руб.</w:t>
            </w:r>
          </w:p>
        </w:tc>
      </w:tr>
    </w:tbl>
    <w:p/>
    <w:p>
      <w:pPr>
        <w:pStyle w:val="Heading1"/>
      </w:pPr>
      <w:r>
        <w:rPr>
          <w:color w:val="0F3C78"/>
          <w:sz w:val="30"/>
        </w:rPr>
        <w:t>10. Инвестиции и runway</w:t>
      </w:r>
    </w:p>
    <w:p>
      <w:pPr>
        <w:pStyle w:val="Heading2"/>
      </w:pPr>
      <w:r>
        <w:rPr>
          <w:color w:val="16213E"/>
          <w:sz w:val="24"/>
        </w:rPr>
        <w:t>Минимальный бюджет для запуска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6803"/>
            <w:shd w:fill="1A2E6C" w:val="clear"/>
          </w:tcPr>
          <w:p>
            <w:r>
              <w:rPr>
                <w:b/>
                <w:color w:val="FFFFFF"/>
                <w:sz w:val="18"/>
              </w:rPr>
              <w:t>Статья</w:t>
            </w:r>
          </w:p>
        </w:tc>
        <w:tc>
          <w:tcPr>
            <w:tcW w:type="dxa" w:w="2835"/>
            <w:shd w:fill="1A2E6C" w:val="clear"/>
          </w:tcPr>
          <w:p>
            <w:r>
              <w:rPr>
                <w:b/>
                <w:color w:val="FFFFFF"/>
                <w:sz w:val="18"/>
              </w:rPr>
              <w:t>Сумма</w:t>
            </w:r>
          </w:p>
        </w:tc>
      </w:tr>
      <w:tr>
        <w:tc>
          <w:tcPr>
            <w:tcW w:type="dxa" w:w="6803"/>
            <w:shd w:fill="F0F4FF" w:val="clear"/>
          </w:tcPr>
          <w:p>
            <w:r>
              <w:rPr>
                <w:sz w:val="18"/>
              </w:rPr>
              <w:t>Разработка MVP (4 мес.)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1 200 000 руб.</w:t>
            </w:r>
          </w:p>
        </w:tc>
      </w:tr>
      <w:tr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Маркетинг и продажи (4 мес.)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600 000 руб.</w:t>
            </w:r>
          </w:p>
        </w:tc>
      </w:tr>
      <w:tr>
        <w:tc>
          <w:tcPr>
            <w:tcW w:type="dxa" w:w="6803"/>
            <w:shd w:fill="F0F4FF" w:val="clear"/>
          </w:tcPr>
          <w:p>
            <w:r>
              <w:rPr>
                <w:sz w:val="18"/>
              </w:rPr>
              <w:t>Инфраструктура (4 мес.)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120 000 руб.</w:t>
            </w:r>
          </w:p>
        </w:tc>
      </w:tr>
      <w:tr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Юридическое оформление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150 000 руб.</w:t>
            </w:r>
          </w:p>
        </w:tc>
      </w:tr>
      <w:tr>
        <w:tc>
          <w:tcPr>
            <w:tcW w:type="dxa" w:w="6803"/>
            <w:shd w:fill="F0F4FF" w:val="clear"/>
          </w:tcPr>
          <w:p>
            <w:r>
              <w:rPr>
                <w:sz w:val="18"/>
              </w:rPr>
              <w:t>Резерв (20%)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414 000 руб.</w:t>
            </w:r>
          </w:p>
        </w:tc>
      </w:tr>
      <w:tr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2 484 000 руб. (~2,5 млн)</w:t>
            </w:r>
          </w:p>
        </w:tc>
      </w:tr>
    </w:tbl>
    <w:p/>
    <w:p>
      <w:pPr>
        <w:pStyle w:val="Heading2"/>
      </w:pPr>
      <w:r>
        <w:rPr>
          <w:color w:val="16213E"/>
          <w:sz w:val="24"/>
        </w:rPr>
        <w:t>Раунды финансирования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Раунд</w:t>
            </w:r>
          </w:p>
        </w:tc>
        <w:tc>
          <w:tcPr>
            <w:tcW w:type="dxa" w:w="1701"/>
            <w:shd w:fill="1A2E6C" w:val="clear"/>
          </w:tcPr>
          <w:p>
            <w:r>
              <w:rPr>
                <w:b/>
                <w:color w:val="FFFFFF"/>
                <w:sz w:val="18"/>
              </w:rPr>
              <w:t>Когда</w:t>
            </w:r>
          </w:p>
        </w:tc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Сумма</w:t>
            </w:r>
          </w:p>
        </w:tc>
        <w:tc>
          <w:tcPr>
            <w:tcW w:type="dxa" w:w="3402"/>
            <w:shd w:fill="1A2E6C" w:val="clear"/>
          </w:tcPr>
          <w:p>
            <w:r>
              <w:rPr>
                <w:b/>
                <w:color w:val="FFFFFF"/>
                <w:sz w:val="18"/>
              </w:rPr>
              <w:t>На что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Pre-seed (bootstrapping)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Сейчас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2,5–3 млн руб.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MVP + первые 30 клиник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Seed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+12 мес.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15–25 млн руб.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3 города, команда ×3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Series A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+30 мес.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100–150 млн руб.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5+ городов, мобиль, B2B</w:t>
            </w:r>
          </w:p>
        </w:tc>
      </w:tr>
    </w:tbl>
    <w:p/>
    <w:p>
      <w:pPr>
        <w:ind w:left="283"/>
      </w:pPr>
      <w:r>
        <w:rPr>
          <w:rFonts w:ascii="Courier New" w:hAnsi="Courier New"/>
          <w:color w:val="24292E"/>
          <w:sz w:val="16"/>
        </w:rPr>
        <w:t>При 3 млн руб. инвестициях и burn rate 708 тыс./мес.:</w:t>
        <w:br/>
        <w:t xml:space="preserve">  Runway без дохода: 4,2 месяца</w:t>
        <w:br/>
        <w:t xml:space="preserve">  С доходом с 4-го месяца: CF положительный → runway бесконечный</w:t>
      </w:r>
    </w:p>
    <w:p>
      <w:pPr>
        <w:pStyle w:val="Heading1"/>
      </w:pPr>
      <w:r>
        <w:rPr>
          <w:color w:val="0F3C78"/>
          <w:sz w:val="30"/>
        </w:rPr>
        <w:t>11. Ключевые метрики для инвесторов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835"/>
            <w:shd w:fill="1A2E6C" w:val="clear"/>
          </w:tcPr>
          <w:p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Год 1</w:t>
            </w:r>
          </w:p>
        </w:tc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Год 3</w:t>
            </w:r>
          </w:p>
        </w:tc>
        <w:tc>
          <w:tcPr>
            <w:tcW w:type="dxa" w:w="2268"/>
            <w:shd w:fill="1A2E6C" w:val="clear"/>
          </w:tcPr>
          <w:p>
            <w:r>
              <w:rPr>
                <w:b/>
                <w:color w:val="FFFFFF"/>
                <w:sz w:val="18"/>
              </w:rPr>
              <w:t>Бенчмарк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MRR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900 тыс. руб.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11,8 млн руб.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ARR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10,9 млн руб.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142 млн руб.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MoM рост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&gt;15% — хорошо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Gross Margin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78%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82%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&gt;70% — норма маркетплейса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CAC клиника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6 700 руб.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5 200 руб.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LTV клиника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1 000 000 руб.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1 200 000 руб.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LTV/CAC клиника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149x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230x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&gt;3x — норма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CAC пациент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500 руб.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320 руб.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LTV пациент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2 450 руб.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3 100 руб.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Churn клиник/мес.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2%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&lt;5% — норма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NPS (цель)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&gt;50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&gt;65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&gt;40 — хорошо</w:t>
            </w:r>
          </w:p>
        </w:tc>
      </w:tr>
    </w:tbl>
    <w:p/>
    <w:p>
      <w:pPr>
        <w:pStyle w:val="Heading1"/>
      </w:pPr>
      <w:r>
        <w:rPr>
          <w:color w:val="0F3C78"/>
          <w:sz w:val="30"/>
        </w:rPr>
        <w:t>12. SEO и контент-стратегия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fill="1A2E6C" w:val="clear"/>
          </w:tcPr>
          <w:p>
            <w:r>
              <w:rPr>
                <w:b/>
                <w:color w:val="FFFFFF"/>
                <w:sz w:val="18"/>
              </w:rPr>
              <w:t>Кластер</w:t>
            </w:r>
          </w:p>
        </w:tc>
        <w:tc>
          <w:tcPr>
            <w:tcW w:type="dxa" w:w="3969"/>
            <w:shd w:fill="1A2E6C" w:val="clear"/>
          </w:tcPr>
          <w:p>
            <w:r>
              <w:rPr>
                <w:b/>
                <w:color w:val="FFFFFF"/>
                <w:sz w:val="18"/>
              </w:rPr>
              <w:t>Примеры страниц</w:t>
            </w:r>
          </w:p>
        </w:tc>
        <w:tc>
          <w:tcPr>
            <w:tcW w:type="dxa" w:w="2835"/>
            <w:shd w:fill="1A2E6C" w:val="clear"/>
          </w:tcPr>
          <w:p>
            <w:r>
              <w:rPr>
                <w:b/>
                <w:color w:val="FFFFFF"/>
                <w:sz w:val="18"/>
              </w:rPr>
              <w:t>Трафик-потенциал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Профили врачей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"Кардиолог Краснодар", "Невролог рядом"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Профили клиник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"Клиника X отзывы"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Симптомы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"Болит в груди к кому идти"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Очень высокий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Специальности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"Записаться к кардиологу"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Статьи (блог)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8"/>
              </w:rPr>
              <w:t>"Как лечить гастрит", "Норма давления"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Очень высокий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Сравнения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"Клиника А vs клиника Б отзывы"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Средний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>Цель: 200+ медстатей за год 1 → ~50 000 органических посещений/мес. к концу года 1.</w:t>
      </w:r>
    </w:p>
    <w:p>
      <w:r>
        <w:br w:type="page"/>
      </w:r>
    </w:p>
    <w:p>
      <w:pPr>
        <w:pStyle w:val="Heading1"/>
      </w:pPr>
      <w:r>
        <w:rPr>
          <w:color w:val="0F3C78"/>
          <w:sz w:val="30"/>
        </w:rPr>
        <w:t>Резюме для инвестора</w:t>
      </w:r>
    </w:p>
    <w:p>
      <w:r>
        <w:rPr>
          <w:b/>
          <w:sz w:val="22"/>
        </w:rPr>
        <w:t>MEDAS — медицинский маркетплейс для частных клиник и пациентов с фокусом на региональный рынок РФ. Рынок платной медицины: 1,78 трлн руб. и растёт на 15%/год. TAM онлайн-агрегации: 7 млрд руб. Break-even достигается при 40 клиниках (~4 мес.). LTV/CAC клиники = 149x. Базовый сценарий: выручка 142 млн руб. к году 3, EBITDA +32%. Инвестиции для старта: 2,5 млн руб. на MVP + первые 30 клиник.</w:t>
      </w:r>
    </w:p>
    <w:p/>
    <w:p>
      <w:pPr>
        <w:jc w:val="center"/>
      </w:pPr>
      <w:r>
        <w:rPr>
          <w:color w:val="888888"/>
          <w:sz w:val="20"/>
        </w:rPr>
        <w:br/>
        <w:br/>
        <w:t>MEDAS — Финансовый план v1.0 | Июнь 2026 | saas.med-as.ru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