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bidi w:val="0"/>
      </w:pPr>
    </w:p>
    <w:p>
      <w:pPr>
        <w:pStyle w:val="正文"/>
        <w:bidi w:val="0"/>
      </w:pPr>
      <w:r>
        <w:rPr>
          <w:rFonts w:ascii="Arial" w:hAnsi="Arial"/>
          <w:b w:val="1"/>
          <w:bCs w:val="1"/>
          <w:outline w:val="0"/>
          <w:color w:val="1a3a5c"/>
          <w:sz w:val="52"/>
          <w:szCs w:val="52"/>
          <w:u w:color="1a3a5c"/>
          <w:rtl w:val="0"/>
          <w14:textFill>
            <w14:solidFill>
              <w14:srgbClr w14:val="1A3A5C"/>
            </w14:solidFill>
          </w14:textFill>
        </w:rPr>
        <w:t xml:space="preserve">ICU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sz w:val="52"/>
          <w:szCs w:val="52"/>
          <w:u w:color="1a3a5c"/>
          <w:rtl w:val="0"/>
          <w:lang w:val="zh-CN" w:eastAsia="zh-CN"/>
          <w14:textFill>
            <w14:solidFill>
              <w14:srgbClr w14:val="1A3A5C"/>
            </w14:solidFill>
          </w14:textFill>
        </w:rPr>
        <w:t>呼吸监护数字孪生系统</w:t>
      </w:r>
    </w:p>
    <w:p>
      <w:pPr>
        <w:pStyle w:val="正文"/>
        <w:bidi w:val="0"/>
      </w:pPr>
      <w:r>
        <w:rPr>
          <w:rFonts w:ascii="Arial" w:hAnsi="Arial"/>
          <w:outline w:val="0"/>
          <w:color w:val="2e75b6"/>
          <w:sz w:val="36"/>
          <w:szCs w:val="36"/>
          <w:u w:color="2e75b6"/>
          <w:rtl w:val="0"/>
          <w14:textFill>
            <w14:solidFill>
              <w14:srgbClr w14:val="2E75B6"/>
            </w14:solidFill>
          </w14:textFill>
        </w:rPr>
        <w:t xml:space="preserve">EIT + sEMG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36"/>
          <w:szCs w:val="36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集成平台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66666"/>
          <w:sz w:val="28"/>
          <w:szCs w:val="28"/>
          <w:u w:color="666666"/>
          <w:rtl w:val="0"/>
          <w:lang w:val="zh-CN" w:eastAsia="zh-CN"/>
          <w14:textFill>
            <w14:solidFill>
              <w14:srgbClr w14:val="666666"/>
            </w14:solidFill>
          </w14:textFill>
        </w:rPr>
        <w:t>商业执行计划与融资路线图</w:t>
      </w:r>
    </w:p>
    <w:p>
      <w:pPr>
        <w:pStyle w:val="正文"/>
        <w:bidi w:val="0"/>
      </w:pPr>
      <w:r>
        <w:rPr>
          <w:rFonts w:ascii="Arial" w:hAnsi="Arial"/>
          <w:i w:val="1"/>
          <w:iCs w:val="1"/>
          <w:outline w:val="0"/>
          <w:color w:val="66666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From R&amp;D to FDA Clearance to NASDAQ IPO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c0392b"/>
          <w:sz w:val="20"/>
          <w:szCs w:val="20"/>
          <w:u w:color="c0392b"/>
          <w:rtl w:val="0"/>
          <w:lang w:val="zh-CN" w:eastAsia="zh-CN"/>
          <w14:textFill>
            <w14:solidFill>
              <w14:srgbClr w14:val="C0392B"/>
            </w14:solidFill>
          </w14:textFill>
        </w:rPr>
        <w:t>机密文件</w:t>
      </w:r>
      <w:r>
        <w:rPr>
          <w:rFonts w:ascii="Arial" w:hAnsi="Arial"/>
          <w:b w:val="1"/>
          <w:bCs w:val="1"/>
          <w:outline w:val="0"/>
          <w:color w:val="c0392b"/>
          <w:sz w:val="20"/>
          <w:szCs w:val="20"/>
          <w:u w:color="c0392b"/>
          <w:rtl w:val="0"/>
          <w14:textFill>
            <w14:solidFill>
              <w14:srgbClr w14:val="C0392B"/>
            </w14:solidFill>
          </w14:textFill>
        </w:rPr>
        <w:t xml:space="preserve"> </w:t>
      </w:r>
      <w:r>
        <w:rPr>
          <w:rFonts w:ascii="Arial" w:hAnsi="Arial" w:hint="default"/>
          <w:b w:val="1"/>
          <w:bCs w:val="1"/>
          <w:outline w:val="0"/>
          <w:color w:val="c0392b"/>
          <w:sz w:val="20"/>
          <w:szCs w:val="20"/>
          <w:u w:color="c0392b"/>
          <w:rtl w:val="0"/>
          <w:lang w:val="en-US"/>
          <w14:textFill>
            <w14:solidFill>
              <w14:srgbClr w14:val="C0392B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c0392b"/>
          <w:sz w:val="20"/>
          <w:szCs w:val="20"/>
          <w:u w:color="c0392b"/>
          <w:rtl w:val="0"/>
          <w:lang w:val="en-US"/>
          <w14:textFill>
            <w14:solidFill>
              <w14:srgbClr w14:val="C0392B"/>
            </w14:solidFill>
          </w14:textFill>
        </w:rPr>
        <w:t>CONFIDENTIAL</w:t>
      </w:r>
    </w:p>
    <w:p>
      <w:pPr>
        <w:pStyle w:val="正文"/>
        <w:bidi w:val="0"/>
      </w:pP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2026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年</w:t>
      </w:r>
      <w:r>
        <w:rPr>
          <w:rFonts w:ascii="Arial" w:hAnsi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>月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sz w:val="36"/>
          <w:szCs w:val="36"/>
          <w:u w:color="1a3a5c"/>
          <w:rtl w:val="0"/>
          <w14:textFill>
            <w14:solidFill>
              <w14:srgbClr w14:val="1A3A5C"/>
            </w14:solidFill>
          </w14:textFill>
        </w:rPr>
        <w:t>目</w:t>
      </w:r>
      <w:r>
        <w:rPr>
          <w:rFonts w:ascii="Arial" w:hAnsi="Arial"/>
          <w:b w:val="1"/>
          <w:bCs w:val="1"/>
          <w:outline w:val="0"/>
          <w:color w:val="1a3a5c"/>
          <w:sz w:val="36"/>
          <w:szCs w:val="36"/>
          <w:u w:color="1a3a5c"/>
          <w:rtl w:val="0"/>
          <w14:textFill>
            <w14:solidFill>
              <w14:srgbClr w14:val="1A3A5C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a3a5c"/>
          <w:sz w:val="36"/>
          <w:szCs w:val="36"/>
          <w:u w:color="1a3a5c"/>
          <w:rtl w:val="0"/>
          <w:lang w:val="zh-CN" w:eastAsia="zh-CN"/>
          <w14:textFill>
            <w14:solidFill>
              <w14:srgbClr w14:val="1A3A5C"/>
            </w14:solidFill>
          </w14:textFill>
        </w:rPr>
        <w:t>录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一、执行摘要</w:t>
      </w:r>
      <w:r>
        <w:rPr>
          <w:rFonts w:ascii="Arial" w:hAnsi="Arial"/>
          <w:b w:val="1"/>
          <w:bCs w:val="1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</w:t>
      </w:r>
      <w:r>
        <w:rPr>
          <w:rFonts w:ascii="Arial" w:hAnsi="Arial"/>
          <w:b w:val="1"/>
          <w:bCs w:val="1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(Executive Summary)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3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二、产品与技术概览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4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临床痛点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4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解决方案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4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2.3 MyoBus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协议与技术护城河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4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三、全球公司架构与商业模式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5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双主体架构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5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商业模式：第三方租赁运营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5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四、</w:t>
      </w:r>
      <w:r>
        <w:rPr>
          <w:rFonts w:ascii="Arial" w:hAnsi="Arial"/>
          <w:b w:val="1"/>
          <w:bCs w:val="1"/>
          <w:outline w:val="0"/>
          <w:color w:val="333333"/>
          <w:u w:color="333333"/>
          <w:rtl w:val="0"/>
          <w:lang w:val="fr-FR"/>
          <w14:textFill>
            <w14:solidFill>
              <w14:srgbClr w14:val="333333"/>
            </w14:solidFill>
          </w14:textFill>
        </w:rPr>
        <w:t xml:space="preserve">FDA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注册路径与时间线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7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模块化</w:t>
      </w: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 510(k)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策略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7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注册时间线详解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7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五、市场推广与商业化路径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8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目标市场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8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商业化分阶段计划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8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收入模型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9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六、融资路线图与资金用途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10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种子轮（已完成）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10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6.2 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轮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10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14:textFill>
            <w14:solidFill>
              <w14:srgbClr w14:val="333333"/>
            </w14:solidFill>
          </w14:textFill>
        </w:rPr>
        <w:t xml:space="preserve">6.3 B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轮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11</w:t>
      </w:r>
    </w:p>
    <w:p>
      <w:pPr>
        <w:pStyle w:val="正文"/>
        <w:bidi w:val="0"/>
      </w:pPr>
      <w:r>
        <w:rPr>
          <w:rFonts w:ascii="Arial" w:hAnsi="Arial"/>
          <w:outline w:val="0"/>
          <w:color w:val="333333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 xml:space="preserve">6.4 Pre-IPO / NASDAQ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上市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11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七、全景里程碑时间线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12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八、退出路径与战略价值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13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九、风险分析与应对措施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14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十、团队与治理结构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15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十一、财务预测概要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16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附录</w:t>
      </w:r>
      <w:r>
        <w:rPr>
          <w:rFonts w:ascii="Arial" w:cs="Arial" w:hAnsi="Arial" w:eastAsia="Arial"/>
          <w:outline w:val="0"/>
          <w:color w:val="666666"/>
          <w:u w:color="666666"/>
          <w:rtl w:val="0"/>
          <w14:textFill>
            <w14:solidFill>
              <w14:srgbClr w14:val="666666"/>
            </w14:solidFill>
          </w14:textFill>
        </w:rPr>
        <w:tab/>
        <w:t>17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一、执行摘要</w:t>
      </w:r>
      <w:r>
        <w:rPr>
          <w:rFonts w:ascii="Arial" w:hAnsi="Arial" w:eastAsia="Arial Unicode MS"/>
          <w:rtl w:val="0"/>
        </w:rPr>
        <w:t xml:space="preserve"> </w:t>
      </w:r>
      <w:r>
        <w:rPr>
          <w:rFonts w:ascii="Arial" w:hAnsi="Arial" w:eastAsia="Arial Unicode MS"/>
          <w:rtl w:val="0"/>
          <w:lang w:val="en-US"/>
        </w:rPr>
        <w:t>(Executive Summary)</w:t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本公司致力于打造全球首个集成电阻抗断层成像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(EIT)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与表面肌电图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(sEMG)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呼吸监护平台，填补重症监护领域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通气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驱动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闭环监测的空白。</w:t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通过美国注册的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(Delaware C-Corp)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作为全球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持有主体及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注册主体，中国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公司作为硬件研发与制造基地，实现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技术研发中国化、资产持有美国化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的全球化架构。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公司独立拥有核心软件与算法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，委托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公司进行硬件研发、数据采集及供应链建设。产品通过模块化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510(k)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路径分步获得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清关，商业化阶段采用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第三方租赁公司运营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模式快速入市，目标在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年内登陆纳斯达克。</w:t>
      </w:r>
    </w:p>
    <w:p>
      <w:pPr>
        <w:pStyle w:val="小标题"/>
      </w:pP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当前融资状态：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种子轮已完成，融资</w:t>
      </w:r>
      <w:r>
        <w:rPr>
          <w:rFonts w:ascii="Arial" w:hAnsi="Arial" w:eastAsia="Arial Unicode MS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$1.8M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（直接股权），待资金到位可即时启动美国本地研发，硬件研发委托及</w:t>
      </w:r>
      <w:r>
        <w:rPr>
          <w:rFonts w:ascii="Arial" w:hAnsi="Arial" w:eastAsia="Arial Unicode MS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申报准备工作。</w:t>
      </w:r>
    </w:p>
    <w:p>
      <w:pPr>
        <w:pStyle w:val="小标题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4160"/>
        <w:gridCol w:w="30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核心指标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ja-JP" w:eastAsia="ja-JP"/>
                <w14:textFill>
                  <w14:solidFill>
                    <w14:srgbClr w14:val="FFFFFF"/>
                  </w14:solidFill>
                </w14:textFill>
              </w:rPr>
              <w:t>内容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时间节点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种子轮融资（已完成）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$1.8M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直接股权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0 (2026)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首个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 xml:space="preserve">FDA 510(k)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获批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sEMG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通用肌电模块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 Q3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Q4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 xml:space="preserve">A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轮融资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$8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$15M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，启动商业化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EIT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系统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510(k)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获批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EIT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肺部断层成像系统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3 Q1–Q2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B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轮融资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$25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$40M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，规模化扩张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3–Year 4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NASDAQ IPO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目标估值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$300M+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5 (2031)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二、产品与技术概览</w:t>
      </w:r>
    </w:p>
    <w:p>
      <w:pPr>
        <w:pStyle w:val="小标题 2"/>
      </w:pPr>
      <w:r>
        <w:rPr>
          <w:rtl w:val="0"/>
        </w:rPr>
        <w:t xml:space="preserve">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临床痛点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全球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每年有超过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1,500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万例患者接受机械通气治疗。传统呼吸机监护仅能提供全局压力和流量参数，无法反映肺内气体分布及患者自主呼吸努力，导致三大临床难题：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PEEP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设定盲目引发肺损伤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(VILI)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、膈肌萎缩导致撤机困难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(Weaning Failure)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、人机对抗影响治疗效果。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医生需要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看透肺部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且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感知动力</w:t>
      </w:r>
      <w:r>
        <w:rPr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的双重视觉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——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这正是本产品的核心价值所在。</w:t>
      </w:r>
    </w:p>
    <w:p>
      <w:pPr>
        <w:pStyle w:val="小标题 2"/>
      </w:pPr>
      <w:r>
        <w:rPr>
          <w:rtl w:val="0"/>
        </w:rPr>
        <w:t xml:space="preserve">2.2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解决方案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本产品是全球唯一将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与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集成的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呼吸监护平台，实现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看肺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驱动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双维监测：</w:t>
      </w:r>
    </w:p>
    <w:p>
      <w:pPr>
        <w:pStyle w:val="小标题 2"/>
      </w:pP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模块（看肺）：实时肺部断层成像，可视化肺通气分布，精准滴定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PEEP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，降低呼吸机相关肺损伤</w:t>
      </w:r>
      <w:r>
        <w:rPr>
          <w:outline w:val="0"/>
          <w:color w:val="333333"/>
          <w:sz w:val="22"/>
          <w:szCs w:val="22"/>
          <w:u w:color="333333"/>
          <w:rtl w:val="0"/>
          <w:lang w:val="it-IT"/>
          <w14:textFill>
            <w14:solidFill>
              <w14:srgbClr w14:val="333333"/>
            </w14:solidFill>
          </w14:textFill>
        </w:rPr>
        <w:t>(VILI)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风险。</w:t>
      </w:r>
    </w:p>
    <w:p>
      <w:pPr>
        <w:pStyle w:val="小标题 2"/>
      </w:pP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模块（看驱动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）：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微伏级高灵敏度表面肌电采集，实时监测膈肌活动，保护自主呼吸能力，促进早期撤机。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综合价值：缩短</w:t>
      </w:r>
      <w:r>
        <w:rPr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住院时间、降低医疗成本、提高撤机成功率。按美国</w:t>
      </w:r>
      <w:r>
        <w:rPr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日均费用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$4,000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–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$10,000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计算，每缩短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天通气即可显著降低单人次治疗成本。</w:t>
      </w:r>
    </w:p>
    <w:p>
      <w:pPr>
        <w:pStyle w:val="小标题 2"/>
      </w:pPr>
      <w:r>
        <w:rPr>
          <w:rtl w:val="0"/>
        </w:rPr>
        <w:t>2.3 MyoBus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协议与技术护城河</w:t>
      </w:r>
    </w:p>
    <w:p>
      <w:pPr>
        <w:pStyle w:val="小标题 2"/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MyoBus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是基于蓝牙低功耗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(BLE 5.0)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的医疗级无线协议，实现纯数据交互与电气完全隔离，确保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100%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患者安全。作为开放平台协议，未来可扩展至更多生理监测传感器，构建行业连接标准。专利布局已完成。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核心技术壁垒包括：全球唯一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EIT+sEMG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集成方案、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MyoBus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专利协议生态、微伏级高灵敏度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采集技术、以及多年积累的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信号处理算法。</w:t>
      </w:r>
    </w:p>
    <w:p>
      <w:pPr>
        <w:pStyle w:val="小标题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三、全球公司架构与商业模式</w:t>
      </w:r>
    </w:p>
    <w:p>
      <w:pPr>
        <w:pStyle w:val="小标题 2"/>
      </w:pPr>
      <w:r>
        <w:rPr>
          <w:rtl w:val="0"/>
        </w:rPr>
        <w:t xml:space="preserve">3.1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双主体架构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实体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职能与定位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美国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(Delaware C-Corp)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全球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持有者、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持证主体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(Legal Manufacturer)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、资本运作中心、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NASDAQ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上市主体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中国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硬件研发中心、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ISO 13485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认证工厂、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NMPA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注册主体、生产制造基地、供应链管理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  <w:widowControl w:val="0"/>
      </w:pPr>
    </w:p>
    <w:p>
      <w:pPr>
        <w:pStyle w:val="小标题 2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战略逻辑：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公司独立拥有核心软件、算法等知识产权，是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注册的法律制造商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(Legal Manufacturer)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。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公司作为合同研发与制造商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(Contract Manufacturer)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，承担硬件研发、数据采集及生产制造。两者通过委托研发协议和供应链合同紧密协作，实现地缘政治风险规避与成本优化的双重目标。</w:t>
      </w:r>
    </w:p>
    <w:p>
      <w:pPr>
        <w:pStyle w:val="小标题 2"/>
      </w:pPr>
      <w:r>
        <w:rPr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商业模式：第三方租赁运营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产品上市后，采用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轻资产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策略，将设备的市场推广、销售、安装及售后服务委托给美国专业医疗设备租赁公司经营。这一模式的核心优势：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降低前期商业化资本投入：无需自建销售团队和服务网络，显著降低固定成本和盈亏平衡点。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快速市场渗透：利用租赁公司现有的医院渠道和客户关系快速铺开，缩短从获批到入院的时间窗口。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经常性收入（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Recurring Revenue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）：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租赁模式产生稳定现金流，提升估值倍数，对资本市场更具吸引力。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降低医院采购门槛：医院无需资本支出即可使用设备，按月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按次付费，加速临床采纳。</w:t>
      </w:r>
    </w:p>
    <w:p>
      <w:pPr>
        <w:pStyle w:val="小标题 3"/>
      </w:pPr>
      <w:r>
        <w:rPr>
          <w:rtl w:val="0"/>
        </w:rPr>
        <w:t xml:space="preserve">3.2.1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租赁合作模式细节</w:t>
      </w:r>
    </w:p>
    <w:p>
      <w:pPr>
        <w:pStyle w:val="小标题 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与租赁公司的合作分为两种模式：</w:t>
      </w:r>
    </w:p>
    <w:p>
      <w:pPr>
        <w:pStyle w:val="小标题 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模式</w:t>
      </w:r>
      <w:r>
        <w:rPr>
          <w:outline w:val="0"/>
          <w:color w:val="333333"/>
          <w:sz w:val="22"/>
          <w:szCs w:val="22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A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设备转售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服务协议：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公司将设备批量销售给租赁公司，租赁公司负责向医院客户提供租赁服务。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公司持续提供技术支持、软件更新和临床培训，按服务合同收费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(SaaS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式年费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。该模式下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公司获得一次性设备收入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持续服务收入。</w:t>
      </w:r>
    </w:p>
    <w:p>
      <w:pPr>
        <w:pStyle w:val="小标题 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模式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B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收入分成：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公司保留设备所有权，委托租赁公司代为运营。租金收入按约定比例分成（通常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70–80%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，租赁公司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20–30%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）。该模式下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公司获得更高的长期收益，但前期需要承担设备资产。</w:t>
      </w:r>
    </w:p>
    <w:p>
      <w:pPr>
        <w:pStyle w:val="小标题 3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四、</w:t>
      </w:r>
      <w:r>
        <w:rPr>
          <w:rFonts w:ascii="Arial" w:hAnsi="Arial" w:eastAsia="Arial Unicode MS"/>
          <w:rtl w:val="0"/>
          <w:lang w:val="de-DE"/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注册路径与时间线</w:t>
      </w:r>
    </w:p>
    <w:p>
      <w:pPr>
        <w:pStyle w:val="小标题 2"/>
      </w:pPr>
      <w:r>
        <w:rPr>
          <w:rtl w:val="0"/>
        </w:rPr>
        <w:t xml:space="preserve">4.1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模块化</w:t>
      </w:r>
      <w:r>
        <w:rPr>
          <w:rtl w:val="0"/>
        </w:rPr>
        <w:t>510(k)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策略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放弃高风险的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De Novo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路径，采用成熟的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510(k)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路径，将产品拆分为两个独立模块分步申报，互不干扰、风险分散：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5560"/>
        <w:gridCol w:w="23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阶段</w:t>
            </w:r>
          </w:p>
        </w:tc>
        <w:tc>
          <w:tcPr>
            <w:tcW w:type="dxa" w:w="5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产品与路径</w:t>
            </w:r>
          </w:p>
        </w:tc>
        <w:tc>
          <w:tcPr>
            <w:tcW w:type="dxa" w:w="2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ja-JP" w:eastAsia="ja-JP"/>
                <w14:textFill>
                  <w14:solidFill>
                    <w14:srgbClr w14:val="FFFFFF"/>
                  </w14:solidFill>
                </w14:textFill>
              </w:rPr>
              <w:t>周期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Phase 1</w:t>
            </w:r>
          </w:p>
        </w:tc>
        <w:tc>
          <w:tcPr>
            <w:tcW w:type="dxa" w:w="5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通用肌电模块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，产品代码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nl-NL"/>
                <w14:textFill>
                  <w14:solidFill>
                    <w14:srgbClr w14:val="333333"/>
                  </w14:solidFill>
                </w14:textFill>
              </w:rPr>
              <w:t>IKN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，对标现有肌电设备</w:t>
            </w:r>
          </w:p>
        </w:tc>
        <w:tc>
          <w:tcPr>
            <w:tcW w:type="dxa" w:w="2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8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个月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Phase 2</w:t>
            </w:r>
          </w:p>
        </w:tc>
        <w:tc>
          <w:tcPr>
            <w:tcW w:type="dxa" w:w="5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肺部断层成像系统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 xml:space="preserve">—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，对标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sv-SE"/>
                <w14:textFill>
                  <w14:solidFill>
                    <w14:srgbClr w14:val="333333"/>
                  </w14:solidFill>
                </w14:textFill>
              </w:rPr>
              <w:t>Timpel Enlight 2100</w:t>
            </w:r>
          </w:p>
        </w:tc>
        <w:tc>
          <w:tcPr>
            <w:tcW w:type="dxa" w:w="23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9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12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个月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r>
        <w:rPr>
          <w:rtl w:val="0"/>
        </w:rPr>
        <w:t xml:space="preserve">4.2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注册时间线详解</w:t>
      </w:r>
    </w:p>
    <w:p>
      <w:pPr>
        <w:pStyle w:val="小标题 3"/>
      </w:pPr>
      <w:r>
        <w:rPr>
          <w:rtl w:val="0"/>
          <w:lang w:val="en-US"/>
        </w:rPr>
        <w:t>Phase 1: 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模块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(Year 0 Q3 </w:t>
      </w:r>
      <w:r>
        <w:rPr>
          <w:rtl w:val="0"/>
        </w:rPr>
        <w:t xml:space="preserve">– </w:t>
      </w:r>
      <w:r>
        <w:rPr>
          <w:rtl w:val="0"/>
          <w:lang w:val="en-US"/>
        </w:rPr>
        <w:t>Year 1 Q4)</w:t>
      </w:r>
    </w:p>
    <w:p>
      <w:pPr>
        <w:pStyle w:val="小标题 3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686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时间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任务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Month 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Pre-Submission Meeting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申请，确认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对谓定用途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(Intended Use)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、对比器械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(Predicate Device)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的认可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Month 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完成电磁兼容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(EMC)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、电气安全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(IEC 60601)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、生物相容性等第三方检测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Month 4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网络安全验证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(Cybersecurity Documentation)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Month 5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提交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申请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Month 6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</w:t>
            </w:r>
          </w:p>
        </w:tc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审查期，响应可能的补充问题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(AI/RTA)</w:t>
            </w:r>
          </w:p>
        </w:tc>
      </w:tr>
    </w:tbl>
    <w:p>
      <w:pPr>
        <w:pStyle w:val="小标题 3"/>
        <w:widowControl w:val="0"/>
      </w:pPr>
    </w:p>
    <w:p>
      <w:pPr>
        <w:pStyle w:val="小标题 3"/>
      </w:pPr>
      <w:r>
        <w:rPr>
          <w:rtl w:val="0"/>
          <w:lang w:val="en-US"/>
        </w:rPr>
        <w:t>Phase 2: 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系统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(Year 1 Q2 </w:t>
      </w:r>
      <w:r>
        <w:rPr>
          <w:rtl w:val="0"/>
        </w:rPr>
        <w:t xml:space="preserve">– </w:t>
      </w:r>
      <w:r>
        <w:rPr>
          <w:rtl w:val="0"/>
          <w:lang w:val="en-US"/>
        </w:rPr>
        <w:t>Year 3 Q2)</w:t>
      </w:r>
    </w:p>
    <w:p>
      <w:pPr>
        <w:pStyle w:val="小标题 3"/>
      </w:pPr>
      <w:r>
        <w:rPr>
          <w:sz w:val="22"/>
          <w:szCs w:val="22"/>
        </w:rPr>
        <w:t>EIT产品线需在A轮融资到位后方可启动，整体流程分为五个阶段：</w:t>
      </w:r>
    </w:p>
    <w:p>
      <w:pPr>
        <w:pStyle w:val="小标题 3"/>
      </w:pPr>
      <w:r>
        <w:rPr>
          <w:b/>
          <w:bCs/>
          <w:sz w:val="22"/>
          <w:szCs w:val="22"/>
        </w:rPr>
        <w:t xml:space="preserve">1. IP转移谈判（Year 1 Q2–Q4）：</w:t>
      </w:r>
      <w:r>
        <w:rPr>
          <w:sz w:val="22"/>
          <w:szCs w:val="22"/>
        </w:rPr>
        <w:t>A轮资金到位后，启动与A公司的EIT知识产权转移谈判（买断或授权许可，视谈判情况而定），完成协议签署。</w:t>
      </w:r>
    </w:p>
    <w:p>
      <w:pPr>
        <w:pStyle w:val="小标题 3"/>
      </w:pPr>
      <w:r>
        <w:rPr>
          <w:b/>
          <w:bCs/>
          <w:sz w:val="22"/>
          <w:szCs w:val="22"/>
        </w:rPr>
        <w:t xml:space="preserve">2. FDA本土化适配（Year 2 Q1–Q2）：</w:t>
      </w:r>
      <w:r>
        <w:rPr>
          <w:sz w:val="22"/>
          <w:szCs w:val="22"/>
        </w:rPr>
        <w:t>将EIT硬件设计适配美国FDA要求，包括电气安全标准、标签法规、软件验证(IEC 62304)、网络安全合规。</w:t>
      </w:r>
    </w:p>
    <w:p>
      <w:pPr>
        <w:pStyle w:val="小标题 3"/>
      </w:pPr>
      <w:r>
        <w:rPr>
          <w:b/>
          <w:bCs/>
          <w:sz w:val="22"/>
          <w:szCs w:val="22"/>
        </w:rPr>
        <w:t xml:space="preserve">3. 第三方检测与验证（Year 2 Q2–Q3）：</w:t>
      </w:r>
      <w:r>
        <w:rPr>
          <w:sz w:val="22"/>
          <w:szCs w:val="22"/>
        </w:rPr>
        <w:t>完成IEC 60601、EMC等第三方检测，整理临床性能验证数据，准备对标器械分析报告(Timpel Enlight 2100)。</w:t>
      </w:r>
    </w:p>
    <w:p>
      <w:pPr>
        <w:pStyle w:val="小标题 3"/>
      </w:pPr>
      <w:r>
        <w:rPr>
          <w:b/>
          <w:bCs/>
          <w:sz w:val="22"/>
          <w:szCs w:val="22"/>
        </w:rPr>
        <w:t xml:space="preserve">4. 510(k)提交（Year 2 Q3–Q4）：</w:t>
      </w:r>
      <w:r>
        <w:rPr>
          <w:sz w:val="22"/>
          <w:szCs w:val="22"/>
        </w:rPr>
        <w:t>EIT系统510(k)申请正式提交FDA，对标Timpel Enlight 2100。</w:t>
      </w:r>
    </w:p>
    <w:p>
      <w:pPr>
        <w:pStyle w:val="小标题 3"/>
      </w:pPr>
      <w:r>
        <w:rPr>
          <w:b/>
          <w:bCs/>
          <w:sz w:val="22"/>
          <w:szCs w:val="22"/>
        </w:rPr>
        <w:t xml:space="preserve">5. FDA审查与获批（Year 3 Q1–Q2）：</w:t>
      </w:r>
      <w:r>
        <w:rPr>
          <w:sz w:val="22"/>
          <w:szCs w:val="22"/>
        </w:rPr>
        <w:t>预计审查周期6–9个月，获批后双产品线完成，进入全面商业化阶段。</w:t>
      </w:r>
    </w:p>
    <w:p>
      <w:pPr>
        <w:pStyle w:val="小标题 3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五、市场推广与商业化路径</w:t>
      </w:r>
    </w:p>
    <w:p>
      <w:pPr>
        <w:pStyle w:val="小标题 2"/>
      </w:pPr>
      <w:r>
        <w:rPr>
          <w:rtl w:val="0"/>
        </w:rPr>
        <w:t xml:space="preserve">5.1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目标市场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美国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呼吸监护设备市场规模约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$4.5B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，其中与呼吸机相关的辅助监测设备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(EIT/sEMG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类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市场正处于早期快速增长阶段。初期目标客户为美国教学医院及大型医疗中心的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部门。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目标市场进入策略：以临床证据驱动市场采纳，通过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KOL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学术网络建立品牌认知，再借助租赁渠道实现规模化渗透。</w:t>
      </w:r>
    </w:p>
    <w:p>
      <w:pPr>
        <w:pStyle w:val="小标题 2"/>
      </w:pPr>
      <w:r>
        <w:rPr>
          <w:rtl w:val="0"/>
        </w:rPr>
        <w:t xml:space="preserve">5.2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商业化分阶段计划</w:t>
      </w:r>
    </w:p>
    <w:p>
      <w:pPr>
        <w:pStyle w:val="小标题 3"/>
      </w:pPr>
      <w:r>
        <w:rPr>
          <w:rtl w:val="0"/>
          <w:lang w:val="en-US"/>
        </w:rPr>
        <w:t xml:space="preserve">Stage 1: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学术种子期</w:t>
      </w:r>
      <w:r>
        <w:rPr>
          <w:rtl w:val="0"/>
        </w:rPr>
        <w:t xml:space="preserve"> </w:t>
      </w:r>
      <w:r>
        <w:rPr>
          <w:rtl w:val="0"/>
          <w:lang w:val="en-US"/>
        </w:rPr>
        <w:t>(Year 1</w:t>
      </w:r>
      <w:r>
        <w:rPr>
          <w:rtl w:val="0"/>
        </w:rPr>
        <w:t>–</w:t>
      </w:r>
      <w:r>
        <w:rPr>
          <w:rtl w:val="0"/>
          <w:lang w:val="en-US"/>
        </w:rPr>
        <w:t>Year 2)</w:t>
      </w:r>
    </w:p>
    <w:p>
      <w:pPr>
        <w:pStyle w:val="小标题 3"/>
      </w:pP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 510(k)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获批后立即启动。与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5–10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家美国顶级教学医院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ICU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建立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KOL(Key Opinion Leader)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合作网络，开展临床评估项目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(Clinical Evaluation Program)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，发表学术论文建立临床证据基础，通过学术会议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(SCCM, AARC, ATS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等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展示产品。</w:t>
      </w:r>
    </w:p>
    <w:p>
      <w:pPr>
        <w:pStyle w:val="小标题 3"/>
      </w:pPr>
      <w:r>
        <w:rPr>
          <w:rtl w:val="0"/>
          <w:lang w:val="da-DK"/>
        </w:rPr>
        <w:t xml:space="preserve">Stage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租赁商渠道建设</w:t>
      </w:r>
      <w:r>
        <w:rPr>
          <w:rtl w:val="0"/>
        </w:rPr>
        <w:t xml:space="preserve"> </w:t>
      </w:r>
      <w:r>
        <w:rPr>
          <w:rtl w:val="0"/>
          <w:lang w:val="en-US"/>
        </w:rPr>
        <w:t>(Year 2</w:t>
      </w:r>
      <w:r>
        <w:rPr>
          <w:rtl w:val="0"/>
        </w:rPr>
        <w:t>–</w:t>
      </w:r>
      <w:r>
        <w:rPr>
          <w:rtl w:val="0"/>
          <w:lang w:val="en-US"/>
        </w:rPr>
        <w:t>Year 3)</w:t>
      </w:r>
    </w:p>
    <w:p>
      <w:pPr>
        <w:pStyle w:val="小标题 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与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1–2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家美国主流医疗设备租赁公司签署独家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优先合作协议。典型合作伙伴包括：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HILL-ROM (Baxter)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、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Medline Industries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、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US Med-Equip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等。租赁公司负责市场推广、安装部署、日常维护；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公司提供临床培训、软件更新、技术支持。</w:t>
      </w:r>
    </w:p>
    <w:p>
      <w:pPr>
        <w:pStyle w:val="小标题 3"/>
      </w:pPr>
      <w:r>
        <w:rPr>
          <w:rtl w:val="0"/>
          <w:lang w:val="en-US"/>
        </w:rPr>
        <w:t xml:space="preserve">Stage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规模化扩张</w:t>
      </w:r>
      <w:r>
        <w:rPr>
          <w:rtl w:val="0"/>
        </w:rPr>
        <w:t xml:space="preserve"> </w:t>
      </w:r>
      <w:r>
        <w:rPr>
          <w:rtl w:val="0"/>
          <w:lang w:val="en-US"/>
        </w:rPr>
        <w:t>(Year 3</w:t>
      </w:r>
      <w:r>
        <w:rPr>
          <w:rtl w:val="0"/>
        </w:rPr>
        <w:t>–</w:t>
      </w:r>
      <w:r>
        <w:rPr>
          <w:rtl w:val="0"/>
          <w:lang w:val="en-US"/>
        </w:rPr>
        <w:t>Year 5)</w:t>
      </w:r>
    </w:p>
    <w:p>
      <w:pPr>
        <w:pStyle w:val="小标题 3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扩大租赁商网络至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3–5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家，覆盖美国主要医疗区域。同步启动欧盟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认证及日本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PMDA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注册，开拓国际市场。探索与呼吸机厂商的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s-ES_tradnl"/>
          <w14:textFill>
            <w14:solidFill>
              <w14:srgbClr w14:val="333333"/>
            </w14:solidFill>
          </w14:textFill>
        </w:rPr>
        <w:t>OEM/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白牌合作模式，将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MyoBus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协议嵌入主流呼吸机平台。</w:t>
      </w:r>
    </w:p>
    <w:p>
      <w:pPr>
        <w:pStyle w:val="小标题 2"/>
      </w:pPr>
      <w:r>
        <w:rPr>
          <w:rtl w:val="0"/>
        </w:rPr>
        <w:t xml:space="preserve">5.3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收入模型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4760"/>
        <w:gridCol w:w="24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收入流</w:t>
            </w:r>
          </w:p>
        </w:tc>
        <w:tc>
          <w:tcPr>
            <w:tcW w:type="dxa" w:w="4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TW" w:eastAsia="zh-TW"/>
                <w14:textFill>
                  <w14:solidFill>
                    <w14:srgbClr w14:val="FFFFFF"/>
                  </w14:solidFill>
                </w14:textFill>
              </w:rPr>
              <w:t>描述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比例预期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设备销售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租赁收入</w:t>
            </w:r>
          </w:p>
        </w:tc>
        <w:tc>
          <w:tcPr>
            <w:tcW w:type="dxa" w:w="4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向租赁公司批量销售设备或按租金分成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55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软件订阅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(SaaS)</w:t>
            </w:r>
          </w:p>
        </w:tc>
        <w:tc>
          <w:tcPr>
            <w:tcW w:type="dxa" w:w="4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临床决策支持软件、数据分析平台年费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25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消耗品</w:t>
            </w:r>
          </w:p>
        </w:tc>
        <w:tc>
          <w:tcPr>
            <w:tcW w:type="dxa" w:w="4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专用电极带、传感器贴片等</w:t>
            </w:r>
          </w:p>
        </w:tc>
        <w:tc>
          <w:tcPr>
            <w:tcW w:type="dxa" w:w="24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15%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六、融资路线图与资金用途</w:t>
      </w:r>
    </w:p>
    <w:p>
      <w:pPr>
        <w:pStyle w:val="小标题 2"/>
      </w:pPr>
      <w:r>
        <w:rPr>
          <w:rtl w:val="0"/>
        </w:rPr>
        <w:t xml:space="preserve">6.1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种子轮（已完成）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861" w:hRule="atLeast"/>
        </w:trPr>
        <w:tc>
          <w:tcPr>
            <w:tcW w:type="dxa" w:w="9360"/>
            <w:tcBorders>
              <w:top w:val="single" w:color="2d8f4e" w:sz="2" w:space="0" w:shadow="0" w:frame="0"/>
              <w:left w:val="single" w:color="2d8f4e" w:sz="2" w:space="0" w:shadow="0" w:frame="0"/>
              <w:bottom w:val="single" w:color="2d8f4e" w:sz="2" w:space="0" w:shadow="0" w:frame="0"/>
              <w:right w:val="single" w:color="2d8f4e" w:sz="2" w:space="0" w:shadow="0" w:frame="0"/>
            </w:tcBorders>
            <w:shd w:val="clear" w:color="auto" w:fill="eaf5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2d8f4e"/>
                <w:sz w:val="24"/>
                <w:szCs w:val="24"/>
                <w:u w:color="2d8f4e"/>
                <w:shd w:val="nil" w:color="auto" w:fill="auto"/>
                <w:rtl w:val="0"/>
                <w14:textFill>
                  <w14:solidFill>
                    <w14:srgbClr w14:val="2D8F4E"/>
                  </w14:solidFill>
                </w14:textFill>
              </w:rPr>
              <w:t>✓</w:t>
            </w:r>
            <w:r>
              <w:rPr>
                <w:rFonts w:ascii="Arial" w:hAnsi="Arial"/>
                <w:b w:val="1"/>
                <w:bCs w:val="1"/>
                <w:outline w:val="0"/>
                <w:color w:val="2d8f4e"/>
                <w:sz w:val="24"/>
                <w:szCs w:val="24"/>
                <w:u w:color="2d8f4e"/>
                <w:shd w:val="nil" w:color="auto" w:fill="auto"/>
                <w:rtl w:val="0"/>
                <w14:textFill>
                  <w14:solidFill>
                    <w14:srgbClr w14:val="2D8F4E"/>
                  </w14:solidFill>
                </w14:textFill>
              </w:rPr>
              <w:t xml:space="preserve">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2d8f4e"/>
                <w:sz w:val="24"/>
                <w:szCs w:val="24"/>
                <w:u w:color="2d8f4e"/>
                <w:shd w:val="nil" w:color="auto" w:fill="auto"/>
                <w:rtl w:val="0"/>
                <w:lang w:val="zh-CN" w:eastAsia="zh-CN"/>
                <w14:textFill>
                  <w14:solidFill>
                    <w14:srgbClr w14:val="2D8F4E"/>
                  </w14:solidFill>
                </w14:textFill>
              </w:rPr>
              <w:t>种子轮已完成</w:t>
            </w:r>
          </w:p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融资规模：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 xml:space="preserve">$1.8M  |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融资工具：直接股权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 |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状态：资金已到位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860"/>
        <w:gridCol w:w="25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资金用途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比例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委托中国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公司硬件研发、研发阶段数据采集及建立中国供应链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 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申报（规费、第三方检测、网络安全验证、临床数据整理）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美国运营（团队、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KOL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网络、早期市场开发）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30%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r>
        <w:rPr>
          <w:rtl w:val="0"/>
        </w:rPr>
        <w:t>6.2 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轮</w:t>
      </w:r>
      <w:r>
        <w:rPr>
          <w:rtl w:val="0"/>
        </w:rPr>
        <w:t xml:space="preserve"> </w:t>
      </w:r>
      <w:r>
        <w:rPr>
          <w:rtl w:val="0"/>
          <w:lang w:val="en-US"/>
        </w:rPr>
        <w:t>(Year 1</w:t>
      </w:r>
      <w:r>
        <w:rPr>
          <w:rtl w:val="0"/>
        </w:rPr>
        <w:t>–</w:t>
      </w:r>
      <w:r>
        <w:rPr>
          <w:rtl w:val="0"/>
          <w:lang w:val="en-US"/>
        </w:rPr>
        <w:t>Year 2)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融资规模：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$8M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–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$15M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触发条件：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提交</w:t>
      </w:r>
      <w:r>
        <w:rPr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 510(k)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申请（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模块）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初步</w:t>
      </w:r>
      <w:r>
        <w:rPr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KOL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临床数据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估值范围：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$30M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–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$60M (Pre-Money)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860"/>
        <w:gridCol w:w="25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资金用途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比例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商业化启动（租赁商合作、初始库存生产、临床培训体系）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产品本土化及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申报及注册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研发迭代（下一代产品、软件平台、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算法）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20%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运营与人才储备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15%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r>
        <w:rPr>
          <w:rtl w:val="0"/>
        </w:rPr>
        <w:t>6.3 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轮</w:t>
      </w:r>
      <w:r>
        <w:rPr>
          <w:rtl w:val="0"/>
        </w:rPr>
        <w:t xml:space="preserve"> </w:t>
      </w:r>
      <w:r>
        <w:rPr>
          <w:rtl w:val="0"/>
          <w:lang w:val="en-US"/>
        </w:rPr>
        <w:t>(Year 3–Year 4)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融资规模：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$25M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–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$40M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触发条件：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 510(k)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获批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租赁商合作启动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初始收入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估值范围：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$100M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–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$200M (Pre-Money)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860"/>
        <w:gridCol w:w="25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资金用途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比例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规模化生产与库存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国际市场拓展（欧盟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CE/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ja-JP" w:eastAsia="ja-JP"/>
                <w14:textFill>
                  <w14:solidFill>
                    <w14:srgbClr w14:val="333333"/>
                  </w14:solidFill>
                </w14:textFill>
              </w:rPr>
              <w:t>日本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PMDA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注册）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技术平台升级与新产品管线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68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前准备（审计、合规、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IR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团队）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15%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r>
        <w:rPr>
          <w:rtl w:val="0"/>
          <w:lang w:val="de-DE"/>
        </w:rPr>
        <w:t>6.4 Pre-IPO / NASDAQ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上市</w:t>
      </w:r>
      <w:r>
        <w:rPr>
          <w:rtl w:val="0"/>
        </w:rPr>
        <w:t xml:space="preserve"> </w:t>
      </w:r>
      <w:r>
        <w:rPr>
          <w:rtl w:val="0"/>
          <w:lang w:val="en-US"/>
        </w:rPr>
        <w:t>(Year 4</w:t>
      </w:r>
      <w:r>
        <w:rPr>
          <w:rtl w:val="0"/>
        </w:rPr>
        <w:t>–</w:t>
      </w:r>
      <w:r>
        <w:rPr>
          <w:rtl w:val="0"/>
          <w:lang w:val="en-US"/>
        </w:rPr>
        <w:t>Year 5)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目标在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Year 5 (2031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年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实现纳斯达克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。上市条件核心指标：年化经常性收入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(ARR)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达到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$15M+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，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双产品线获批，国际市场已启动，明确的增长曲线和扩张路径。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选择纳斯达克而非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NYSE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的原因：纳斯达克是医疗器械创新企业的首选上市地，对成长型公司更友好，且已有大量医疗器械公司在此上市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(Inspire Medical, Shockwave Medical, Inari Medical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等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。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4160"/>
        <w:gridCol w:w="30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IPO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准备工作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时间节点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责任方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选聘承销商与法律顾问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 Q1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CEO/CFO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SEC S-1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文件起草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 Q2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Q3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承销商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法律团队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审计完成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(PCAOB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标准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 Q3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外部审计师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Pre-IPO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路演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 Q4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管理层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+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承销商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NASDAQ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挂牌</w:t>
            </w:r>
          </w:p>
        </w:tc>
        <w:tc>
          <w:tcPr>
            <w:tcW w:type="dxa" w:w="41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5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ja-JP" w:eastAsia="ja-JP"/>
                <w14:textFill>
                  <w14:solidFill>
                    <w14:srgbClr w14:val="333333"/>
                  </w14:solidFill>
                </w14:textFill>
              </w:rPr>
              <w:t>全体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七、全景里程碑时间线</w:t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以下为公司从种子轮到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的全景里程碑时间线。公司采用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双轨并行、分步推进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ru-RU"/>
          <w14:textFill>
            <w14:solidFill>
              <w14:srgbClr w14:val="333333"/>
            </w14:solidFill>
          </w14:textFill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TW" w:eastAsia="zh-TW"/>
          <w14:textFill>
            <w14:solidFill>
              <w14:srgbClr w14:val="333333"/>
            </w14:solidFill>
          </w14:textFill>
        </w:rPr>
        <w:t>策略：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产品线由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公司自有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直接推进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注册；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产品线需在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轮融资到位后，完成与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公司的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转移谈判及硬件</w:t>
      </w:r>
      <w:r>
        <w:rPr>
          <w:rFonts w:ascii="Arial" w:hAnsi="Arial" w:eastAsia="Arial Unicode MS"/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本土化适配，再启动注册流程。</w:t>
      </w:r>
    </w:p>
    <w:p>
      <w:pPr>
        <w:pStyle w:val="小标题"/>
      </w:pPr>
      <w:r>
        <w:rPr>
          <w:rFonts w:ascii="Arial" w:hAnsi="Arial" w:eastAsia="Arial Unicode MS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Phase I </w:t>
      </w:r>
      <w:r>
        <w:rPr>
          <w:rFonts w:ascii="Arial" w:hAnsi="Arial" w:eastAsia="Arial Unicode MS" w:hint="default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— </w:t>
      </w:r>
      <w:r>
        <w:rPr>
          <w:rFonts w:ascii="Arial" w:hAnsi="Arial" w:eastAsia="Arial Unicode MS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产品线（</w:t>
      </w:r>
      <w:r>
        <w:rPr>
          <w:rFonts w:ascii="Arial" w:hAnsi="Arial" w:eastAsia="Arial Unicode MS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B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公司自有</w:t>
      </w:r>
      <w:r>
        <w:rPr>
          <w:rFonts w:ascii="Arial" w:hAnsi="Arial" w:eastAsia="Arial Unicode MS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，种子轮资金驱动）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200"/>
        <w:gridCol w:w="3760"/>
        <w:gridCol w:w="16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时间节点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里程碑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关键任务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融资事件</w:t>
            </w:r>
          </w:p>
        </w:tc>
      </w:tr>
      <w:tr>
        <w:tblPrEx>
          <w:shd w:val="clear" w:color="auto" w:fill="ced7e7"/>
        </w:tblPrEx>
        <w:trPr>
          <w:trHeight w:val="96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0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公司设立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Delaware C-Corp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注册，委托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公司启动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硬件研发与数据采集，组建美国团队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种子轮完成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✓</w:t>
            </w:r>
          </w:p>
        </w:tc>
      </w:tr>
      <w:tr>
        <w:tblPrEx>
          <w:shd w:val="clear" w:color="auto" w:fill="ced7e7"/>
        </w:tblPrEx>
        <w:trPr>
          <w:trHeight w:val="901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0 Q3-Q4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启动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模块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Pre-Submission Meeting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申请，确认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Intended Use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与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Predicate Device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0 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第三方检测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IEC 60601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电气安全、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EMC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电磁兼容、生物相容性检测，网络安全验证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提交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模块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申请正式提交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轮开启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 Q3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★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获批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产品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FDA 510(k) Clearance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 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KOL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网络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与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家美国教学医院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ICU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建立临床评估合作，启动学术发表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Fonts w:ascii="Arial" w:hAnsi="Arial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Phase II </w:t>
      </w:r>
      <w:r>
        <w:rPr>
          <w:rFonts w:ascii="Arial" w:hAnsi="Arial" w:hint="default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— </w:t>
      </w:r>
      <w:r>
        <w:rPr>
          <w:rFonts w:ascii="Arial" w:hAnsi="Arial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产品线（</w:t>
      </w:r>
      <w:r>
        <w:rPr>
          <w:rFonts w:ascii="Arial" w:hAnsi="Arial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在</w:t>
      </w:r>
      <w:r>
        <w:rPr>
          <w:rFonts w:ascii="Arial" w:hAnsi="Arial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公司，需</w:t>
      </w:r>
      <w:r>
        <w:rPr>
          <w:rFonts w:ascii="Arial" w:hAnsi="Arial"/>
          <w:outline w:val="0"/>
          <w:color w:val="2e75b6"/>
          <w:sz w:val="22"/>
          <w:szCs w:val="22"/>
          <w:u w:color="2e75b6"/>
          <w:rtl w:val="0"/>
          <w14:textFill>
            <w14:solidFill>
              <w14:srgbClr w14:val="2E75B6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轮资金驱动转移与本土化）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200"/>
        <w:gridCol w:w="3760"/>
        <w:gridCol w:w="16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时间节点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里程碑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关键任务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融资事件</w:t>
            </w:r>
          </w:p>
        </w:tc>
      </w:tr>
      <w:tr>
        <w:tblPrEx>
          <w:shd w:val="clear" w:color="auto" w:fill="ced7e7"/>
        </w:tblPrEx>
        <w:trPr>
          <w:trHeight w:val="96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 Q2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Q3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 IP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谈判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轮资金到位，启动与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公司的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知识产权转移谈判（买断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授权许可，视谈判情况而定）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轮进行中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 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协议签署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完成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 IP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转移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/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许可协议，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公司获得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技术在美国市场的合法使用权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96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本土化适配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将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硬件设计适配美国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要求：电气安全标准、标签法规、软件验证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(IEC 62304)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、网络安全合规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 Q2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Q3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检测与验证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完成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系统第三方检测（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IEC 60601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EMC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），临床性能验证数据整理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 Q3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 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提交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系统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申请提交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，对标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sv-SE"/>
                <w14:textFill>
                  <w14:solidFill>
                    <w14:srgbClr w14:val="333333"/>
                  </w14:solidFill>
                </w14:textFill>
              </w:rPr>
              <w:t>Timpel Enlight 2100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轮关闭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3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★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获批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系统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FDA 510(k) Clearance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，双产品线完成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Fonts w:ascii="Arial" w:hAnsi="Arial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Phase III </w:t>
      </w:r>
      <w:r>
        <w:rPr>
          <w:rFonts w:ascii="Arial" w:hAnsi="Arial" w:hint="default"/>
          <w:outline w:val="0"/>
          <w:color w:val="2e75b6"/>
          <w:sz w:val="22"/>
          <w:szCs w:val="22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e75b6"/>
          <w:sz w:val="22"/>
          <w:szCs w:val="22"/>
          <w:u w:color="2e75b6"/>
          <w:rtl w:val="0"/>
          <w:lang w:val="zh-CN" w:eastAsia="zh-CN"/>
          <w14:textFill>
            <w14:solidFill>
              <w14:srgbClr w14:val="2E75B6"/>
            </w14:solidFill>
          </w14:textFill>
        </w:rPr>
        <w:t>商业化与资本市场</w:t>
      </w:r>
    </w:p>
    <w:p>
      <w:pPr>
        <w:pStyle w:val="小标题"/>
        <w:widowControl w:val="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2200"/>
        <w:gridCol w:w="3760"/>
        <w:gridCol w:w="16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时间节点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里程碑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关键任务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融资事件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商业化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产品率先进入市场，与首家租赁公司签署合作协议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 Q3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初始收入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设备进入医院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ICU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，产生首笔收入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3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双产品上市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获批后与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组合推广，发挥集成平台优势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轮开启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3 Q3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规模化扩张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扩大租赁商网络至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家，启动欧盟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注册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国际市场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欧盟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认证获得，启动欧洲市场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轮关闭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 Q3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Q4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准备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选聘承销商、完成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PCAOB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审计、起草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SEC S-1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文件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5 Q1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Q2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★</w:t>
            </w: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NASDAQ IPO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纳斯达克挂牌上市</w:t>
            </w:r>
          </w:p>
        </w:tc>
        <w:tc>
          <w:tcPr>
            <w:tcW w:type="dxa" w:w="16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IPO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注：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产品线时间线取决于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轮融资进度及与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公司的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转移谈判结果。若谈判顺利且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轮及时到位，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Phase II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可与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Phase 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后段并行推进，整体时间线可压缩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6</w:t>
      </w:r>
      <w:r>
        <w:rPr>
          <w:rFonts w:ascii="Arial" w:hAnsi="Arial" w:hint="default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–</w:t>
      </w:r>
      <w:r>
        <w:rPr>
          <w:rFonts w:ascii="Arial" w:hAnsi="Arial"/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个月。</w:t>
      </w:r>
    </w:p>
    <w:p>
      <w:pPr>
        <w:pStyle w:val="小标题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八、退出路径与战略价值</w:t>
      </w:r>
    </w:p>
    <w:p>
      <w:pPr>
        <w:pStyle w:val="小标题 2"/>
      </w:pPr>
      <w:r>
        <w:rPr>
          <w:rtl w:val="0"/>
        </w:rPr>
        <w:t xml:space="preserve">8.1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主要退出路径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路径</w:t>
      </w:r>
      <w:r>
        <w:rPr>
          <w:outline w:val="0"/>
          <w:color w:val="333333"/>
          <w:sz w:val="22"/>
          <w:szCs w:val="22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 xml:space="preserve">A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NASDAQ IPO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：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首选路径，目标市值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$300M+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，为早期投资者提供流动性退出。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路径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 xml:space="preserve">B 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战略并购：若市场条件不利于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，可接受呼吸机巨头的战略收购。</w:t>
      </w:r>
    </w:p>
    <w:p>
      <w:pPr>
        <w:pStyle w:val="小标题 2"/>
      </w:pPr>
      <w:r>
        <w:rPr>
          <w:rtl w:val="0"/>
        </w:rPr>
        <w:t xml:space="preserve">8.2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潜在战略买家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3060"/>
        <w:gridCol w:w="38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公司</w:t>
            </w:r>
          </w:p>
        </w:tc>
        <w:tc>
          <w:tcPr>
            <w:tcW w:type="dxa" w:w="3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背景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并购逻辑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Dr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ä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ger</w:t>
            </w:r>
          </w:p>
        </w:tc>
        <w:tc>
          <w:tcPr>
            <w:tcW w:type="dxa" w:w="3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德国，呼吸机领导者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补充呼吸监测技术缺口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Medtronic</w:t>
            </w:r>
          </w:p>
        </w:tc>
        <w:tc>
          <w:tcPr>
            <w:tcW w:type="dxa" w:w="3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美国，医疗器械巨头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扩展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ICU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产品线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Hamilton Medical</w:t>
            </w:r>
          </w:p>
        </w:tc>
        <w:tc>
          <w:tcPr>
            <w:tcW w:type="dxa" w:w="3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瑞士，智能通气先驱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获取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EIT+sEMG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闭环技术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it-IT"/>
                <w14:textFill>
                  <w14:solidFill>
                    <w14:srgbClr w14:val="333333"/>
                  </w14:solidFill>
                </w14:textFill>
              </w:rPr>
              <w:t>Mindray(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迈瑞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)</w:t>
            </w:r>
          </w:p>
        </w:tc>
        <w:tc>
          <w:tcPr>
            <w:tcW w:type="dxa" w:w="3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中国，监护设备龙头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加强全球市场地位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GE HealthCare</w:t>
            </w:r>
          </w:p>
        </w:tc>
        <w:tc>
          <w:tcPr>
            <w:tcW w:type="dxa" w:w="30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美国，影像与监护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丰富重症监护产品组合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r>
        <w:rPr>
          <w:rtl w:val="0"/>
        </w:rPr>
        <w:t xml:space="preserve">8.3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核心并购价值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本公司对战略买家的核心价值在于：全球唯一的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EIT+sEMG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集成方案填补巨头产品线缺口，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MyoBus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开放协议生态提供平台级价值，即插即用的模块化架构降低整合成本，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de-DE"/>
          <w14:textFill>
            <w14:solidFill>
              <w14:srgbClr w14:val="333333"/>
            </w14:solidFill>
          </w14:textFill>
        </w:rPr>
        <w:t>FDA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双产品线清关消除监管风险。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对投资人的回报预期：基于种子轮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$1.8M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的投资基础，按照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轮中位估值</w:t>
      </w:r>
      <w:r>
        <w:rPr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$45M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计算，种子轮投资者可预期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10–15x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的账面回报；若实现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NASDAQ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上市，预期回报将进一步提升至</w:t>
      </w:r>
      <w:r>
        <w:rPr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50–100x+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。</w:t>
      </w:r>
    </w:p>
    <w:p>
      <w:pPr>
        <w:pStyle w:val="小标题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九、风险分析与应对措施</w:t>
      </w:r>
    </w:p>
    <w:p>
      <w:pPr>
        <w:pStyle w:val="小标题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3760"/>
        <w:gridCol w:w="38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风险类别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具体风险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应对措施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监管风险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审批延迟或被拒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模块化申报降低单点风险；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Pre-Sub Meeting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提前确认路径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市场风险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ICU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采购决策周期长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租赁模式降低采购门槛；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KOL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背书加速采纳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竞争风险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a-DK"/>
                <w14:textFill>
                  <w14:solidFill>
                    <w14:srgbClr w14:val="333333"/>
                  </w14:solidFill>
                </w14:textFill>
              </w:rPr>
              <w:t>Timpel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等现有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厂商扩展功能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全球唯一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EIT+sEMG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集成构成技术壁垒；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MyoBus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专利保护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地缘政治风险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中美关系影响供应链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转美国持有，中国仅作为合同制造商</w:t>
            </w:r>
          </w:p>
        </w:tc>
      </w:tr>
      <w:tr>
        <w:tblPrEx>
          <w:shd w:val="clear" w:color="auto" w:fill="ced7e7"/>
        </w:tblPrEx>
        <w:trPr>
          <w:trHeight w:val="558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融资风险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融资进度不及预期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SBIR/STTR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联邦资助作为补充；控制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burn rate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人才风险</w:t>
            </w:r>
          </w:p>
        </w:tc>
        <w:tc>
          <w:tcPr>
            <w:tcW w:type="dxa" w:w="3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关键技术人才流失</w:t>
            </w:r>
          </w:p>
        </w:tc>
        <w:tc>
          <w:tcPr>
            <w:tcW w:type="dxa" w:w="3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股权激励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(ESOP)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绑定核心团队；双基地运营降低依赖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十、团队与治理结构</w:t>
      </w:r>
    </w:p>
    <w:p>
      <w:pPr>
        <w:pStyle w:val="小标题 2"/>
      </w:pPr>
      <w:r>
        <w:rPr>
          <w:rtl w:val="0"/>
        </w:rPr>
        <w:t xml:space="preserve">10.1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核心团队规划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职位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职责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pt-PT"/>
                <w14:textFill>
                  <w14:solidFill>
                    <w14:srgbClr w14:val="333333"/>
                  </w14:solidFill>
                </w14:textFill>
              </w:rPr>
              <w:t>CEO / CTO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（创始人）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技术路线、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策略、融资、战略规划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VP of Regulatory Affairs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注册全流程管理，国际注册策略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VP of Clinical Affairs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KOL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网络、临床评估项目、学术发表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VP of Business Development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租赁商合作、渠道拓展、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OEM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谈判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CFO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（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轮后招募）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财务管理、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IPO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准备、投资者关系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</w:pPr>
      <w:r>
        <w:rPr>
          <w:rtl w:val="0"/>
        </w:rPr>
        <w:t xml:space="preserve">10.2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董事会规划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初期董事会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3–5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人，包含创始人、投资方代表、独立董事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医疗器械行业专家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。随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临近逐步扩展至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5–7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人，增加审计委员会、薪酬委员会等专业委员会。</w:t>
      </w:r>
    </w:p>
    <w:p>
      <w:pPr>
        <w:pStyle w:val="小标题 2"/>
      </w:pPr>
      <w:r>
        <w:rPr>
          <w:rtl w:val="0"/>
        </w:rPr>
        <w:t xml:space="preserve">10.3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股权结构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种子轮后股权结构基于直接股权融资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$1.8M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设计。公司预留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15–20%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的期权池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(ESOP)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用于未来核心人才招募与激励。后续各轮融资将按市场化估值进行稀释，确保创始团队在</w:t>
      </w:r>
      <w:r>
        <w:rPr>
          <w:b w:val="0"/>
          <w:bCs w:val="0"/>
          <w:outline w:val="0"/>
          <w:color w:val="333333"/>
          <w:sz w:val="22"/>
          <w:szCs w:val="22"/>
          <w:u w:color="333333"/>
          <w:rtl w:val="0"/>
          <w14:textFill>
            <w14:solidFill>
              <w14:srgbClr w14:val="333333"/>
            </w14:solidFill>
          </w14:textFill>
        </w:rPr>
        <w:t>IPO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前保持有效控制权。</w:t>
      </w:r>
    </w:p>
    <w:p>
      <w:pPr>
        <w:pStyle w:val="小标题 2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十一、财务预测概要</w:t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以下为基于保守假设的五年收入预测，假设市场渗透率逐步提升：</w:t>
      </w:r>
    </w:p>
    <w:p>
      <w:pPr>
        <w:pStyle w:val="小标题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1500"/>
        <w:gridCol w:w="1500"/>
        <w:gridCol w:w="1500"/>
        <w:gridCol w:w="1560"/>
        <w:gridCol w:w="180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TW" w:eastAsia="zh-TW"/>
                <w14:textFill>
                  <w14:solidFill>
                    <w14:srgbClr w14:val="FFFFFF"/>
                  </w14:solidFill>
                </w14:textFill>
              </w:rPr>
              <w:t>年份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装机量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台</w:t>
            </w: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)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设备收入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SaaS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收入</w:t>
            </w:r>
          </w:p>
        </w:tc>
        <w:tc>
          <w:tcPr>
            <w:tcW w:type="dxa" w:w="1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消耗品收入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总收入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1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$0.5M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1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—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$0.5M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2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100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$2.5M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$0.3M</w:t>
            </w:r>
          </w:p>
        </w:tc>
        <w:tc>
          <w:tcPr>
            <w:tcW w:type="dxa" w:w="1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$0.1M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$2.9M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3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300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$7.5M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$1.5M</w:t>
            </w:r>
          </w:p>
        </w:tc>
        <w:tc>
          <w:tcPr>
            <w:tcW w:type="dxa" w:w="1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$0.5M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$9.5M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4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400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600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$15M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$4M</w:t>
            </w:r>
          </w:p>
        </w:tc>
        <w:tc>
          <w:tcPr>
            <w:tcW w:type="dxa" w:w="1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$1.5M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$20.5M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Year 5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800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1200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$25M</w:t>
            </w:r>
          </w:p>
        </w:tc>
        <w:tc>
          <w:tcPr>
            <w:tcW w:type="dxa" w:w="1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$8M</w:t>
            </w:r>
          </w:p>
        </w:tc>
        <w:tc>
          <w:tcPr>
            <w:tcW w:type="dxa" w:w="15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$3M</w:t>
            </w:r>
          </w:p>
        </w:tc>
        <w:tc>
          <w:tcPr>
            <w:tcW w:type="dxa" w:w="18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$36M</w:t>
            </w:r>
          </w:p>
        </w:tc>
      </w:tr>
    </w:tbl>
    <w:p>
      <w:pPr>
        <w:pStyle w:val="小标题"/>
        <w:widowControl w:val="0"/>
      </w:pPr>
    </w:p>
    <w:p>
      <w:pPr>
        <w:pStyle w:val="小标题"/>
        <w:widowControl w:val="0"/>
      </w:pPr>
    </w:p>
    <w:p>
      <w:pPr>
        <w:pStyle w:val="小标题"/>
        <w:widowControl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2"/>
          <w:szCs w:val="22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注：以上预测基于美国市场单一市场假设，未包含国际市场收入。实际数据将根据租赁商合作进展和市场接受度调整。</w:t>
      </w:r>
    </w:p>
    <w:p>
      <w:pPr>
        <w:pStyle w:val="小标题 2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关键财务指标目标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指标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Year 5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目标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年化经常性收入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(ARR)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$15M+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毛利率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70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75%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客户数（医院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s-ES_tradnl"/>
                <w14:textFill>
                  <w14:solidFill>
                    <w14:srgbClr w14:val="333333"/>
                  </w14:solidFill>
                </w14:textFill>
              </w:rPr>
              <w:t>ICU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）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200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400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家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国际市场收入占比</w:t>
            </w:r>
          </w:p>
        </w:tc>
        <w:tc>
          <w:tcPr>
            <w:tcW w:type="dxa" w:w="4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15</w:t>
            </w:r>
            <w:r>
              <w:rPr>
                <w:rFonts w:ascii="Arial" w:hAnsi="Arial" w:hint="default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–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25%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  <w:widowControl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小标题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附录</w:t>
      </w:r>
    </w:p>
    <w:p>
      <w:pPr>
        <w:pStyle w:val="小标题 2"/>
      </w:pPr>
      <w:r>
        <w:rPr>
          <w:rtl w:val="0"/>
        </w:rPr>
        <w:t xml:space="preserve">A.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关键术语表</w:t>
      </w:r>
    </w:p>
    <w:p>
      <w:pPr>
        <w:pStyle w:val="小标题 2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6360"/>
      </w:tblGrid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术语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1a3a5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zh-CN" w:eastAsia="zh-CN"/>
                <w14:textFill>
                  <w14:solidFill>
                    <w14:srgbClr w14:val="FFFFFF"/>
                  </w14:solidFill>
                </w14:textFill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EIT (Electrical Impedance Tomography)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电阻抗断层成像，无创实时肺部成像技术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fr-FR"/>
                <w14:textFill>
                  <w14:solidFill>
                    <w14:srgbClr w14:val="333333"/>
                  </w14:solidFill>
                </w14:textFill>
              </w:rPr>
              <w:t>sEMG (Surface Electromyography)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表面肌电图，无创监测肌肉电活动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510(k)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de-DE"/>
                <w14:textFill>
                  <w14:solidFill>
                    <w14:srgbClr w14:val="333333"/>
                  </w14:solidFill>
                </w14:textFill>
              </w:rPr>
              <w:t>FDA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上市前通知路径，证明与已上市器械等同性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ARR (Annual Recurring Revenue)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年化经常性收入，</w:t>
            </w: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14:textFill>
                  <w14:solidFill>
                    <w14:srgbClr w14:val="333333"/>
                  </w14:solidFill>
                </w14:textFill>
              </w:rPr>
              <w:t>SaaS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模式核心指标</w:t>
            </w:r>
          </w:p>
        </w:tc>
      </w:tr>
      <w:tr>
        <w:tblPrEx>
          <w:shd w:val="clear" w:color="auto" w:fill="ced7e7"/>
        </w:tblPrEx>
        <w:trPr>
          <w:trHeight w:val="479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PEEP (Positive End-Expiratory Pressure)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呼气末正压，呼吸机治疗关键参数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KOL (Key Opinion Leader)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关键意见领袖，医疗行业学术带头人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en-US"/>
                <w14:textFill>
                  <w14:solidFill>
                    <w14:srgbClr w14:val="333333"/>
                  </w14:solidFill>
                </w14:textFill>
              </w:rPr>
              <w:t>CDMO</w:t>
            </w:r>
          </w:p>
        </w:tc>
        <w:tc>
          <w:tcPr>
            <w:tcW w:type="dxa" w:w="63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2f5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默认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33333"/>
                <w:sz w:val="20"/>
                <w:szCs w:val="20"/>
                <w:u w:color="333333"/>
                <w:shd w:val="nil" w:color="auto" w:fill="auto"/>
                <w:rtl w:val="0"/>
                <w:lang w:val="zh-CN" w:eastAsia="zh-CN"/>
                <w14:textFill>
                  <w14:solidFill>
                    <w14:srgbClr w14:val="333333"/>
                  </w14:solidFill>
                </w14:textFill>
              </w:rPr>
              <w:t>合同研发生产组织</w:t>
            </w:r>
          </w:p>
        </w:tc>
      </w:tr>
    </w:tbl>
    <w:p>
      <w:pPr>
        <w:pStyle w:val="小标题 2"/>
        <w:widowControl w:val="0"/>
      </w:pPr>
    </w:p>
    <w:p>
      <w:pPr>
        <w:pStyle w:val="小标题 2"/>
        <w:widowControl w:val="0"/>
      </w:pPr>
    </w:p>
    <w:p>
      <w:pPr>
        <w:pStyle w:val="小标题 2"/>
      </w:pPr>
      <w:r>
        <w:rPr>
          <w:rtl w:val="0"/>
        </w:rPr>
        <w:t xml:space="preserve">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参考文献与数据来源</w:t>
      </w:r>
    </w:p>
    <w:p>
      <w:pPr>
        <w:pStyle w:val="小标题 2"/>
      </w:pPr>
      <w:r>
        <w:rPr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Levine S, et al. Rapid disuse atrophy of diaphragm fibers in mechanically ventilated humans. NEJM 2008; 358:1327-35.</w:t>
      </w:r>
    </w:p>
    <w:p>
      <w:pPr>
        <w:pStyle w:val="小标题 2"/>
      </w:pPr>
      <w:r>
        <w:rPr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Costa ELV, et al. Bedside estimation of recruitable alveolar collapse and hyperdistension by EIT. Intensive Care Med 2009.</w:t>
      </w:r>
    </w:p>
    <w:p>
      <w:pPr>
        <w:pStyle w:val="小标题 2"/>
      </w:pPr>
      <w:r>
        <w:rPr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Society of Critical Care Medicine. ICU cost data and benchmarks.</w:t>
      </w:r>
    </w:p>
    <w:p>
      <w:pPr>
        <w:pStyle w:val="小标题 2"/>
      </w:pPr>
      <w:r>
        <w:rPr>
          <w:b w:val="0"/>
          <w:bCs w:val="0"/>
          <w:i w:val="1"/>
          <w:iCs w:val="1"/>
          <w:outline w:val="0"/>
          <w:color w:val="333333"/>
          <w:sz w:val="22"/>
          <w:szCs w:val="22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FDA 510(k) database and guidance documents.</w:t>
      </w:r>
    </w:p>
    <w:p>
      <w:pPr>
        <w:pStyle w:val="小标题 2"/>
      </w:pPr>
    </w:p>
    <w:p>
      <w:pPr>
        <w:pStyle w:val="小标题 2"/>
      </w:pP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— 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END </w:t>
      </w:r>
      <w:r>
        <w:rPr>
          <w:i w:val="1"/>
          <w:iCs w:val="1"/>
          <w:outline w:val="0"/>
          <w:color w:val="666666"/>
          <w:sz w:val="22"/>
          <w:szCs w:val="22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—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w:rPr>
        <w:rFonts w:ascii="Arial" w:hAnsi="Arial"/>
        <w:outline w:val="0"/>
        <w:color w:val="666666"/>
        <w:sz w:val="16"/>
        <w:szCs w:val="16"/>
        <w:u w:color="666666"/>
        <w:rtl w:val="0"/>
        <w:lang w:val="da-DK"/>
        <w14:textFill>
          <w14:solidFill>
            <w14:srgbClr w14:val="666666"/>
          </w14:solidFill>
        </w14:textFill>
      </w:rPr>
      <w:t xml:space="preserve">Page </w:t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</w:r>
    <w:r>
      <w:rPr>
        <w:rFonts w:ascii="Arial" w:cs="Arial" w:hAnsi="Arial" w:eastAsia="Arial"/>
        <w:outline w:val="0"/>
        <w:color w:val="666666"/>
        <w:sz w:val="16"/>
        <w:szCs w:val="16"/>
        <w:u w:color="666666"/>
        <w14:textFill>
          <w14:solidFill>
            <w14:srgbClr w14:val="666666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>
      <w:rPr>
        <w:rFonts w:ascii="Arial" w:hAnsi="Arial"/>
        <w:i w:val="1"/>
        <w:iCs w:val="1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CONFIDENTIAL </w:t>
    </w:r>
    <w:r>
      <w:rPr>
        <w:rFonts w:ascii="Arial" w:hAnsi="Arial" w:hint="default"/>
        <w:i w:val="1"/>
        <w:iCs w:val="1"/>
        <w:outline w:val="0"/>
        <w:color w:val="666666"/>
        <w:sz w:val="16"/>
        <w:szCs w:val="16"/>
        <w:u w:color="666666"/>
        <w:rtl w:val="0"/>
        <w:lang w:val="en-US"/>
        <w14:textFill>
          <w14:solidFill>
            <w14:srgbClr w14:val="666666"/>
          </w14:solidFill>
        </w14:textFill>
      </w:rPr>
      <w:t xml:space="preserve">— </w:t>
    </w:r>
    <w:r>
      <w:rPr>
        <w:rFonts w:ascii="Arial" w:hAnsi="Arial"/>
        <w:i w:val="1"/>
        <w:iCs w:val="1"/>
        <w:outline w:val="0"/>
        <w:color w:val="666666"/>
        <w:sz w:val="16"/>
        <w:szCs w:val="16"/>
        <w:u w:color="666666"/>
        <w:rtl w:val="0"/>
        <w:lang w:val="es-ES_tradnl"/>
        <w14:textFill>
          <w14:solidFill>
            <w14:srgbClr w14:val="666666"/>
          </w14:solidFill>
        </w14:textFill>
      </w:rPr>
      <w:t>ICU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66666"/>
        <w:sz w:val="16"/>
        <w:szCs w:val="16"/>
        <w:u w:color="666666"/>
        <w:rtl w:val="0"/>
        <w:lang w:val="zh-CN" w:eastAsia="zh-CN"/>
        <w14:textFill>
          <w14:solidFill>
            <w14:srgbClr w14:val="666666"/>
          </w14:solidFill>
        </w14:textFill>
      </w:rPr>
      <w:t>呼吸监护数字孪生系统</w:t>
    </w:r>
    <w:r>
      <w:rPr>
        <w:rFonts w:ascii="Arial" w:hAnsi="Arial"/>
        <w:i w:val="1"/>
        <w:iCs w:val="1"/>
        <w:outline w:val="0"/>
        <w:color w:val="666666"/>
        <w:sz w:val="16"/>
        <w:szCs w:val="16"/>
        <w:u w:color="666666"/>
        <w:rtl w:val="0"/>
        <w14:textFill>
          <w14:solidFill>
            <w14:srgbClr w14:val="666666"/>
          </w14:solidFill>
        </w14:textFill>
      </w:rPr>
      <w:t xml:space="preserve">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66666"/>
        <w:sz w:val="16"/>
        <w:szCs w:val="16"/>
        <w:u w:color="666666"/>
        <w:rtl w:val="0"/>
        <w:lang w:val="zh-CN" w:eastAsia="zh-CN"/>
        <w14:textFill>
          <w14:solidFill>
            <w14:srgbClr w14:val="666666"/>
          </w14:solidFill>
        </w14:textFill>
      </w:rPr>
      <w:t>商业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66666"/>
        <w:sz w:val="16"/>
        <w:szCs w:val="16"/>
        <w:u w:color="666666"/>
        <w:rtl w:val="0"/>
        <w:lang w:val="zh-CN" w:eastAsia="zh-CN"/>
        <w14:textFill>
          <w14:solidFill>
            <w14:srgbClr w14:val="666666"/>
          </w14:solidFill>
        </w14:textFill>
      </w:rPr>
      <w:t>执行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666666"/>
        <w:sz w:val="16"/>
        <w:szCs w:val="16"/>
        <w:u w:color="666666"/>
        <w:rtl w:val="0"/>
        <w:lang w:val="zh-CN" w:eastAsia="zh-CN"/>
        <w14:textFill>
          <w14:solidFill>
            <w14:srgbClr w14:val="666666"/>
          </w14:solidFill>
        </w14:textFill>
      </w:rPr>
      <w:t>计划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小标题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200" w:line="240" w:lineRule="auto"/>
      <w:ind w:left="0" w:right="0" w:firstLine="0"/>
      <w:jc w:val="left"/>
      <w:outlineLvl w:val="0"/>
    </w:pPr>
    <w:rPr>
      <w:rFonts w:ascii="Arial Unicode MS" w:cs="Arial Unicode MS" w:hAnsi="Arial Unicode MS" w:eastAsia="Arial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1a3a5c"/>
      <w:spacing w:val="0"/>
      <w:kern w:val="0"/>
      <w:position w:val="0"/>
      <w:sz w:val="36"/>
      <w:szCs w:val="36"/>
      <w:u w:val="none" w:color="1a3a5c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1A3A5C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2">
    <w:name w:val="小标题 2"/>
    <w:next w:val="小标题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6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e75b6"/>
      <w:spacing w:val="0"/>
      <w:kern w:val="0"/>
      <w:position w:val="0"/>
      <w:sz w:val="28"/>
      <w:szCs w:val="28"/>
      <w:u w:val="none" w:color="2e75b6"/>
      <w:shd w:val="nil" w:color="auto" w:fill="auto"/>
      <w:vertAlign w:val="baseline"/>
      <w14:textOutline>
        <w14:noFill/>
      </w14:textOutline>
      <w14:textFill>
        <w14:solidFill>
          <w14:srgbClr w14:val="2E75B6"/>
        </w14:solidFill>
      </w14:textFill>
    </w:rPr>
  </w:style>
  <w:style w:type="paragraph" w:styleId="小标题 3">
    <w:name w:val="小标题 3"/>
    <w:next w:val="小标题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20" w:line="240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4"/>
      <w:szCs w:val="24"/>
      <w:u w:val="none" w:color="333333"/>
      <w:shd w:val="nil" w:color="auto" w:fill="auto"/>
      <w:vertAlign w:val="baseline"/>
      <w14:textOutline>
        <w14:noFill/>
      </w14:textOutline>
      <w14:textFill>
        <w14:solidFill>
          <w14:srgbClr w14:val="333333"/>
        </w14:solidFill>
      </w14:textFill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