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Architecture d’intégration au CMMS open-source par API REST</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 pont et le montage Kelvin, plus complexes à câbler et sensibles au mode commun de l’amplificateur dans notre configuration, ont été</w:t>
      </w:r>
      <w:r>
        <w:t xml:space="preserve"> </w:t>
      </w:r>
      <w:r>
        <w:rPr>
          <w:b/>
          <w:bCs/>
        </w:rPr>
        <w:t xml:space="preserve">écartés après essais</w:t>
      </w:r>
      <w:r>
        <w:t xml:space="preserve">. Dans le cadre de ce travail, nous retenons le</w:t>
      </w:r>
      <w:r>
        <w:t xml:space="preserve"> </w:t>
      </w:r>
      <w:r>
        <w:rPr>
          <w:b/>
          <w:bCs/>
        </w:rPr>
        <w:t xml:space="preserve">montage 2 fils à injection de courant</w:t>
      </w:r>
      <w:r>
        <w:t xml:space="preserve">, le plus simple et le plus stable avec les composants disponibles localement.</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est fixé à</w:t>
      </w:r>
      <w:r>
        <w:t xml:space="preserve"> </w:t>
      </w:r>
      <w:r>
        <w:rPr>
          <w:i/>
          <w:iCs/>
        </w:rPr>
        <w:t xml:space="preserve">r</w:t>
      </w:r>
      <w:r>
        <w:t xml:space="preserve">_critique = 0,15 ×</w:t>
      </w:r>
      <w:r>
        <w:t xml:space="preserve"> </w:t>
      </w:r>
      <w:r>
        <w:rPr>
          <w:i/>
          <w:iCs/>
        </w:rPr>
        <w:t xml:space="preserve">r</w:t>
      </w:r>
      <w:r>
        <w:t xml:space="preserve">(0), soit un rayon résiduel de 15 % (≈ 98 % de section perdue) — proxy d’une section quasi nulle annonçant la rupture mécanique imminente. Cette valeur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définit le pronostic par rapport à un « seuil de santé prédéfini » sans en imposer la valeur numérique (ISO, 2025) ; le choix de 0,15 est</w:t>
      </w:r>
      <w:r>
        <w:t xml:space="preserve"> </w:t>
      </w:r>
      <w:r>
        <w:rPr>
          <w:b/>
          <w:bCs/>
        </w:rPr>
        <w:t xml:space="preserve">provisoire</w:t>
      </w:r>
      <w:r>
        <w:t xml:space="preserve">, à recaler sur un critère mécanique (contrainte à rupture du fil)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Indépendance opérationnelle</w:t>
      </w:r>
      <w:r>
        <w:t xml:space="preserve"> </w:t>
      </w:r>
      <w:r>
        <w:t xml:space="preserve">: éviter une dépendance à l’API d’un CMMS tiers — dont l’accès est fréquemment restreint dans les offres gratuites —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 générique et se reporte tel quel sur un CMMS open-source (GLPI retenu comme</w:t>
      </w:r>
      <w:r>
        <w:t xml:space="preserve"> </w:t>
      </w:r>
      <w:r>
        <w:rPr>
          <w:b/>
          <w:bCs/>
        </w:rPr>
        <w:t xml:space="preserve">cible de référence</w:t>
      </w:r>
      <w:r>
        <w:t xml:space="preserve">, voir matrice §II.7.2), OpenMaint ou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Cible de référence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Cible de transposition retenue : GLPI</w:t>
      </w:r>
      <w:r>
        <w:t xml:space="preserve"> </w:t>
      </w:r>
      <w:r>
        <w:t xml:space="preserve">— meilleure couverture fonctionnelle, API REST native documentée, communauté francophone active, déployable on-premise. Le prototype implémente le même périmètre (création/suivi d’OT, KPIs) dans un module maison, dont les appels se reportent sur l’API REST de GLPI sans changement d’architecture.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 transposable GLPI</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Couche d’intégration</w:t>
            </w:r>
          </w:p>
        </w:tc>
        <w:tc>
          <w:tcPr/>
          <w:p>
            <w:pPr>
              <w:pStyle w:val="Compact"/>
            </w:pPr>
            <w:r>
              <w:t xml:space="preserve">Module OT (Python) ;</w:t>
            </w:r>
            <w:r>
              <w:t xml:space="preserve"> </w:t>
            </w:r>
            <w:r>
              <w:rPr>
                <w:b/>
                <w:bCs/>
              </w:rPr>
              <w:t xml:space="preserve">mapping API REST GLPI</w:t>
            </w:r>
          </w:p>
        </w:tc>
        <w:tc>
          <w:tcPr/>
          <w:p>
            <w:pPr>
              <w:pStyle w:val="Compact"/>
            </w:pPr>
            <w:r>
              <w:t xml:space="preserve">Génération automatique d’OT (transposable en tickets GLPI)</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GLPI Project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 CMMS open-source"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111"/>
    <w:bookmarkStart w:id="112" w:name="Xfbe6d828bfbd62db11cf76d2ffb0da29085d4ba"/>
    <w:p>
      <w:pPr>
        <w:pStyle w:val="Heading3"/>
      </w:pPr>
      <w:r>
        <w:t xml:space="preserve">II.7.5. Mapping prédiction ML → ordre de travail (transposable ticket CMMS)</w:t>
      </w:r>
    </w:p>
    <w:p>
      <w:pPr>
        <w:pStyle w:val="FirstParagraph"/>
      </w:pPr>
      <w:r>
        <w:t xml:space="preserve">Le tableau ci-dessous décrit le mapping entre les sorties du pipeline ML et les champs d’un ordre de travail. Le module GMAO maison l’implémente directement ; les mêmes champs se reportent sur un ticket GLPI créé automatiquement par API REST (cible de transposition) :</w:t>
      </w:r>
    </w:p>
    <w:p>
      <w:pPr>
        <w:pStyle w:val="TableCaption"/>
        <w:jc w:val="center"/>
      </w:pPr>
      <w:r>
        <w:rPr>
          <w:b/>
          <w:bCs/>
        </w:rPr>
        <w:t xml:space="preserve">Tableau II.13 — Mapping des champs prédiction ML → ordre de travail (exemple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 ils se calculent à l’identique côté GLPI (requête SQL ou plugin)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 /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GLPI/OpenMaint/Snipe-IT + mapping API REST GLPI (transposition) ; (v) Calcul KPIs (MTBF, MTTR, η inhibition)</w:t>
            </w:r>
          </w:p>
        </w:tc>
        <w:tc>
          <w:tcPr/>
          <w:p>
            <w:pPr>
              <w:pStyle w:val="Compact"/>
            </w:pPr>
            <w:r>
              <w:t xml:space="preserve">Streamlit + Streamlit Community Cloud ; module OT Python + Supabase ;</w:t>
            </w:r>
            <w:r>
              <w:t xml:space="preserve"> </w:t>
            </w:r>
            <w:r>
              <w:rPr>
                <w:b/>
                <w:bCs/>
              </w:rPr>
              <w:t xml:space="preserve">GLPI</w:t>
            </w:r>
            <w:r>
              <w:t xml:space="preserve"> </w:t>
            </w:r>
            <w:r>
              <w:t xml:space="preserve">comme cible de transposition (API REST)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reportent sur un</w:t>
      </w:r>
      <w:r>
        <w:t xml:space="preserve"> </w:t>
      </w:r>
      <w:r>
        <w:rPr>
          <w:b/>
          <w:bCs/>
        </w:rPr>
        <w:t xml:space="preserve">ticket GLPI</w:t>
      </w:r>
      <w:r>
        <w:t xml:space="preserve"> </w:t>
      </w:r>
      <w:r>
        <w:t xml:space="preserve">par API REST, transposition validée au niveau de la spécification mais</w:t>
      </w:r>
      <w:r>
        <w:t xml:space="preserve"> </w:t>
      </w:r>
      <w:r>
        <w:rPr>
          <w:b/>
          <w:bCs/>
        </w:rPr>
        <w:t xml:space="preserve">non déployée</w:t>
      </w:r>
      <w:r>
        <w:t xml:space="preserve"> </w:t>
      </w:r>
      <w:r>
        <w:t xml:space="preserve">(l’accès API des CMMS gratuits étant restreint). Les KPIs de maintenance (MTBF, MTTR, disponibilité, taux de fausses alertes) sont calculés à partir de l’historique des OT.</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64"/>
    <w:bookmarkStart w:id="179"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HDP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HDPE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4"/>
        </w:numPr>
      </w:pPr>
      <w:r>
        <w:rPr>
          <w:b/>
          <w:bCs/>
        </w:rPr>
        <w:t xml:space="preserve">Chauffe-eau d’aquarium</w:t>
      </w:r>
      <w:r>
        <w:t xml:space="preserve"> </w:t>
      </w:r>
      <w:r>
        <w:t xml:space="preserve">à thermostat intégré, puissance 25 W, plage de consigne 16–35 °C ;</w:t>
      </w:r>
    </w:p>
    <w:p>
      <w:pPr>
        <w:pStyle w:val="Compact"/>
        <w:numPr>
          <w:ilvl w:val="0"/>
          <w:numId w:val="1034"/>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4"/>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4"/>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Start w:id="178"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78"/>
    <w:bookmarkEnd w:id="179"/>
    <w:bookmarkStart w:id="180"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0"/>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2026-06-24T16:08:18Z</dcterms:created>
  <dcterms:modified xsi:type="dcterms:W3CDTF">2026-06-24T16:08:18Z</dcterms:modified>
</cp:coreProperties>
</file>

<file path=docProps/custom.xml><?xml version="1.0" encoding="utf-8"?>
<Properties xmlns="http://schemas.openxmlformats.org/officeDocument/2006/custom-properties" xmlns:vt="http://schemas.openxmlformats.org/officeDocument/2006/docPropsVTypes"/>
</file>