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t xml:space="preserve">La corrosion constitue le premier poste de coût de dégradation du secteur Oil &amp; Gas et la principale menace pesant sur les pipelines, tel celui exploité par la</w:t>
      </w:r>
      <w:r>
        <w:t xml:space="preserve"> </w:t>
      </w:r>
      <w:r>
        <w:rPr>
          <w:b/>
          <w:bCs/>
        </w:rPr>
        <w:t xml:space="preserve">COTCO</w:t>
      </w:r>
      <w:r>
        <w:t xml:space="preserve"> </w:t>
      </w:r>
      <w:r>
        <w:t xml:space="preserve">(Tchad-Cameroun), aujourd’hui surveillé par sondes à résistance électrique (ER) exploitées à un niveau Industrie 3.0 (seuils fixes, sans pronostic). Ce mémoire conçoit, développe et valide expérimentalement un</w:t>
      </w:r>
      <w:r>
        <w:t xml:space="preserve"> </w:t>
      </w:r>
      <w:r>
        <w:rPr>
          <w:b/>
          <w:bCs/>
        </w:rPr>
        <w:t xml:space="preserve">système intégré de maintenance prédictive de la corrosion</w:t>
      </w:r>
      <w:r>
        <w:t xml:space="preserve"> </w:t>
      </w:r>
      <w:r>
        <w:t xml:space="preserve">réalisant une transition</w:t>
      </w:r>
      <w:r>
        <w:t xml:space="preserve"> </w:t>
      </w:r>
      <w:r>
        <w:rPr>
          <w:b/>
          <w:bCs/>
        </w:rPr>
        <w:t xml:space="preserve">Industrie 3.0 → 4.0</w:t>
      </w:r>
      <w:r>
        <w:t xml:space="preserve"> </w:t>
      </w:r>
      <w:r>
        <w:t xml:space="preserve">sur l’ensemble de la chaîne</w:t>
      </w:r>
      <w:r>
        <w:t xml:space="preserve"> </w:t>
      </w:r>
      <w:r>
        <w:rPr>
          <w:i/>
          <w:iCs/>
        </w:rPr>
        <w:t xml:space="preserve">détection → diagnostic → pronostic → décision → action</w:t>
      </w:r>
      <w:r>
        <w:t xml:space="preserve"> </w:t>
      </w:r>
      <w:r>
        <w:t xml:space="preserve">(ISO 13381-1), au moyen de quatre briques : (OS1) une sonde ER instrumentée IoT (ESP32 + HX711 24 bits + DS18B20) ; (OS2) un modèle d’apprentissage automatique</w:t>
      </w:r>
      <w:r>
        <w:t xml:space="preserve"> </w:t>
      </w:r>
      <w:r>
        <w:rPr>
          <w:b/>
          <w:bCs/>
        </w:rPr>
        <w:t xml:space="preserve">XGBoost</w:t>
      </w:r>
      <w:r>
        <w:t xml:space="preserve"> </w:t>
      </w:r>
      <w:r>
        <w:t xml:space="preserve">prédisant le taux de corrosion (CR), interprété par analyse SHAP et validé par une procédure inter-essais</w:t>
      </w:r>
      <w:r>
        <w:t xml:space="preserve"> </w:t>
      </w:r>
      <w:r>
        <w:rPr>
          <w:i/>
          <w:iCs/>
        </w:rPr>
        <w:t xml:space="preserve">leave-one-run-out</w:t>
      </w:r>
      <w:r>
        <w:t xml:space="preserve"> </w:t>
      </w:r>
      <w:r>
        <w:t xml:space="preserve">(LORO) ; (OS3) un module de diagnostic des régimes de corrosion et d’identification des facteurs de variabilité ; (OS4) une application web Streamlit dotée d’un</w:t>
      </w:r>
      <w:r>
        <w:t xml:space="preserve"> </w:t>
      </w:r>
      <w:r>
        <w:rPr>
          <w:b/>
          <w:bCs/>
        </w:rPr>
        <w:t xml:space="preserve">module GMAO maison</w:t>
      </w:r>
      <w:r>
        <w:t xml:space="preserve"> </w:t>
      </w:r>
      <w:r>
        <w:t xml:space="preserve">transposable par API REST à un CMMS open-source. Une campagne d’essais accélérés</w:t>
      </w:r>
      <w:r>
        <w:t xml:space="preserve"> </w:t>
      </w:r>
      <w:r>
        <w:rPr>
          <w:i/>
          <w:iCs/>
        </w:rPr>
        <w:t xml:space="preserve">run-to-failure</w:t>
      </w:r>
      <w:r>
        <w:t xml:space="preserve"> </w:t>
      </w:r>
      <w:r>
        <w:t xml:space="preserve">(fil de fer en milieu HCl) a alimenté le modèle. Les résultats établissent que la chaîne d’acquisition suit fidèlement la dégradation jusqu’à la rupture (OS1) ; que XGBoost surpasse les références et atteint un R² LORO moyen positif (+0,29),</w:t>
      </w:r>
      <w:r>
        <w:t xml:space="preserve"> </w:t>
      </w:r>
      <w:r>
        <w:rPr>
          <w:b/>
          <w:bCs/>
        </w:rPr>
        <w:t xml:space="preserve">à condition que les conditions de l’essai testé soient couvertes et répétées à l’entraînement</w:t>
      </w:r>
      <w:r>
        <w:t xml:space="preserve"> </w:t>
      </w:r>
      <w:r>
        <w:t xml:space="preserve">— la performance s’effondrant sinon (R² ≈ −1,77) (OS2) ; que la</w:t>
      </w:r>
      <w:r>
        <w:t xml:space="preserve"> </w:t>
      </w:r>
      <w:r>
        <w:rPr>
          <w:b/>
          <w:bCs/>
        </w:rPr>
        <w:t xml:space="preserve">température</w:t>
      </w:r>
      <w:r>
        <w:t xml:space="preserve"> </w:t>
      </w:r>
      <w:r>
        <w:t xml:space="preserve">est la variable dominante et que la</w:t>
      </w:r>
      <w:r>
        <w:t xml:space="preserve"> </w:t>
      </w:r>
      <w:r>
        <w:rPr>
          <w:b/>
          <w:bCs/>
        </w:rPr>
        <w:t xml:space="preserve">répétabilité des conditions</w:t>
      </w:r>
      <w:r>
        <w:t xml:space="preserve"> </w:t>
      </w:r>
      <w:r>
        <w:t xml:space="preserve">gouverne la fiabilité, deux contre-exemples l’établissant expérimentalement (OS3) ; et que l’écran de supervision et le module GMAO (génération automatique d’ordres de travail, KPIs) sont opérationnels (OS4). L’apport méthodologique central est la lecture de la</w:t>
      </w:r>
      <w:r>
        <w:t xml:space="preserve"> </w:t>
      </w:r>
      <w:r>
        <w:rPr>
          <w:b/>
          <w:bCs/>
        </w:rPr>
        <w:t xml:space="preserve">structure</w:t>
      </w:r>
      <w:r>
        <w:t xml:space="preserve"> </w:t>
      </w:r>
      <w:r>
        <w:t xml:space="preserve">du R² — positif là où les conditions sont couvertes et répétées, négatif sinon —, rarement explicitée dans la littérature, et la démonstration qu’une couche I4.0 est accessible à coût marginal aux opérateurs et PME industrielles africaines. Au vu de l’état d’avancement, les objectifs sont</w:t>
      </w:r>
      <w:r>
        <w:t xml:space="preserve"> </w:t>
      </w:r>
      <w:r>
        <w:rPr>
          <w:b/>
          <w:bCs/>
        </w:rPr>
        <w:t xml:space="preserve">partiellement atteints et en voie de consolidation</w:t>
      </w:r>
      <w:r>
        <w:t xml:space="preserve">, la campagne expérimentale se poursuivant.</w:t>
      </w:r>
    </w:p>
    <w:p>
      <w:pPr>
        <w:pStyle w:val="BodyText"/>
      </w:pPr>
      <w:r>
        <w:rPr>
          <w:b/>
          <w:bCs/>
        </w:rPr>
        <w:t xml:space="preserve">Mots-clés :</w:t>
      </w:r>
      <w:r>
        <w:t xml:space="preserve"> </w:t>
      </w:r>
      <w:r>
        <w:t xml:space="preserve">maintenance prédictive, corrosion, sonde à résistance électrique (ER), apprentissage automatique, XGBoost, durée de vie résiduelle (RUL), Industrie 4.0, GMAO, pipeline, COTCO.</w:t>
      </w:r>
    </w:p>
    <w:p>
      <w:r>
        <w:br w:type="page"/>
      </w:r>
    </w:p>
    <w:bookmarkEnd w:id="21"/>
    <w:bookmarkStart w:id="22" w:name="abstract"/>
    <w:p>
      <w:pPr>
        <w:pStyle w:val="Heading1"/>
      </w:pPr>
      <w:r>
        <w:t xml:space="preserve">ABSTRACT</w:t>
      </w:r>
    </w:p>
    <w:p>
      <w:pPr>
        <w:pStyle w:val="FirstParagraph"/>
      </w:pPr>
      <w:r>
        <w:t xml:space="preserve">Corrosion is the leading degradation-cost driver in the Oil &amp; Gas sector and the main threat to pipelines such as the</w:t>
      </w:r>
      <w:r>
        <w:t xml:space="preserve"> </w:t>
      </w:r>
      <w:r>
        <w:rPr>
          <w:b/>
          <w:bCs/>
        </w:rPr>
        <w:t xml:space="preserve">COTCO</w:t>
      </w:r>
      <w:r>
        <w:t xml:space="preserve"> </w:t>
      </w:r>
      <w:r>
        <w:t xml:space="preserve">line (Chad-Cameroon), currently monitored by electrical-resistance (ER) probes operated at an Industry 3.0 level (fixed thresholds, no prognosis). This thesis designs, develops and experimentally validates an</w:t>
      </w:r>
      <w:r>
        <w:t xml:space="preserve"> </w:t>
      </w:r>
      <w:r>
        <w:rPr>
          <w:b/>
          <w:bCs/>
        </w:rPr>
        <w:t xml:space="preserve">integrated predictive-maintenance system for corrosion</w:t>
      </w:r>
      <w:r>
        <w:t xml:space="preserve">, achieving an</w:t>
      </w:r>
      <w:r>
        <w:t xml:space="preserve"> </w:t>
      </w:r>
      <w:r>
        <w:rPr>
          <w:b/>
          <w:bCs/>
        </w:rPr>
        <w:t xml:space="preserve">Industry 3.0 → 4.0</w:t>
      </w:r>
      <w:r>
        <w:t xml:space="preserve"> </w:t>
      </w:r>
      <w:r>
        <w:t xml:space="preserve">transition across the full</w:t>
      </w:r>
      <w:r>
        <w:t xml:space="preserve"> </w:t>
      </w:r>
      <w:r>
        <w:rPr>
          <w:i/>
          <w:iCs/>
        </w:rPr>
        <w:t xml:space="preserve">detection → diagnosis → prognosis → decision → action</w:t>
      </w:r>
      <w:r>
        <w:t xml:space="preserve"> </w:t>
      </w:r>
      <w:r>
        <w:t xml:space="preserve">chain (ISO 13381-1) through four building blocks: (SO1) an IoT-instrumented ER probe (ESP32 + 24-bit HX711 + DS18B20); (SO2) an</w:t>
      </w:r>
      <w:r>
        <w:t xml:space="preserve"> </w:t>
      </w:r>
      <w:r>
        <w:rPr>
          <w:b/>
          <w:bCs/>
        </w:rPr>
        <w:t xml:space="preserve">XGBoost</w:t>
      </w:r>
      <w:r>
        <w:t xml:space="preserve"> </w:t>
      </w:r>
      <w:r>
        <w:t xml:space="preserve">machine-learning model predicting the corrosion rate (CR), interpreted with SHAP and validated through a</w:t>
      </w:r>
      <w:r>
        <w:t xml:space="preserve"> </w:t>
      </w:r>
      <w:r>
        <w:rPr>
          <w:i/>
          <w:iCs/>
        </w:rPr>
        <w:t xml:space="preserve">leave-one-run-out</w:t>
      </w:r>
      <w:r>
        <w:t xml:space="preserve"> </w:t>
      </w:r>
      <w:r>
        <w:t xml:space="preserve">(LORO) cross-run procedure; (SO3) a module diagnosing corrosion regimes and identifying variability factors; and (SO4) a Streamlit web application embedding an in-house</w:t>
      </w:r>
      <w:r>
        <w:t xml:space="preserve"> </w:t>
      </w:r>
      <w:r>
        <w:rPr>
          <w:b/>
          <w:bCs/>
        </w:rPr>
        <w:t xml:space="preserve">CMMS module</w:t>
      </w:r>
      <w:r>
        <w:t xml:space="preserve">, portable via REST API to an open-source CMMS. An accelerated</w:t>
      </w:r>
      <w:r>
        <w:t xml:space="preserve"> </w:t>
      </w:r>
      <w:r>
        <w:rPr>
          <w:i/>
          <w:iCs/>
        </w:rPr>
        <w:t xml:space="preserve">run-to-failure</w:t>
      </w:r>
      <w:r>
        <w:t xml:space="preserve"> </w:t>
      </w:r>
      <w:r>
        <w:t xml:space="preserve">test campaign (iron wire in HCl) fed the model. The results show that the acquisition chain faithfully tracks degradation up to rupture (SO1); that XGBoost outperforms the baselines and reaches a positive mean LORO R² (+0.29)</w:t>
      </w:r>
      <w:r>
        <w:t xml:space="preserve"> </w:t>
      </w:r>
      <w:r>
        <w:rPr>
          <w:b/>
          <w:bCs/>
        </w:rPr>
        <w:t xml:space="preserve">provided the tested run’s conditions are covered and repeated in training</w:t>
      </w:r>
      <w:r>
        <w:t xml:space="preserve"> </w:t>
      </w:r>
      <w:r>
        <w:t xml:space="preserve">— collapsing otherwise (R² ≈ −1.77) (SO2); that</w:t>
      </w:r>
      <w:r>
        <w:t xml:space="preserve"> </w:t>
      </w:r>
      <w:r>
        <w:rPr>
          <w:b/>
          <w:bCs/>
        </w:rPr>
        <w:t xml:space="preserve">temperature</w:t>
      </w:r>
      <w:r>
        <w:t xml:space="preserve"> </w:t>
      </w:r>
      <w:r>
        <w:t xml:space="preserve">is the dominant variable and that</w:t>
      </w:r>
      <w:r>
        <w:t xml:space="preserve"> </w:t>
      </w:r>
      <w:r>
        <w:rPr>
          <w:b/>
          <w:bCs/>
        </w:rPr>
        <w:t xml:space="preserve">condition repeatability</w:t>
      </w:r>
      <w:r>
        <w:t xml:space="preserve"> </w:t>
      </w:r>
      <w:r>
        <w:t xml:space="preserve">governs reliability, as two counter-examples establish experimentally (SO3); and that the supervision dashboard and CMMS module (automatic work-order generation, KPIs) are operational (SO4). The core methodological contribution is reading the</w:t>
      </w:r>
      <w:r>
        <w:t xml:space="preserve"> </w:t>
      </w:r>
      <w:r>
        <w:rPr>
          <w:b/>
          <w:bCs/>
        </w:rPr>
        <w:t xml:space="preserve">structure</w:t>
      </w:r>
      <w:r>
        <w:t xml:space="preserve"> </w:t>
      </w:r>
      <w:r>
        <w:t xml:space="preserve">of R² — positive where conditions are covered and repeated, negative otherwise —, rarely made explicit in the literature, together with the demonstration that an Industry 4.0 layer is attainable at marginal cost for African industrial operators and SMEs. Given the current progress, the objectives are</w:t>
      </w:r>
      <w:r>
        <w:t xml:space="preserve"> </w:t>
      </w:r>
      <w:r>
        <w:rPr>
          <w:b/>
          <w:bCs/>
        </w:rPr>
        <w:t xml:space="preserve">partially met and undergoing consolidation</w:t>
      </w:r>
      <w:r>
        <w:t xml:space="preserve">, as the experimental campaign continues.</w:t>
      </w:r>
    </w:p>
    <w:p>
      <w:pPr>
        <w:pStyle w:val="BodyText"/>
      </w:pPr>
      <w:r>
        <w:rPr>
          <w:b/>
          <w:bCs/>
        </w:rPr>
        <w:t xml:space="preserve">Keywords:</w:t>
      </w:r>
      <w:r>
        <w:t xml:space="preserve"> </w:t>
      </w:r>
      <w:r>
        <w:t xml:space="preserve">predictive maintenance, corrosion, electrical-resistance (ER) probe, machine learning, XGBoost, remaining useful life (RUL), Industry 4.0, CMMS, pipeline, COTCO.</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w:t>
      </w:r>
      <w:r>
        <w:t xml:space="preserve"> </w:t>
      </w:r>
      <w:r>
        <w:rPr>
          <w:b/>
          <w:bCs/>
        </w:rPr>
        <w:t xml:space="preserve">XGBoost</w:t>
      </w:r>
      <w:r>
        <w:t xml:space="preserve"> </w:t>
      </w:r>
      <w:r>
        <w:t xml:space="preserve">(Chen et Guestrin, 2016), LightGBM, AdaBoost et Gradient Boosting (Kuang et Long,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réseaux résiduels (ResNet) avec analyse d’interprétabilité (Zheng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Kuang et Long,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(Ma et al.,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structuration de la boucle décision → action par un</w:t>
      </w:r>
      <w:r>
        <w:t xml:space="preserve"> </w:t>
      </w:r>
      <w:r>
        <w:rPr>
          <w:b/>
          <w:bCs/>
        </w:rPr>
        <w:t xml:space="preserve">module GMAO maison</w:t>
      </w:r>
      <w:r>
        <w:t xml:space="preserve"> </w:t>
      </w:r>
      <w:r>
        <w:t xml:space="preserve">intégré à l’application Streamlit (persistance Supabase) qui génère automatiquement les ordres de travail, transposable à un CMMS open-source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module GMAO maison),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un module GMAO maison</w:t>
      </w:r>
      <w:r>
        <w:t xml:space="preserve"> </w:t>
      </w:r>
      <w:r>
        <w:t xml:space="preserve">(mapping prédiction ML → ordre de travail, KPIs maintenance ; transposable à un CMMS open-source),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Kuang et Long,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Kuang et Long (2024)</w:t>
      </w:r>
      <w:r>
        <w:t xml:space="preserve"> </w:t>
      </w:r>
      <w:r>
        <w:t xml:space="preserve">: XGBoost obtient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un chauffe-eau d’aquarium étanche immergé directement dans la cellule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2015)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applicatifs Python comme</w:t>
      </w:r>
      <w:r>
        <w:t xml:space="preserve"> </w:t>
      </w:r>
      <w:r>
        <w:rPr>
          <w:b/>
          <w:bCs/>
        </w:rPr>
        <w:t xml:space="preserve">Streamlit</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6"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module GMAO maison</w:t>
      </w:r>
      <w:r>
        <w:t xml:space="preserve"> </w:t>
      </w:r>
      <w:r>
        <w:t xml:space="preserve">(transposable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possibilité d’une protection étanche du capteur.</w:t>
      </w:r>
    </w:p>
    <w:p>
      <w:pPr>
        <w:pStyle w:val="BodyText"/>
      </w:pPr>
      <w:r>
        <w:rPr>
          <w:b/>
          <w:bCs/>
        </w:rPr>
        <w:t xml:space="preserve">Protection et couplage thermique du capteur (montage réel).</w:t>
      </w:r>
      <w:r>
        <w:t xml:space="preserve"> </w:t>
      </w:r>
      <w:r>
        <w:t xml:space="preserve">Le DS18B20 a été protégé du milieu acide par un</w:t>
      </w:r>
      <w:r>
        <w:t xml:space="preserve"> </w:t>
      </w:r>
      <w:r>
        <w:rPr>
          <w:b/>
          <w:bCs/>
        </w:rPr>
        <w:t xml:space="preserve">tube plastique étanche</w:t>
      </w:r>
      <w:r>
        <w:t xml:space="preserve"> </w:t>
      </w:r>
      <w:r>
        <w:t xml:space="preserve">(corps de stylo à bille Schneider) obturé à une extrémité. Pour supprimer la</w:t>
      </w:r>
      <w:r>
        <w:t xml:space="preserve"> </w:t>
      </w:r>
      <w:r>
        <w:rPr>
          <w:b/>
          <w:bCs/>
        </w:rPr>
        <w:t xml:space="preserve">lame d’air</w:t>
      </w:r>
      <w:r>
        <w:t xml:space="preserve"> </w:t>
      </w:r>
      <w:r>
        <w:t xml:space="preserve">résiduelle entre le capteur et la paroi du tube — l’air étant un</w:t>
      </w:r>
      <w:r>
        <w:t xml:space="preserve"> </w:t>
      </w:r>
      <w:r>
        <w:rPr>
          <w:b/>
          <w:bCs/>
        </w:rPr>
        <w:t xml:space="preserve">isolant thermique</w:t>
      </w:r>
      <w:r>
        <w:t xml:space="preserve"> </w:t>
      </w:r>
      <w:r>
        <w:t xml:space="preserve">qui ralentit et fausse la réponse —, le tube est</w:t>
      </w:r>
      <w:r>
        <w:t xml:space="preserve"> </w:t>
      </w:r>
      <w:r>
        <w:rPr>
          <w:b/>
          <w:bCs/>
        </w:rPr>
        <w:t xml:space="preserve">rempli d’huile</w:t>
      </w:r>
      <w:r>
        <w:t xml:space="preserve"> </w:t>
      </w:r>
      <w:r>
        <w:t xml:space="preserve">(huile de cuisine, substitut local et économique de l’huile silicone), qui assure un</w:t>
      </w:r>
      <w:r>
        <w:t xml:space="preserve"> </w:t>
      </w:r>
      <w:r>
        <w:rPr>
          <w:b/>
          <w:bCs/>
        </w:rPr>
        <w:t xml:space="preserve">couplage thermique par conduction</w:t>
      </w:r>
      <w:r>
        <w:t xml:space="preserve"> </w:t>
      </w:r>
      <w:r>
        <w:t xml:space="preserve">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Wei et al., 2024), interprétabilité native par SHAP (Lundberg et Lee, 2017), régularisation L1/L2 limitant le sur-apprentissage.</w:t>
      </w:r>
      <w:r>
        <w:t xml:space="preserve"> </w:t>
      </w:r>
      <w:r>
        <w:rPr>
          <w:b/>
          <w:bCs/>
        </w:rPr>
        <w:t xml:space="preserve">Pourquoi écarter les réseaux de neurones</w:t>
      </w:r>
      <w:r>
        <w:t xml:space="preserve"> </w:t>
      </w:r>
      <w:r>
        <w:t xml:space="preserve">(MLP, LSTM, Transformer — §I.1.3) : chaque run fournit certes</w:t>
      </w:r>
      <w:r>
        <w:t xml:space="preserve"> </w:t>
      </w:r>
      <w:r>
        <w:rPr>
          <w:b/>
          <w:bCs/>
        </w:rPr>
        <w:t xml:space="preserve">~1 000 à 2 500 lectures</w:t>
      </w:r>
      <w:r>
        <w:t xml:space="preserve"> </w:t>
      </w:r>
      <w:r>
        <w:t xml:space="preserve">(cadence de 30 s), mais l’apprentissage de la dégradation se raisonne</w:t>
      </w:r>
      <w:r>
        <w:t xml:space="preserve"> </w:t>
      </w:r>
      <w:r>
        <w:rPr>
          <w:i/>
          <w:iCs/>
        </w:rPr>
        <w:t xml:space="preserve">par essai</w:t>
      </w:r>
      <w:r>
        <w:t xml:space="preserve">, et la campagne ne compte qu’</w:t>
      </w:r>
      <w:r>
        <w:rPr>
          <w:b/>
          <w:bCs/>
        </w:rPr>
        <w:t xml:space="preserve">une poignée de runs</w:t>
      </w:r>
      <w:r>
        <w:t xml:space="preserve"> </w:t>
      </w:r>
      <w:r>
        <w:t xml:space="preserve">— soit beaucoup de</w:t>
      </w:r>
      <w:r>
        <w:t xml:space="preserve"> </w:t>
      </w:r>
      <w:r>
        <w:rPr>
          <w:b/>
          <w:bCs/>
        </w:rPr>
        <w:t xml:space="preserve">points</w:t>
      </w:r>
      <w:r>
        <w:t xml:space="preserve"> </w:t>
      </w:r>
      <w:r>
        <w:t xml:space="preserve">mais</w:t>
      </w:r>
      <w:r>
        <w:t xml:space="preserve"> </w:t>
      </w:r>
      <w:r>
        <w:rPr>
          <w:b/>
          <w:bCs/>
        </w:rPr>
        <w:t xml:space="preserve">très peu de séquences indépendantes</w:t>
      </w:r>
      <w:r>
        <w:t xml:space="preserve">. Or les réseaux profonds exigent un grand nombre de séquences/exemples pour généraliser et</w:t>
      </w:r>
      <w:r>
        <w:t xml:space="preserve"> </w:t>
      </w:r>
      <w:r>
        <w:rPr>
          <w:b/>
          <w:bCs/>
        </w:rPr>
        <w:t xml:space="preserve">sur-apprennent</w:t>
      </w:r>
      <w:r>
        <w:t xml:space="preserve"> </w:t>
      </w:r>
      <w:r>
        <w:t xml:space="preserve">sur ce volume (boîte noire, surdimensionnés ici). XGBoost, qui opère sur des</w:t>
      </w:r>
      <w:r>
        <w:t xml:space="preserve"> </w:t>
      </w:r>
      <w:r>
        <w:rPr>
          <w:b/>
          <w:bCs/>
        </w:rPr>
        <w:t xml:space="preserve">données tabulaires point par point</w:t>
      </w:r>
      <w:r>
        <w:t xml:space="preserve"> </w:t>
      </w:r>
      <w:r>
        <w:t xml:space="preserve">(quelques milliers de lignes suffisent) avec une régularisation efficace, est donc le mieux adapté à ce régime « beaucoup de points, peu de runs ». Limite acceptée : architecture point-par-point (pas de mémoire séquentielle native comme LSTM) —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w:t>
      </w:r>
      <w:r>
        <w:t xml:space="preserve"> </w:t>
      </w:r>
      <w:r>
        <w:rPr>
          <w:b/>
          <w:bCs/>
        </w:rPr>
        <w:t xml:space="preserve">aucun ne propose d’accès API exploitable dans sa version gratuite ou d’essai</w:t>
      </w:r>
      <w:r>
        <w:t xml:space="preserve">, ce qui interdit une intégration automatisée à coût nul.</w:t>
      </w:r>
      <w:r>
        <w:t xml:space="preserve"> </w:t>
      </w:r>
      <w:r>
        <w:rPr>
          <w:b/>
          <w:bCs/>
        </w:rPr>
        <w:t xml:space="preserve">Choix retenu : un module GMAO maison léger</w:t>
      </w:r>
      <w:r>
        <w:t xml:space="preserve"> </w:t>
      </w:r>
      <w:r>
        <w:t xml:space="preserve">— table</w:t>
      </w:r>
      <w:r>
        <w:t xml:space="preserve"> </w:t>
      </w:r>
      <w:r>
        <w:rPr>
          <w:rStyle w:val="VerbatimChar"/>
        </w:rPr>
        <w:t xml:space="preserve">cr_work_orders</w:t>
      </w:r>
      <w:r>
        <w:t xml:space="preserve"> </w:t>
      </w:r>
      <w:r>
        <w:t xml:space="preserve">(Supabase) + interface « Ordres de travail » intégrée à l’application Streamlit —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quatre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 ; (iv) la</w:t>
      </w:r>
      <w:r>
        <w:t xml:space="preserve"> </w:t>
      </w:r>
      <w:r>
        <w:rPr>
          <w:b/>
          <w:bCs/>
        </w:rPr>
        <w:t xml:space="preserve">cinétique rapide</w:t>
      </w:r>
      <w:r>
        <w:t xml:space="preserve"> </w:t>
      </w:r>
      <w:r>
        <w:t xml:space="preserve">: en HCl concentré, la corrosion conduit à la rupture (cycle</w:t>
      </w:r>
      <w:r>
        <w:t xml:space="preserve"> </w:t>
      </w:r>
      <w:r>
        <w:rPr>
          <w:i/>
          <w:iCs/>
        </w:rPr>
        <w:t xml:space="preserve">run-to-failure</w:t>
      </w:r>
      <w:r>
        <w:t xml:space="preserve"> </w:t>
      </w:r>
      <w:r>
        <w:t xml:space="preserve">complet) en quelques heures à quelques dizaines d’heures — condition</w:t>
      </w:r>
      <w:r>
        <w:t xml:space="preserve"> </w:t>
      </w:r>
      <w:r>
        <w:rPr>
          <w:b/>
          <w:bCs/>
        </w:rPr>
        <w:t xml:space="preserve">déterminante au regard du temps imparti avant la soutenance</w:t>
      </w:r>
      <w:r>
        <w:t xml:space="preserve">, puisqu’elle permet d’enchaîner</w:t>
      </w:r>
      <w:r>
        <w:t xml:space="preserve"> </w:t>
      </w:r>
      <w:r>
        <w:rPr>
          <w:b/>
          <w:bCs/>
        </w:rPr>
        <w:t xml:space="preserve">plusieurs essais complets</w:t>
      </w:r>
      <w:r>
        <w:t xml:space="preserve"> </w:t>
      </w:r>
      <w:r>
        <w:t xml:space="preserve">et de constituer la série répétée nécessaire à l’apprentissage. Cette cinétique est en outre fortement</w:t>
      </w:r>
      <w:r>
        <w:t xml:space="preserve"> </w:t>
      </w:r>
      <w:r>
        <w:rPr>
          <w:b/>
          <w:bCs/>
        </w:rPr>
        <w:t xml:space="preserve">accélérée par la température</w:t>
      </w:r>
      <w:r>
        <w:t xml:space="preserve"> </w:t>
      </w:r>
      <w:r>
        <w:t xml:space="preserve">suivant une loi d’Arrhenius (énergie d’activation de l’ordre de 40 à 90 kJ/mol pour l’acier en HCl), ce qui justifie l’étude de ce facteur (Khadom et al., 2009 ; §I.7.7).</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un</w:t>
      </w:r>
      <w:r>
        <w:t xml:space="preserve"> </w:t>
      </w:r>
      <w:r>
        <w:rPr>
          <w:b/>
          <w:bCs/>
        </w:rPr>
        <w:t xml:space="preserve">chauffe-eau d’aquarium étanche immergé directement dans la cellule</w:t>
      </w:r>
      <w:r>
        <w:t xml:space="preserv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w:t>
      </w:r>
      <w:r>
        <w:t xml:space="preserve"> </w:t>
      </w:r>
      <w:r>
        <w:rPr>
          <w:b/>
          <w:bCs/>
        </w:rPr>
        <w:t xml:space="preserve">pont de Wheatstone a été le choix initial</w:t>
      </w:r>
      <w:r>
        <w:t xml:space="preserve">, puis</w:t>
      </w:r>
      <w:r>
        <w:t xml:space="preserve"> </w:t>
      </w:r>
      <w:r>
        <w:rPr>
          <w:b/>
          <w:bCs/>
        </w:rPr>
        <w:t xml:space="preserve">abandonné après essais</w:t>
      </w:r>
      <w:r>
        <w:t xml:space="preserve"> </w:t>
      </w:r>
      <w:r>
        <w:t xml:space="preserve">: couplé au HX711, le très faible déséquilibre du pont (le fil ne varie que de fractions d’ohm) se présentait à un</w:t>
      </w:r>
      <w:r>
        <w:t xml:space="preserve"> </w:t>
      </w:r>
      <w:r>
        <w:rPr>
          <w:b/>
          <w:bCs/>
        </w:rPr>
        <w:t xml:space="preserve">potentiel de mode commun</w:t>
      </w:r>
      <w:r>
        <w:t xml:space="preserve"> </w:t>
      </w:r>
      <w:r>
        <w:t xml:space="preserve">voisin de la mi-alimentation, hors de la plage où l’amplificateur établit correctement son gain, de sorte que le</w:t>
      </w:r>
      <w:r>
        <w:t xml:space="preserve"> </w:t>
      </w:r>
      <w:r>
        <w:rPr>
          <w:b/>
          <w:bCs/>
        </w:rPr>
        <w:t xml:space="preserve">signal utile était noyé dans le bruit et l’offset</w:t>
      </w:r>
      <w:r>
        <w:t xml:space="preserve">. La méthode Kelvin 4 fils, plus lourde à câbler, partageait cette sensibilité au mode commun dans notre configuration. Nous retenons donc le</w:t>
      </w:r>
      <w:r>
        <w:t xml:space="preserve"> </w:t>
      </w:r>
      <w:r>
        <w:rPr>
          <w:b/>
          <w:bCs/>
        </w:rPr>
        <w:t xml:space="preserve">montage 2 fils à injection de courant</w:t>
      </w:r>
      <w:r>
        <w:t xml:space="preserve"> </w:t>
      </w:r>
      <w:r>
        <w:t xml:space="preserve">— le plus simple et le plus stable avec les composants disponibles localement, et compatible avec la plage d’entrée différentielle du HX711 (AVIA Semiconductor, 2017 ; Webster, 2014).</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rPr>
          <w:b/>
          <w:bCs/>
        </w:rPr>
        <w:t xml:space="preserve">Justification de la valeur 970 Ω.</w:t>
      </w:r>
      <w:r>
        <w:t xml:space="preserve"> </w:t>
      </w:r>
      <w:r>
        <w:t xml:space="preserve">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w:t>
      </w:r>
      <w:r>
        <w:t xml:space="preserve"> </w:t>
      </w:r>
      <w:r>
        <w:rPr>
          <w:b/>
          <w:bCs/>
        </w:rPr>
        <w:t xml:space="preserve">compromis physique</w:t>
      </w:r>
      <w:r>
        <w:t xml:space="preserve"> </w:t>
      </w:r>
      <w:r>
        <w:t xml:space="preserve">: un courant</w:t>
      </w:r>
      <w:r>
        <w:t xml:space="preserve"> </w:t>
      </w:r>
      <w:r>
        <w:rPr>
          <w:b/>
          <w:bCs/>
        </w:rPr>
        <w:t xml:space="preserve">suffisamment faible</w:t>
      </w:r>
      <w:r>
        <w:t xml:space="preserve"> </w:t>
      </w:r>
      <w:r>
        <w:t xml:space="preserve">pour éviter l’échauffement par effet Joule et la</w:t>
      </w:r>
      <w:r>
        <w:t xml:space="preserve"> </w:t>
      </w:r>
      <w:r>
        <w:rPr>
          <w:b/>
          <w:bCs/>
        </w:rPr>
        <w:t xml:space="preserve">polarisation électrochimique</w:t>
      </w:r>
      <w:r>
        <w:t xml:space="preserve"> </w:t>
      </w:r>
      <w:r>
        <w:t xml:space="preserve">du fil (qui fausseraient la mesure de résistance), mais</w:t>
      </w:r>
      <w:r>
        <w:t xml:space="preserve"> </w:t>
      </w:r>
      <w:r>
        <w:rPr>
          <w:b/>
          <w:bCs/>
        </w:rPr>
        <w:t xml:space="preserve">suffisamment élevé</w:t>
      </w:r>
      <w:r>
        <w:t xml:space="preserve"> </w:t>
      </w:r>
      <w:r>
        <w:t xml:space="preserve">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w:t>
      </w:r>
      <w:r>
        <w:t xml:space="preserve"> </w:t>
      </w:r>
      <w:r>
        <w:rPr>
          <w:b/>
          <w:bCs/>
        </w:rPr>
        <w:t xml:space="preserve">choix pratique dicté par ce compromis</w:t>
      </w:r>
      <w:r>
        <w:t xml:space="preserve">, non une valeur normative — toute paire de résistances appariées de l’ordre du kΩ conviendrait. Le pull-up de 4,7 kΩ du bus 1-Wire (DS18B20) suit, lui, la valeur recommandée par le fabricant du capteur.</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3"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w:t>
            </w:r>
            <w:r>
              <w:t xml:space="preserve"> </w:t>
            </w:r>
            <w:r>
              <w:rPr>
                <w:b/>
                <w:bCs/>
              </w:rPr>
              <w:t xml:space="preserve">étanche</w:t>
            </w:r>
            <w:r>
              <w:t xml:space="preserv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p>
      <w:r>
        <w:pict>
          <v:rect style="width:0;height:1.5pt" o:hralign="center" o:hrstd="t" o:hr="t"/>
        </w:pict>
      </w:r>
    </w:p>
    <w:bookmarkEnd w:id="82"/>
    <w:bookmarkEnd w:id="83"/>
    <w:bookmarkStart w:id="92"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5" name="Picture"/>
            <a:graphic>
              <a:graphicData uri="http://schemas.openxmlformats.org/drawingml/2006/picture">
                <pic:pic>
                  <pic:nvPicPr>
                    <pic:cNvPr descr="figures/fig_ii4_pipeline.png" id="86" name="Picture"/>
                    <pic:cNvPicPr>
                      <a:picLocks noChangeArrowheads="1" noChangeAspect="1"/>
                    </pic:cNvPicPr>
                  </pic:nvPicPr>
                  <pic:blipFill>
                    <a:blip r:embed="rId84"/>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7"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7"/>
    <w:bookmarkStart w:id="88"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8"/>
    <w:bookmarkStart w:id="89"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89"/>
    <w:bookmarkStart w:id="90"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II.5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0"/>
    <w:bookmarkStart w:id="91" w:name="ii.4.5.-calcul-du-rul"/>
    <w:p>
      <w:pPr>
        <w:pStyle w:val="Heading3"/>
      </w:pPr>
      <w:r>
        <w:t xml:space="preserve">II.4.5. Calcul du RUL</w:t>
      </w:r>
    </w:p>
    <w:p>
      <w:pPr>
        <w:pStyle w:val="FirstParagraph"/>
      </w:pPr>
      <w:r>
        <w:t xml:space="preserve">Le critère de fin de vie répond à une question simple :</w:t>
      </w:r>
      <w:r>
        <w:t xml:space="preserve"> </w:t>
      </w:r>
      <w:r>
        <w:rPr>
          <w:b/>
          <w:bCs/>
        </w:rPr>
        <w:t xml:space="preserve">à partir de quand considère-t-on le fil « mort » ?</w:t>
      </w:r>
      <w:r>
        <w:t xml:space="preserve"> </w:t>
      </w:r>
      <w:r>
        <w:t xml:space="preserve">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w:t>
      </w:r>
      <w:r>
        <w:t xml:space="preserve"> </w:t>
      </w:r>
      <w:r>
        <w:rPr>
          <w:b/>
          <w:bCs/>
        </w:rPr>
        <w:t xml:space="preserve">chute bien plus vite que le rayon</w:t>
      </w:r>
      <w:r>
        <w:t xml:space="preserve">. On fixe le seuil de fin de vie à</w:t>
      </w:r>
      <w:r>
        <w:t xml:space="preserve"> </w:t>
      </w:r>
      <w:r>
        <w:rPr>
          <w:i/>
          <w:iCs/>
        </w:rPr>
        <w:t xml:space="preserve">r</w:t>
      </w:r>
      <w:r>
        <w:t xml:space="preserve">_critique =</w:t>
      </w:r>
      <w:r>
        <w:t xml:space="preserve"> </w:t>
      </w:r>
      <w:r>
        <w:rPr>
          <w:b/>
          <w:bCs/>
        </w:rPr>
        <w:t xml:space="preserve">0,15 ×</w:t>
      </w:r>
      <w:r>
        <w:rPr>
          <w:b/>
          <w:bCs/>
        </w:rPr>
        <w:t xml:space="preserve"> </w:t>
      </w:r>
      <w:r>
        <w:rPr>
          <w:b/>
          <w:bCs/>
          <w:i/>
          <w:iCs/>
        </w:rPr>
        <w:t xml:space="preserve">r</w:t>
      </w:r>
      <w:r>
        <w:rPr>
          <w:b/>
          <w:bCs/>
        </w:rPr>
        <w:t xml:space="preserve">(0)</w:t>
      </w:r>
      <w:r>
        <w:t xml:space="preserve"> </w:t>
      </w:r>
      <w:r>
        <w:t xml:space="preserve">: lorsqu’il ne reste que</w:t>
      </w:r>
      <w:r>
        <w:t xml:space="preserve"> </w:t>
      </w:r>
      <w:r>
        <w:rPr>
          <w:b/>
          <w:bCs/>
        </w:rPr>
        <w:t xml:space="preserve">15 % du rayon initial</w:t>
      </w:r>
      <w:r>
        <w:t xml:space="preserve">, il ne subsiste plus qu’environ</w:t>
      </w:r>
      <w:r>
        <w:t xml:space="preserve"> </w:t>
      </w:r>
      <w:r>
        <w:rPr>
          <w:b/>
          <w:bCs/>
        </w:rPr>
        <w:t xml:space="preserve">2 % de la section</w:t>
      </w:r>
      <w:r>
        <w:t xml:space="preserve"> </w:t>
      </w:r>
      <w:r>
        <w:t xml:space="preserve">(≈ 98 % de section perdue) — le fil n’a alors quasiment plus de matière porteuse et</w:t>
      </w:r>
      <w:r>
        <w:t xml:space="preserve"> </w:t>
      </w:r>
      <w:r>
        <w:rPr>
          <w:b/>
          <w:bCs/>
        </w:rPr>
        <w:t xml:space="preserve">sa rupture mécanique est imminente</w:t>
      </w:r>
      <w:r>
        <w:t xml:space="preserve">. On ne retient pas 0 % strict car, en pratique, le fil casse (et la mesure sature)</w:t>
      </w:r>
      <w:r>
        <w:t xml:space="preserve"> </w:t>
      </w:r>
      <w:r>
        <w:rPr>
          <w:b/>
          <w:bCs/>
        </w:rPr>
        <w:t xml:space="preserve">avant</w:t>
      </w:r>
      <w:r>
        <w:t xml:space="preserve"> </w:t>
      </w:r>
      <w:r>
        <w:t xml:space="preserve">que la section n’atteigne réellement zéro : 0,15 est donc un</w:t>
      </w:r>
      <w:r>
        <w:t xml:space="preserve"> </w:t>
      </w:r>
      <w:r>
        <w:rPr>
          <w:b/>
          <w:bCs/>
        </w:rPr>
        <w:t xml:space="preserve">curseur pragmatique placé juste avant la rupture</w:t>
      </w:r>
      <w:r>
        <w:t xml:space="preserve">. Ce seuil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impose le</w:t>
      </w:r>
      <w:r>
        <w:t xml:space="preserve"> </w:t>
      </w:r>
      <w:r>
        <w:rPr>
          <w:i/>
          <w:iCs/>
        </w:rPr>
        <w:t xml:space="preserve">principe</w:t>
      </w:r>
      <w:r>
        <w:t xml:space="preserve"> </w:t>
      </w:r>
      <w:r>
        <w:t xml:space="preserve">d’un « seuil de santé prédéfini » mais pas sa valeur (ISO, 2025) —</w:t>
      </w:r>
      <w:r>
        <w:t xml:space="preserve"> </w:t>
      </w:r>
      <w:r>
        <w:rPr>
          <w:b/>
          <w:bCs/>
        </w:rPr>
        <w:t xml:space="preserve">réglable</w:t>
      </w:r>
      <w:r>
        <w:t xml:space="preserve">,</w:t>
      </w:r>
      <w:r>
        <w:t xml:space="preserve"> </w:t>
      </w:r>
      <w:r>
        <w:rPr>
          <w:b/>
          <w:bCs/>
        </w:rPr>
        <w:t xml:space="preserve">validé a posteriori</w:t>
      </w:r>
      <w:r>
        <w:t xml:space="preserve"> </w:t>
      </w:r>
      <w:r>
        <w:t xml:space="preserve">par sa concordance avec les instants de rupture réellement observés, et assumé</w:t>
      </w:r>
      <w:r>
        <w:t xml:space="preserve"> </w:t>
      </w:r>
      <w:r>
        <w:rPr>
          <w:b/>
          <w:bCs/>
        </w:rPr>
        <w:t xml:space="preserve">provisoire</w:t>
      </w:r>
      <w:r>
        <w:t xml:space="preserve"> </w:t>
      </w:r>
      <w:r>
        <w:t xml:space="preserve">(à recaler sur un critère mécanique, contrainte à rupture,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1"/>
    <w:bookmarkEnd w:id="92"/>
    <w:bookmarkStart w:id="98" w:name="Xa8014f60c555bd98b3c58e7b198d9c87054b6ca"/>
    <w:p>
      <w:pPr>
        <w:pStyle w:val="Heading2"/>
      </w:pPr>
      <w:r>
        <w:t xml:space="preserve">II.5. Méthodologie d’entraînement du modèle XGBoost</w:t>
      </w:r>
    </w:p>
    <w:bookmarkStart w:id="93"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Parmi les stratégies comparées au tableau II.0.6, deux sont pertinentes ici. 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au sein d’un même essai — chaque fold entraîne sur le passé et teste sur le futur (Bergmeir et Benítez, 2012) — mais ne renseigne que sur la prédiction</w:t>
      </w:r>
      <w:r>
        <w:t xml:space="preserve"> </w:t>
      </w:r>
      <w:r>
        <w:rPr>
          <w:i/>
          <w:iCs/>
        </w:rPr>
        <w:t xml:space="preserve">au sein</w:t>
      </w:r>
      <w:r>
        <w:t xml:space="preserve"> </w:t>
      </w:r>
      <w:r>
        <w:t xml:space="preserve">d’un run déjà observé. Or l’objectif industriel est la</w:t>
      </w:r>
      <w:r>
        <w:t xml:space="preserve"> </w:t>
      </w:r>
      <w:r>
        <w:rPr>
          <w:b/>
          <w:bCs/>
        </w:rPr>
        <w:t xml:space="preserve">généralisation à un essai nouveau, jamais vu</w:t>
      </w:r>
      <w:r>
        <w:t xml:space="preserve"> </w:t>
      </w:r>
      <w:r>
        <w:t xml:space="preserve">: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où un run complet est retiré de l’entraînement et sert exclusivement de test. Plus exigeante, elle mesure la capacité réelle du modèle à prédire un essai indépendant et constitue le cœur de la démonstration du Chapitre III — sa fiabilité dépendant de la couverture des conditions (notamment thermiques) par les runs d’entraînement.</w:t>
      </w:r>
    </w:p>
    <w:bookmarkEnd w:id="93"/>
    <w:bookmarkStart w:id="94" w:name="ii.5.2.-hyperparamètres-xgboost"/>
    <w:p>
      <w:pPr>
        <w:pStyle w:val="Heading3"/>
      </w:pPr>
      <w:r>
        <w:t xml:space="preserve">II.5.2. Hyperparamètres XGBoost</w:t>
      </w:r>
    </w:p>
    <w:p>
      <w:pPr>
        <w:pStyle w:val="TableCaption"/>
        <w:jc w:val="center"/>
      </w:pPr>
      <w:r>
        <w:rPr>
          <w:b/>
          <w:bCs/>
        </w:rPr>
        <w:t xml:space="preserve">Tableau II.6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4"/>
    <w:bookmarkStart w:id="95"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5"/>
    <w:bookmarkStart w:id="96"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6"/>
    <w:bookmarkStart w:id="97"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Plutôt qu’une classification supervisée ou une détection non-supervisée d’anomalies, nous retenons une</w:t>
      </w:r>
      <w:r>
        <w:t xml:space="preserve"> </w:t>
      </w:r>
      <w:r>
        <w:rPr>
          <w:b/>
          <w:bCs/>
        </w:rPr>
        <w:t xml:space="preserve">approche par règles métier explicables</w:t>
      </w:r>
      <w:r>
        <w:t xml:space="preserve">, simple à valider et transparente pour le jury comme pour les utilisateurs industriels — les approches ML de classification restant une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7"/>
    <w:bookmarkEnd w:id="98"/>
    <w:bookmarkStart w:id="103" w:name="X8f2c3d1b22491317b619a97563f1a03b47db684"/>
    <w:p>
      <w:pPr>
        <w:pStyle w:val="Heading2"/>
      </w:pPr>
      <w:r>
        <w:t xml:space="preserve">II.6. Protocole expérimental run-to-failure</w:t>
      </w:r>
    </w:p>
    <w:bookmarkStart w:id="99" w:name="ii.6.1.-justification-du-protocole-rtf"/>
    <w:p>
      <w:pPr>
        <w:pStyle w:val="Heading3"/>
      </w:pPr>
      <w:r>
        <w:t xml:space="preserve">II.6.1. Justification du protocole RTF</w:t>
      </w:r>
    </w:p>
    <w:p>
      <w:pPr>
        <w:pStyle w:val="FirstParagraph"/>
      </w:pPr>
      <w:r>
        <w:t xml:space="preserve">Face aux essais électrochimiques (grandeurs instantanées, mais instrument coûteux) et à la perte de masse (simple, mais réduite à une vitesse moyenne, sans dynamique temporelle ni événement de défaillance), nous retenons le protocole</w:t>
      </w:r>
      <w:r>
        <w:t xml:space="preserve"> </w:t>
      </w:r>
      <w:r>
        <w:rPr>
          <w:b/>
          <w:bCs/>
        </w:rPr>
        <w:t xml:space="preserve">run-to-failure (RTF)</w:t>
      </w:r>
      <w:r>
        <w:t xml:space="preserve"> </w:t>
      </w:r>
      <w:r>
        <w:t xml:space="preserve">: seul à constituer un jeu d’apprentissage couvrant l’intégralité du cycle de dégradation — de l’état initial à la rupture — et à fournir un</w:t>
      </w:r>
      <w:r>
        <w:t xml:space="preserve"> </w:t>
      </w:r>
      <w:r>
        <w:rPr>
          <w:b/>
          <w:bCs/>
        </w:rPr>
        <w:t xml:space="preserve">événement de défaillance réellement observé</w:t>
      </w:r>
      <w:r>
        <w:t xml:space="preserve">, indispensable à l’apprentissage de la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99"/>
    <w:bookmarkStart w:id="100"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0"/>
    <w:bookmarkStart w:id="101"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 et du fil</w:t>
      </w:r>
      <w:r>
        <w:t xml:space="preserve"> </w:t>
      </w:r>
      <w:r>
        <w:t xml:space="preserve">: nettoyage du récipient, découpe d’un fil de fer neuf, nettoyage, séchage ;</w:t>
      </w:r>
      <w:r>
        <w:t xml:space="preserve"> </w:t>
      </w:r>
      <w:r>
        <w:rPr>
          <w:b/>
          <w:bCs/>
        </w:rPr>
        <w:t xml:space="preserve">isolation d’environ 10 cm à chaque extrémité</w:t>
      </w:r>
      <w:r>
        <w:t xml:space="preserve"> </w:t>
      </w:r>
      <w:r>
        <w:t xml:space="preserve">du fil (vernis/gaine) afin d’exclure la</w:t>
      </w:r>
      <w:r>
        <w:t xml:space="preserve"> </w:t>
      </w:r>
      <w:r>
        <w:rPr>
          <w:b/>
          <w:bCs/>
        </w:rPr>
        <w:t xml:space="preserve">zone de ligne de flottaison</w:t>
      </w:r>
      <w:r>
        <w:t xml:space="preserve"> </w:t>
      </w:r>
      <w:r>
        <w:t xml:space="preserve">— siège d’une corrosion par</w:t>
      </w:r>
      <w:r>
        <w:t xml:space="preserve"> </w:t>
      </w:r>
      <w:r>
        <w:rPr>
          <w:b/>
          <w:bCs/>
        </w:rPr>
        <w:t xml:space="preserve">aération différentielle</w:t>
      </w:r>
      <w:r>
        <w:t xml:space="preserve"> </w:t>
      </w:r>
      <w:r>
        <w:t xml:space="preserve">(cellule à concentration d’oxygène à l’interface air-liquide) — et de garantir une corrosion</w:t>
      </w:r>
      <w:r>
        <w:t xml:space="preserve"> </w:t>
      </w:r>
      <w:r>
        <w:rPr>
          <w:b/>
          <w:bCs/>
        </w:rPr>
        <w:t xml:space="preserve">uniforme</w:t>
      </w:r>
      <w:r>
        <w:t xml:space="preserve"> </w:t>
      </w:r>
      <w:r>
        <w:t xml:space="preserve">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le</w:t>
      </w:r>
      <w:r>
        <w:t xml:space="preserve"> </w:t>
      </w:r>
      <w:r>
        <w:rPr>
          <w:b/>
          <w:bCs/>
        </w:rPr>
        <w:t xml:space="preserve">chauffe-eau d’aquarium étanche</w:t>
      </w:r>
      <w:r>
        <w:t xml:space="preserve"> </w:t>
      </w:r>
      <w:r>
        <w:t xml:space="preserve">est immergé directement dans la cellule (au même titre que le DS18B20) et porte le milieu à la consigne ; la cellule est</w:t>
      </w:r>
      <w:r>
        <w:t xml:space="preserve"> </w:t>
      </w:r>
      <w:r>
        <w:rPr>
          <w:b/>
          <w:bCs/>
        </w:rPr>
        <w:t xml:space="preserve">couverte</w:t>
      </w:r>
      <w:r>
        <w:t xml:space="preserve"> </w:t>
      </w:r>
      <w:r>
        <w:t xml:space="preserve">pour limiter l’évaporation du HCl accélérée par le chauffage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milieu à la consigne ; (ii) l’</w:t>
      </w:r>
      <w:r>
        <w:rPr>
          <w:b/>
          <w:bCs/>
        </w:rPr>
        <w:t xml:space="preserve">emploi d’acide frais immergé sans délai</w:t>
      </w:r>
      <w:r>
        <w:t xml:space="preserve">, l’exposition prolongée de l’acide à l’air abaissant sa concentration par volatilisation du HCl.</w:t>
      </w:r>
    </w:p>
    <w:bookmarkEnd w:id="101"/>
    <w:bookmarkStart w:id="102"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2"/>
    <w:bookmarkEnd w:id="103"/>
    <w:bookmarkStart w:id="113" w:name="X7f6fc5d9d937f79007415265945dc6449a14409"/>
    <w:p>
      <w:pPr>
        <w:pStyle w:val="Heading2"/>
      </w:pPr>
      <w:r>
        <w:t xml:space="preserve">II.7. Boucle décision → action : module GMAO intégré, transposable à un CMMS open-source (OS4)</w:t>
      </w:r>
    </w:p>
    <w:bookmarkStart w:id="104"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Disponibilité de l’API (raison décisive)</w:t>
      </w:r>
      <w:r>
        <w:t xml:space="preserve"> </w:t>
      </w:r>
      <w:r>
        <w:t xml:space="preserve">: aucune des solutions évaluées (§II.7.2) ne met à disposition une</w:t>
      </w:r>
      <w:r>
        <w:t xml:space="preserve"> </w:t>
      </w:r>
      <w:r>
        <w:rPr>
          <w:b/>
          <w:bCs/>
        </w:rPr>
        <w:t xml:space="preserve">API exploitable dans une version gratuite ou d’essai</w:t>
      </w:r>
      <w:r>
        <w:t xml:space="preserve"> </w:t>
      </w:r>
      <w:r>
        <w:t xml:space="preserve">déployable dans le cadre du projet —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w:t>
      </w:r>
      <w:r>
        <w:t xml:space="preserve"> </w:t>
      </w:r>
      <w:r>
        <w:rPr>
          <w:b/>
          <w:bCs/>
        </w:rPr>
        <w:t xml:space="preserve">générique</w:t>
      </w:r>
      <w:r>
        <w:t xml:space="preserve"> </w:t>
      </w:r>
      <w:r>
        <w:t xml:space="preserve">et se reporterait sur tout CMMS open-source exposant une API (GLPI, OpenMaint,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4"/>
    <w:bookmarkStart w:id="105" w:name="X873e9712944516e59d3f156fb9139b734617e3b"/>
    <w:p>
      <w:pPr>
        <w:pStyle w:val="Heading3"/>
      </w:pPr>
      <w:r>
        <w:t xml:space="preserve">II.7.2. Matrice comparative des CMMS open-source candidats</w:t>
      </w:r>
    </w:p>
    <w:p>
      <w:pPr>
        <w:pStyle w:val="TableCaption"/>
        <w:jc w:val="center"/>
      </w:pPr>
      <w:r>
        <w:rPr>
          <w:b/>
          <w:bCs/>
        </w:rPr>
        <w:t xml:space="preserve">Tableau II.10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Conclusion de la comparaison.</w:t>
      </w:r>
      <w:r>
        <w:t xml:space="preserve"> </w:t>
      </w:r>
      <w:r>
        <w:t xml:space="preserve">Aucune des solutions ne combine une API exploitable</w:t>
      </w:r>
      <w:r>
        <w:t xml:space="preserve"> </w:t>
      </w:r>
      <w:r>
        <w:rPr>
          <w:b/>
          <w:bCs/>
        </w:rPr>
        <w:t xml:space="preserve">et</w:t>
      </w:r>
      <w:r>
        <w:t xml:space="preserve"> </w:t>
      </w:r>
      <w:r>
        <w:t xml:space="preserve">un déploiement gratuit/léger compatible avec les contraintes du projet : les offres SaaS gratuites (Fiix, MaintainX)</w:t>
      </w:r>
      <w:r>
        <w:t xml:space="preserve"> </w:t>
      </w:r>
      <w:r>
        <w:rPr>
          <w:b/>
          <w:bCs/>
        </w:rPr>
        <w:t xml:space="preserve">réservent l’API au plan payant</w:t>
      </w:r>
      <w:r>
        <w:t xml:space="preserve">, tandis que les solutions auto-hébergeables (GLPI, OpenMaint, Snipe-IT) imposent le déploiement et la maintenance d’une instance serveur complète. C’est précisément ce constat qui a motivé le choix d’un</w:t>
      </w:r>
      <w:r>
        <w:t xml:space="preserve"> </w:t>
      </w:r>
      <w:r>
        <w:rPr>
          <w:b/>
          <w:bCs/>
        </w:rPr>
        <w:t xml:space="preserve">module GMAO maison</w:t>
      </w:r>
      <w:r>
        <w:t xml:space="preserve"> </w:t>
      </w:r>
      <w:r>
        <w:t xml:space="preserve">(§II.0.5.8), implémentant le périmètre nécessaire (création/suivi d’OT, KPIs) dans l’application Streamlit, tout en restant transposable à l’une de ces solutions si l’opérateur en exploite déjà une.</w:t>
      </w:r>
    </w:p>
    <w:bookmarkEnd w:id="105"/>
    <w:bookmarkStart w:id="106" w:name="X0a8739849a0b901515e810b8ddb928a83aa71ab"/>
    <w:p>
      <w:pPr>
        <w:pStyle w:val="Heading3"/>
      </w:pPr>
      <w:r>
        <w:t xml:space="preserve">II.7.3. Stack technologique de la chaîne intégrée</w:t>
      </w:r>
    </w:p>
    <w:p>
      <w:pPr>
        <w:pStyle w:val="TableCaption"/>
        <w:jc w:val="center"/>
      </w:pPr>
      <w:r>
        <w:rPr>
          <w:b/>
          <w:bCs/>
        </w:rPr>
        <w:t xml:space="preserve">Tableau II.11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w:t>
            </w:r>
            <w:r>
              <w:t xml:space="preserve"> </w:t>
            </w:r>
            <w:r>
              <w:rPr>
                <w:b/>
                <w:bCs/>
              </w:rPr>
              <w:t xml:space="preserve">Supabase</w:t>
            </w:r>
            <w:r>
              <w:t xml:space="preserve"> </w:t>
            </w:r>
            <w:r>
              <w:t xml:space="preserve">(PostgREST)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6"/>
    <w:bookmarkStart w:id="110"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8" name="Picture"/>
            <a:graphic>
              <a:graphicData uri="http://schemas.openxmlformats.org/drawingml/2006/picture">
                <pic:pic>
                  <pic:nvPicPr>
                    <pic:cNvPr descr="figures/fig_ii1_architecture.png" id="109" name="Picture"/>
                    <pic:cNvPicPr>
                      <a:picLocks noChangeArrowheads="1" noChangeAspect="1"/>
                    </pic:cNvPicPr>
                  </pic:nvPicPr>
                  <pic:blipFill>
                    <a:blip r:embed="rId107"/>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0"/>
    <w:bookmarkStart w:id="111"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w:t>
      </w:r>
      <w:r>
        <w:t xml:space="preserve"> </w:t>
      </w:r>
      <w:r>
        <w:rPr>
          <w:b/>
          <w:bCs/>
        </w:rPr>
        <w:t xml:space="preserve">ordre de travail</w:t>
      </w:r>
      <w:r>
        <w:t xml:space="preserve">, tel qu’implémenté par le module GMAO maison (les mêmes champs se reporteraient sur un CMMS open-source exposant une API) :</w:t>
      </w:r>
    </w:p>
    <w:p>
      <w:pPr>
        <w:pStyle w:val="TableCaption"/>
        <w:jc w:val="center"/>
      </w:pPr>
      <w:r>
        <w:rPr>
          <w:b/>
          <w:bCs/>
        </w:rPr>
        <w:t xml:space="preserve">Tableau II.12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w:t>
      </w:r>
      <w:r>
        <w:t xml:space="preserve"> </w:t>
      </w:r>
      <w:r>
        <w:rPr>
          <w:b/>
          <w:bCs/>
        </w:rPr>
        <w:t xml:space="preserve">écrit dans la table</w:t>
      </w:r>
      <w:r>
        <w:rPr>
          <w:b/>
          <w:bCs/>
        </w:rPr>
        <w:t xml:space="preserve"> </w:t>
      </w:r>
      <w:r>
        <w:rPr>
          <w:rStyle w:val="VerbatimChar"/>
          <w:b/>
          <w:bCs/>
        </w:rPr>
        <w:t xml:space="preserve">cr_work_orders</w:t>
      </w:r>
      <w:r>
        <w:rPr>
          <w:b/>
          <w:bCs/>
        </w:rPr>
        <w:t xml:space="preserve"> </w:t>
      </w:r>
      <w:r>
        <w:rPr>
          <w:b/>
          <w:bCs/>
        </w:rPr>
        <w:t xml:space="preserve">de Supabase</w:t>
      </w:r>
      <w:r>
        <w:t xml:space="preserve"> </w:t>
      </w:r>
      <w:r>
        <w:t xml:space="preserve">depuis l’application Streamlit —</w:t>
      </w:r>
      <w:r>
        <w:t xml:space="preserve"> </w:t>
      </w:r>
      <w:r>
        <w:rPr>
          <w:b/>
          <w:bCs/>
        </w:rPr>
        <w:t xml:space="preserve">aucun appel n’est émis vers un CMMS externe</w:t>
      </w:r>
      <w:r>
        <w:t xml:space="preserve">. La seule API REST mobilisée est celle de</w:t>
      </w:r>
      <w:r>
        <w:t xml:space="preserve"> </w:t>
      </w:r>
      <w:r>
        <w:rPr>
          <w:b/>
          <w:bCs/>
        </w:rPr>
        <w:t xml:space="preserve">Supabase</w:t>
      </w:r>
      <w:r>
        <w:t xml:space="preserve"> </w:t>
      </w:r>
      <w:r>
        <w:t xml:space="preserve">(PostgREST),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w:t>
      </w:r>
      <w:r>
        <w:t xml:space="preserve"> </w:t>
      </w:r>
      <w:r>
        <w:rPr>
          <w:b/>
          <w:bCs/>
        </w:rPr>
        <w:t xml:space="preserve">sans changer le mapping</w:t>
      </w:r>
      <w:r>
        <w:t xml:space="preserve"> </w:t>
      </w:r>
      <w:r>
        <w:t xml:space="preserve">ci-dessus.</w:t>
      </w:r>
    </w:p>
    <w:bookmarkEnd w:id="111"/>
    <w:bookmarkStart w:id="112"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rPr>
          <w:b/>
          <w:bCs/>
        </w:rPr>
        <w:t xml:space="preserve">Tableau II.13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2"/>
    <w:bookmarkEnd w:id="113"/>
    <w:bookmarkStart w:id="114" w:name="X0fcd5b5066ea3b0aa0fe0eb42347356d14c3aaf"/>
    <w:p>
      <w:pPr>
        <w:pStyle w:val="Heading2"/>
      </w:pPr>
      <w:r>
        <w:t xml:space="preserve">II.8. Tableau synoptique de la démarche méthodologique</w:t>
      </w:r>
    </w:p>
    <w:p>
      <w:pPr>
        <w:pStyle w:val="TableCaption"/>
        <w:jc w:val="center"/>
      </w:pPr>
      <w:r>
        <w:rPr>
          <w:b/>
          <w:bCs/>
        </w:rPr>
        <w:t xml:space="preserve">Tableau II.14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4"/>
    <w:bookmarkStart w:id="115"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w:t>
      </w:r>
      <w:r>
        <w:t xml:space="preserve"> </w:t>
      </w:r>
      <w:r>
        <w:rPr>
          <w:b/>
          <w:bCs/>
        </w:rPr>
        <w:t xml:space="preserve">boucle décision → action par un module GMAO maison</w:t>
      </w:r>
      <w:r>
        <w:t xml:space="preserve"> </w:t>
      </w:r>
      <w:r>
        <w:t xml:space="preserve">(Streamlit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5"/>
    <w:bookmarkEnd w:id="116"/>
    <w:bookmarkStart w:id="175"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7"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7"/>
    <w:bookmarkStart w:id="121"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8"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8"/>
    <w:bookmarkStart w:id="119"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19"/>
    <w:bookmarkStart w:id="120"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0"/>
    <w:bookmarkEnd w:id="121"/>
    <w:bookmarkStart w:id="130"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5"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3" name="Picture"/>
            <a:graphic>
              <a:graphicData uri="http://schemas.openxmlformats.org/drawingml/2006/picture">
                <pic:pic>
                  <pic:nvPicPr>
                    <pic:cNvPr descr="figures/fig_iii2_runs.png" id="124" name="Picture"/>
                    <pic:cNvPicPr>
                      <a:picLocks noChangeArrowheads="1" noChangeAspect="1"/>
                    </pic:cNvPicPr>
                  </pic:nvPicPr>
                  <pic:blipFill>
                    <a:blip r:embed="rId122"/>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5"/>
    <w:bookmarkStart w:id="129"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7" name="Picture"/>
            <a:graphic>
              <a:graphicData uri="http://schemas.openxmlformats.org/drawingml/2006/picture">
                <pic:pic>
                  <pic:nvPicPr>
                    <pic:cNvPr descr="figures/fig_iii2_synthese.png" id="128" name="Picture"/>
                    <pic:cNvPicPr>
                      <a:picLocks noChangeArrowheads="1" noChangeAspect="1"/>
                    </pic:cNvPicPr>
                  </pic:nvPicPr>
                  <pic:blipFill>
                    <a:blip r:embed="rId126"/>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29"/>
    <w:bookmarkEnd w:id="130"/>
    <w:bookmarkStart w:id="148"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4"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2" name="Picture"/>
            <a:graphic>
              <a:graphicData uri="http://schemas.openxmlformats.org/drawingml/2006/picture">
                <pic:pic>
                  <pic:nvPicPr>
                    <pic:cNvPr descr="figures/fig_iii3_r2_runs.png" id="133" name="Picture"/>
                    <pic:cNvPicPr>
                      <a:picLocks noChangeArrowheads="1" noChangeAspect="1"/>
                    </pic:cNvPicPr>
                  </pic:nvPicPr>
                  <pic:blipFill>
                    <a:blip r:embed="rId131"/>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4"/>
    <w:bookmarkStart w:id="138" w:name="X52ab184fc69075fc1f5ed419af95dc189312200"/>
    <w:p>
      <w:pPr>
        <w:pStyle w:val="Heading3"/>
      </w:pPr>
      <w:r>
        <w:t xml:space="preserve">III.3.2. Évolution de la performance au fil de la campagne : du LORO initial au LORO actuel</w:t>
      </w:r>
    </w:p>
    <w:p>
      <w:pPr>
        <w:pStyle w:val="FirstParagraph"/>
      </w:pPr>
      <w:r>
        <w:t xml:space="preserve">Ce résultat positif (+0,29) n’a pas été obtenu d’emblée : il est l’aboutissement d’une trajectoire que la figure III.5 retrace, du</w:t>
      </w:r>
      <w:r>
        <w:t xml:space="preserve"> </w:t>
      </w:r>
      <w:r>
        <w:rPr>
          <w:b/>
          <w:bCs/>
        </w:rPr>
        <w:t xml:space="preserve">LORO initial</w:t>
      </w:r>
      <w:r>
        <w:t xml:space="preserve"> </w:t>
      </w:r>
      <w:r>
        <w:t xml:space="preserve">au</w:t>
      </w:r>
      <w:r>
        <w:t xml:space="preserve"> </w:t>
      </w:r>
      <w:r>
        <w:rPr>
          <w:b/>
          <w:bCs/>
        </w:rPr>
        <w:t xml:space="preserve">LORO actuel</w:t>
      </w:r>
      <w:r>
        <w:t xml:space="preserve">.</w:t>
      </w:r>
    </w:p>
    <w:p>
      <w:pPr>
        <w:pStyle w:val="CaptionedFigure"/>
        <w:jc w:val="center"/>
      </w:pPr>
      <w:r>
        <w:drawing>
          <wp:inline>
            <wp:extent cx="4739005" cy="2901329"/>
            <wp:effectExtent b="0" l="0" r="0" t="0"/>
            <wp:docPr descr="Figure III.5 — Évolution du R² LORO au fil de la campagne, du LORO initial (couverture nulle) au LORO actuel" title="" id="136" name="Picture"/>
            <a:graphic>
              <a:graphicData uri="http://schemas.openxmlformats.org/drawingml/2006/picture">
                <pic:pic>
                  <pic:nvPicPr>
                    <pic:cNvPr descr="figures/fig_iii3_loro_evolution.png" id="137" name="Picture"/>
                    <pic:cNvPicPr>
                      <a:picLocks noChangeArrowheads="1" noChangeAspect="1"/>
                    </pic:cNvPicPr>
                  </pic:nvPicPr>
                  <pic:blipFill>
                    <a:blip r:embed="rId135"/>
                    <a:stretch>
                      <a:fillRect/>
                    </a:stretch>
                  </pic:blipFill>
                  <pic:spPr bwMode="auto">
                    <a:xfrm>
                      <a:off x="0" y="0"/>
                      <a:ext cx="4739005" cy="2901329"/>
                    </a:xfrm>
                    <a:prstGeom prst="rect">
                      <a:avLst/>
                    </a:prstGeom>
                    <a:noFill/>
                    <a:ln w="9525">
                      <a:noFill/>
                      <a:headEnd/>
                      <a:tailEnd/>
                    </a:ln>
                  </pic:spPr>
                </pic:pic>
              </a:graphicData>
            </a:graphic>
          </wp:inline>
        </w:drawing>
      </w:r>
    </w:p>
    <w:p>
      <w:pPr>
        <w:pStyle w:val="ImageCaption"/>
      </w:pPr>
      <w:r>
        <w:t xml:space="preserve">Figure III.5 — Évolution du R² LORO au fil de la campagne, du LORO initial (couverture nulle) au LORO actuel</w:t>
      </w:r>
    </w:p>
    <w:p>
      <w:pPr>
        <w:pStyle w:val="BodyText"/>
      </w:pPr>
      <w:r>
        <w:rPr>
          <w:b/>
          <w:bCs/>
        </w:rPr>
        <w:t xml:space="preserve">Du négatif au positif (couverture).</w:t>
      </w:r>
      <w:r>
        <w:t xml:space="preserve"> </w:t>
      </w:r>
      <w:r>
        <w:t xml:space="preserve">Entraîné sur la</w:t>
      </w:r>
      <w:r>
        <w:t xml:space="preserve"> </w:t>
      </w:r>
      <w:r>
        <w:rPr>
          <w:b/>
          <w:bCs/>
        </w:rPr>
        <w:t xml:space="preserve">seule série 30 °C</w:t>
      </w:r>
      <w:r>
        <w:t xml:space="preserve">, sans essai couvrant les conditions du run testé, le modèle échouait lourdement (</w:t>
      </w:r>
      <w:r>
        <w:rPr>
          <w:b/>
          <w:bCs/>
        </w:rPr>
        <w:t xml:space="preserve">R² = −1,77</w:t>
      </w:r>
      <w:r>
        <w:t xml:space="preserve">) : c’est le LORO initial. L’ajout progressif d’</w:t>
      </w:r>
      <w:r>
        <w:rPr>
          <w:b/>
          <w:bCs/>
        </w:rPr>
        <w:t xml:space="preserve">essais auxiliaires couvrant et répétant la plage 30 °C</w:t>
      </w:r>
      <w:r>
        <w:t xml:space="preserve"> </w:t>
      </w:r>
      <w:r>
        <w:t xml:space="preserve">a redressé la performance jusqu’à</w:t>
      </w:r>
      <w:r>
        <w:t xml:space="preserve"> </w:t>
      </w:r>
      <w:r>
        <w:rPr>
          <w:b/>
          <w:bCs/>
        </w:rPr>
        <w:t xml:space="preserve">+0,29</w:t>
      </w:r>
      <w:r>
        <w:t xml:space="preserve"> </w:t>
      </w:r>
      <w:r>
        <w:t xml:space="preserve">(LORO actuel, tableau III.2). Le moteur de ce redressement n’est pas le volume brut de données mais la</w:t>
      </w:r>
      <w:r>
        <w:t xml:space="preserve"> </w:t>
      </w:r>
      <w:r>
        <w:rPr>
          <w:b/>
          <w:bCs/>
        </w:rPr>
        <w:t xml:space="preserve">couverture et la répétition des conditions</w:t>
      </w:r>
      <w:r>
        <w:t xml:space="preserve">, analysées au paragraphe suivant (§III.3.3).</w:t>
      </w:r>
    </w:p>
    <w:p>
      <w:pPr>
        <w:pStyle w:val="BodyText"/>
      </w:pPr>
      <w:r>
        <w:rPr>
          <w:b/>
          <w:bCs/>
        </w:rPr>
        <w:t xml:space="preserve">Un plateau bruité (morphologie).</w:t>
      </w:r>
      <w:r>
        <w:t xml:space="preserve"> </w:t>
      </w:r>
      <w:r>
        <w:t xml:space="preserve">Au-delà de ce seuil, ajouter un essai ne garantit plus un gain. L’incorporation d’un essai de morphologie</w:t>
      </w:r>
      <w:r>
        <w:t xml:space="preserve"> </w:t>
      </w:r>
      <w:r>
        <w:rPr>
          <w:b/>
          <w:bCs/>
        </w:rPr>
        <w:t xml:space="preserve">graduelle</w:t>
      </w:r>
      <w:r>
        <w:t xml:space="preserve"> </w:t>
      </w:r>
      <w:r>
        <w:t xml:space="preserve">(Run #21, puis Run #22), alors que les essais de test relèvent de la morphologie</w:t>
      </w:r>
      <w:r>
        <w:t xml:space="preserve"> </w:t>
      </w:r>
      <w:r>
        <w:rPr>
          <w:i/>
          <w:iCs/>
        </w:rPr>
        <w:t xml:space="preserve">induction-emballement</w:t>
      </w:r>
      <w:r>
        <w:t xml:space="preserve"> </w:t>
      </w:r>
      <w:r>
        <w:t xml:space="preserve">(« sprint »), fait légèrement</w:t>
      </w:r>
      <w:r>
        <w:t xml:space="preserve"> </w:t>
      </w:r>
      <w:r>
        <w:rPr>
          <w:b/>
          <w:bCs/>
        </w:rPr>
        <w:t xml:space="preserve">reculer</w:t>
      </w:r>
      <w:r>
        <w:t xml:space="preserve"> </w:t>
      </w:r>
      <w:r>
        <w:t xml:space="preserve">la moyenne, vers</w:t>
      </w:r>
      <w:r>
        <w:t xml:space="preserve"> </w:t>
      </w:r>
      <w:r>
        <w:rPr>
          <w:b/>
          <w:bCs/>
        </w:rPr>
        <w:t xml:space="preserve">≈ +0,20</w:t>
      </w:r>
      <w:r>
        <w:t xml:space="preserve">. Ce recul appelle la prudence : au vu du faible effectif, la métrique est</w:t>
      </w:r>
      <w:r>
        <w:t xml:space="preserve"> </w:t>
      </w:r>
      <w:r>
        <w:rPr>
          <w:b/>
          <w:bCs/>
        </w:rPr>
        <w:t xml:space="preserve">bruitée</w:t>
      </w:r>
      <w:r>
        <w:t xml:space="preserve"> </w:t>
      </w:r>
      <w:r>
        <w:t xml:space="preserve">et doit être citée en</w:t>
      </w:r>
      <w:r>
        <w:t xml:space="preserve"> </w:t>
      </w:r>
      <w:r>
        <w:rPr>
          <w:b/>
          <w:bCs/>
        </w:rPr>
        <w:t xml:space="preserve">fourchette</w:t>
      </w:r>
      <w:r>
        <w:t xml:space="preserve"> </w:t>
      </w:r>
      <w:r>
        <w:t xml:space="preserve">plutôt qu’en valeur unique. Mesurée sur quatre tirages aléatoires, la moyenne sprint vaut</w:t>
      </w:r>
      <w:r>
        <w:t xml:space="preserve"> </w:t>
      </w:r>
      <w:r>
        <w:rPr>
          <w:b/>
          <w:bCs/>
        </w:rPr>
        <w:t xml:space="preserve">≈ +0,26 [+0,25 ; +0,29]</w:t>
      </w:r>
      <w:r>
        <w:t xml:space="preserve"> </w:t>
      </w:r>
      <w:r>
        <w:t xml:space="preserve">sans le run graduel et</w:t>
      </w:r>
      <w:r>
        <w:t xml:space="preserve"> </w:t>
      </w:r>
      <w:r>
        <w:rPr>
          <w:b/>
          <w:bCs/>
        </w:rPr>
        <w:t xml:space="preserve">≈ +0,20</w:t>
      </w:r>
      <w:r>
        <w:t xml:space="preserve"> </w:t>
      </w:r>
      <w:r>
        <w:t xml:space="preserve">avec, soit un écart</w:t>
      </w:r>
      <w:r>
        <w:t xml:space="preserve"> </w:t>
      </w:r>
      <w:r>
        <w:rPr>
          <w:b/>
          <w:bCs/>
        </w:rPr>
        <w:t xml:space="preserve">Δ ≈ −0,07 [−0,02 ; −0,10]</w:t>
      </w:r>
      <w:r>
        <w:t xml:space="preserve">, négatif sur les quatre tirages mais d’amplitude variable : la</w:t>
      </w:r>
      <w:r>
        <w:t xml:space="preserve"> </w:t>
      </w:r>
      <w:r>
        <w:rPr>
          <w:b/>
          <w:bCs/>
        </w:rPr>
        <w:t xml:space="preserve">direction</w:t>
      </w:r>
      <w:r>
        <w:t xml:space="preserve"> </w:t>
      </w:r>
      <w:r>
        <w:t xml:space="preserve">du recul est robuste, sa</w:t>
      </w:r>
      <w:r>
        <w:t xml:space="preserve"> </w:t>
      </w:r>
      <w:r>
        <w:rPr>
          <w:b/>
          <w:bCs/>
        </w:rPr>
        <w:t xml:space="preserve">magnitude</w:t>
      </w:r>
      <w:r>
        <w:t xml:space="preserve"> </w:t>
      </w:r>
      <w:r>
        <w:t xml:space="preserve">ne l’est pas.</w:t>
      </w:r>
    </w:p>
    <w:p>
      <w:pPr>
        <w:pStyle w:val="BodyText"/>
      </w:pPr>
      <w:r>
        <w:rPr>
          <w:b/>
          <w:bCs/>
        </w:rPr>
        <w:t xml:space="preserve">Enseignement.</w:t>
      </w:r>
      <w:r>
        <w:t xml:space="preserve"> </w:t>
      </w:r>
      <w:r>
        <w:t xml:space="preserve">La trajectoire confirme que la fiabilité tient à la</w:t>
      </w:r>
      <w:r>
        <w:t xml:space="preserve"> </w:t>
      </w:r>
      <w:r>
        <w:rPr>
          <w:b/>
          <w:bCs/>
        </w:rPr>
        <w:t xml:space="preserve">couverture appariée</w:t>
      </w:r>
      <w:r>
        <w:t xml:space="preserve"> </w:t>
      </w:r>
      <w:r>
        <w:t xml:space="preserve">des conditions — thermiques</w:t>
      </w:r>
      <w:r>
        <w:t xml:space="preserve"> </w:t>
      </w:r>
      <w:r>
        <w:rPr>
          <w:i/>
          <w:iCs/>
        </w:rPr>
        <w:t xml:space="preserve">et</w:t>
      </w:r>
      <w:r>
        <w:t xml:space="preserve"> </w:t>
      </w:r>
      <w:r>
        <w:t xml:space="preserve">morphologiques (§III.3.3) — et non au volume de données. Elle fixe aussi le cap des essais complémentaires (§III.6.5) : répéter au sein d’une</w:t>
      </w:r>
      <w:r>
        <w:t xml:space="preserve"> </w:t>
      </w:r>
      <w:r>
        <w:rPr>
          <w:b/>
          <w:bCs/>
        </w:rPr>
        <w:t xml:space="preserve">même morphologie</w:t>
      </w:r>
      <w:r>
        <w:t xml:space="preserve">, en priorité « sprint », plutôt que d’empiler des essais hétérogènes.</w:t>
      </w:r>
    </w:p>
    <w:bookmarkEnd w:id="138"/>
    <w:bookmarkStart w:id="142" w:name="X941fe09a457971cd984a3b9264dd13ac7df1809"/>
    <w:p>
      <w:pPr>
        <w:pStyle w:val="Heading3"/>
      </w:pPr>
      <w:r>
        <w:t xml:space="preserve">III.3.3.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III.6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6 — Effet de la couverture des conditions sur la fiabilité" title="" id="140" name="Picture"/>
            <a:graphic>
              <a:graphicData uri="http://schemas.openxmlformats.org/drawingml/2006/picture">
                <pic:pic>
                  <pic:nvPicPr>
                    <pic:cNvPr descr="figures/fig_iii3_r2_plage.png" id="141" name="Picture"/>
                    <pic:cNvPicPr>
                      <a:picLocks noChangeArrowheads="1" noChangeAspect="1"/>
                    </pic:cNvPicPr>
                  </pic:nvPicPr>
                  <pic:blipFill>
                    <a:blip r:embed="rId139"/>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III.6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 essais Run #21 et Run #22 (§III.6.5), tous deux de type graduel, l’illustrent : leur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ramené de +0,29 à ≈ +0,20 ; figure III.5).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(l’écart se chiffre en</w:t>
      </w:r>
      <w:r>
        <w:t xml:space="preserve"> </w:t>
      </w:r>
      <w:r>
        <w:rPr>
          <w:b/>
          <w:bCs/>
        </w:rPr>
        <w:t xml:space="preserve">fourchette Δ ≈ −0,07 [−0,02 ; −0,10]</w:t>
      </w:r>
      <w:r>
        <w:t xml:space="preserve"> </w:t>
      </w:r>
      <w:r>
        <w:t xml:space="preserve">selon le tirage, §III.3.2) ; de plus, les trois essais graduels observés restent</w:t>
      </w:r>
      <w:r>
        <w:t xml:space="preserve"> </w:t>
      </w:r>
      <w:r>
        <w:rPr>
          <w:b/>
          <w:bCs/>
        </w:rPr>
        <w:t xml:space="preserve">hétérogènes</w:t>
      </w:r>
      <w:r>
        <w:t xml:space="preserve"> </w:t>
      </w:r>
      <w:r>
        <w:t xml:space="preserve">(Run #1 à 22 h contre Run #21 et #22 à ≈ 12–13 h), de sorte que le simple décompte de répétitions ne suffit pas : seule la répétition au sein d’une morphologie</w:t>
      </w:r>
      <w:r>
        <w:t xml:space="preserve"> </w:t>
      </w:r>
      <w:r>
        <w:rPr>
          <w:b/>
          <w:bCs/>
        </w:rPr>
        <w:t xml:space="preserve">homogène</w:t>
      </w:r>
      <w:r>
        <w:t xml:space="preserve"> </w:t>
      </w:r>
      <w:r>
        <w:t xml:space="preserve">(§III.6.5) permettra de stabiliser la métrique.</w:t>
      </w:r>
    </w:p>
    <w:bookmarkEnd w:id="142"/>
    <w:bookmarkStart w:id="146" w:name="iii.3.4.-variables-dinfluence"/>
    <w:p>
      <w:pPr>
        <w:pStyle w:val="Heading3"/>
      </w:pPr>
      <w:r>
        <w:t xml:space="preserve">III.3.4. Variables d’influence</w:t>
      </w:r>
    </w:p>
    <w:p>
      <w:pPr>
        <w:pStyle w:val="FirstParagraph"/>
      </w:pPr>
      <w:r>
        <w:t xml:space="preserve">La figure III.7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7 — Importance des variables explicatives (XGBoost)" title="" id="144" name="Picture"/>
            <a:graphic>
              <a:graphicData uri="http://schemas.openxmlformats.org/drawingml/2006/picture">
                <pic:pic>
                  <pic:nvPicPr>
                    <pic:cNvPr descr="figures/fig_iii3_features.png" id="145" name="Picture"/>
                    <pic:cNvPicPr>
                      <a:picLocks noChangeArrowheads="1" noChangeAspect="1"/>
                    </pic:cNvPicPr>
                  </pic:nvPicPr>
                  <pic:blipFill>
                    <a:blip r:embed="rId143"/>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III.7 — Importance des variables explicatives (XGBoost)</w:t>
      </w:r>
    </w:p>
    <w:bookmarkEnd w:id="146"/>
    <w:bookmarkStart w:id="147" w:name="X73caf37290e5a75e0dd78c67d3e6639f4b02e31"/>
    <w:p>
      <w:pPr>
        <w:pStyle w:val="Heading3"/>
      </w:pPr>
      <w:r>
        <w:t xml:space="preserve">III.3.5. Estimateurs complémentaires de durée de vie (alternatives temporaires appliquées)</w:t>
      </w:r>
    </w:p>
    <w:p>
      <w:pPr>
        <w:pStyle w:val="FirstParagraph"/>
      </w:pPr>
      <w:r>
        <w:t xml:space="preserve">Tant que la couverture demeure partielle, le R² inter-essais du</w:t>
      </w:r>
      <w:r>
        <w:t xml:space="preserve"> </w:t>
      </w:r>
      <w:r>
        <w:rPr>
          <w:i/>
          <w:iCs/>
        </w:rPr>
        <w:t xml:space="preserve">taux de corrosion</w:t>
      </w:r>
      <w:r>
        <w:t xml:space="preserve"> </w:t>
      </w:r>
      <w:r>
        <w:t xml:space="preserve">reste modeste. Pour ne pas faire reposer la décision opérationnelle sur cette seule métrique,</w:t>
      </w:r>
      <w:r>
        <w:t xml:space="preserve"> </w:t>
      </w:r>
      <w:r>
        <w:rPr>
          <w:b/>
          <w:bCs/>
        </w:rPr>
        <w:t xml:space="preserve">trois estimateurs complémentaires de la durée de vie</w:t>
      </w:r>
      <w:r>
        <w:t xml:space="preserve"> </w:t>
      </w:r>
      <w:r>
        <w:t xml:space="preserve">(instant de rupture) ont été mis en œuvre et confrontés en supervision temps réel (tableau III.3). De natures différentes, ils se recoupent et permettent de</w:t>
      </w:r>
      <w:r>
        <w:t xml:space="preserve"> </w:t>
      </w:r>
      <w:r>
        <w:rPr>
          <w:b/>
          <w:bCs/>
        </w:rPr>
        <w:t xml:space="preserve">borner</w:t>
      </w:r>
      <w:r>
        <w:t xml:space="preserve"> </w:t>
      </w:r>
      <w:r>
        <w:t xml:space="preserve">la prédiction plutôt que de s’en remettre à une valeur unique.</w:t>
      </w:r>
    </w:p>
    <w:p>
      <w:pPr>
        <w:pStyle w:val="TableCaption"/>
        <w:jc w:val="center"/>
      </w:pPr>
      <w:r>
        <w:rPr>
          <w:b/>
          <w:bCs/>
        </w:rPr>
        <w:t xml:space="preserve">Tableau III.3 — Les trois estimateurs de durée de vie confrontés en supervision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Estimateur</w:t>
            </w:r>
          </w:p>
        </w:tc>
        <w:tc>
          <w:tcPr/>
          <w:p>
            <w:pPr>
              <w:pStyle w:val="Compact"/>
            </w:pPr>
            <w:r>
              <w:t xml:space="preserve">Principe</w:t>
            </w:r>
          </w:p>
        </w:tc>
        <w:tc>
          <w:tcPr/>
          <w:p>
            <w:pPr>
              <w:pStyle w:val="Compact"/>
            </w:pPr>
            <w:r>
              <w:t xml:space="preserve">Estime</w:t>
            </w:r>
          </w:p>
        </w:tc>
        <w:tc>
          <w:tcPr/>
          <w:p>
            <w:pPr>
              <w:pStyle w:val="Compact"/>
            </w:pPr>
            <w:r>
              <w:t xml:space="preserve">Robustesse</w:t>
            </w:r>
          </w:p>
        </w:tc>
      </w:tr>
      <w:tr>
        <w:tc>
          <w:tcPr/>
          <w:p>
            <w:pPr>
              <w:pStyle w:val="Compact"/>
            </w:pPr>
            <w:r>
              <w:rPr>
                <w:b/>
                <w:bCs/>
              </w:rPr>
              <w:t xml:space="preserve">Extrapolation physique</w:t>
            </w:r>
          </w:p>
        </w:tc>
        <w:tc>
          <w:tcPr/>
          <w:p>
            <w:pPr>
              <w:pStyle w:val="Compact"/>
            </w:pPr>
            <w:r>
              <w:t xml:space="preserve">temps écoulé + RUL mesuré (d’après la vitesse de corrosion instantanée, §II.4)</w:t>
            </w:r>
          </w:p>
        </w:tc>
        <w:tc>
          <w:tcPr/>
          <w:p>
            <w:pPr>
              <w:pStyle w:val="Compact"/>
            </w:pPr>
            <w:r>
              <w:t xml:space="preserve">durée de vie totale</w:t>
            </w:r>
          </w:p>
        </w:tc>
        <w:tc>
          <w:tcPr/>
          <w:p>
            <w:pPr>
              <w:pStyle w:val="Compact"/>
            </w:pPr>
            <w:r>
              <w:t xml:space="preserve">sensible au bruit de la pente, surtout tôt dans l’essai</w:t>
            </w:r>
          </w:p>
        </w:tc>
      </w:tr>
      <w:tr>
        <w:tc>
          <w:tcPr/>
          <w:p>
            <w:pPr>
              <w:pStyle w:val="Compact"/>
            </w:pPr>
            <w:r>
              <w:rPr>
                <w:b/>
                <w:bCs/>
              </w:rPr>
              <w:t xml:space="preserve">XGBoost (dérivé)</w:t>
            </w:r>
          </w:p>
        </w:tc>
        <w:tc>
          <w:tcPr/>
          <w:p>
            <w:pPr>
              <w:pStyle w:val="Compact"/>
            </w:pPr>
            <w:r>
              <w:t xml:space="preserve">même extrapolation, mais avec le</w:t>
            </w:r>
            <w:r>
              <w:t xml:space="preserve"> </w:t>
            </w:r>
            <w:r>
              <w:rPr>
                <w:i/>
                <w:iCs/>
              </w:rPr>
              <w:t xml:space="preserve">CR</w:t>
            </w:r>
            <w:r>
              <w:t xml:space="preserve"> </w:t>
            </w:r>
            <w:r>
              <w:rPr>
                <w:b/>
                <w:bCs/>
              </w:rPr>
              <w:t xml:space="preserve">prédit</w:t>
            </w:r>
            <w:r>
              <w:t xml:space="preserve"> </w:t>
            </w:r>
            <w:r>
              <w:t xml:space="preserve">par le modèle au lieu du</w:t>
            </w:r>
            <w:r>
              <w:t xml:space="preserve"> </w:t>
            </w:r>
            <w:r>
              <w:rPr>
                <w:i/>
                <w:iCs/>
              </w:rPr>
              <w:t xml:space="preserve">CR</w:t>
            </w:r>
            <w:r>
              <w:t xml:space="preserve"> </w:t>
            </w:r>
            <w:r>
              <w:t xml:space="preserve">mesuré</w:t>
            </w:r>
          </w:p>
        </w:tc>
        <w:tc>
          <w:tcPr/>
          <w:p>
            <w:pPr>
              <w:pStyle w:val="Compact"/>
            </w:pPr>
            <w:r>
              <w:t xml:space="preserve">durée de vie totale</w:t>
            </w:r>
          </w:p>
        </w:tc>
        <w:tc>
          <w:tcPr/>
          <w:p>
            <w:pPr>
              <w:pStyle w:val="Compact"/>
            </w:pPr>
            <w:r>
              <w:t xml:space="preserve">suit la qualité du LORO (§III.3.1)</w:t>
            </w:r>
          </w:p>
        </w:tc>
      </w:tr>
      <w:tr>
        <w:tc>
          <w:tcPr/>
          <w:p>
            <w:pPr>
              <w:pStyle w:val="Compact"/>
            </w:pPr>
            <w:r>
              <w:rPr>
                <w:b/>
                <w:bCs/>
              </w:rPr>
              <w:t xml:space="preserve">Jumeau / simulateur</w:t>
            </w:r>
          </w:p>
        </w:tc>
        <w:tc>
          <w:tcPr/>
          <w:p>
            <w:pPr>
              <w:pStyle w:val="Compact"/>
            </w:pPr>
            <w:r>
              <w:t xml:space="preserve">bande [P10–P90] du temps de rupture par mélange des essais donneurs réels</w:t>
            </w:r>
          </w:p>
        </w:tc>
        <w:tc>
          <w:tcPr/>
          <w:p>
            <w:pPr>
              <w:pStyle w:val="Compact"/>
            </w:pPr>
            <w:r>
              <w:t xml:space="preserve">bande de durée de vie</w:t>
            </w:r>
          </w:p>
        </w:tc>
        <w:tc>
          <w:tcPr/>
          <w:p>
            <w:pPr>
              <w:pStyle w:val="Compact"/>
            </w:pPr>
            <w:r>
              <w:t xml:space="preserve">seul estimateur</w:t>
            </w:r>
            <w:r>
              <w:t xml:space="preserve"> </w:t>
            </w:r>
            <w:r>
              <w:rPr>
                <w:i/>
                <w:iCs/>
              </w:rPr>
              <w:t xml:space="preserve">a priori</w:t>
            </w:r>
            <w:r>
              <w:t xml:space="preserve"> </w:t>
            </w:r>
            <w:r>
              <w:t xml:space="preserve">;</w:t>
            </w:r>
            <w:r>
              <w:t xml:space="preserve"> </w:t>
            </w:r>
            <w:r>
              <w:rPr>
                <w:b/>
                <w:bCs/>
              </w:rPr>
              <w:t xml:space="preserve">interpole</w:t>
            </w:r>
            <w:r>
              <w:t xml:space="preserve"> </w:t>
            </w:r>
            <w:r>
              <w:t xml:space="preserve">sans extrapoler hors de l’enveloppe observée</w:t>
            </w:r>
          </w:p>
        </w:tc>
      </w:tr>
    </w:tbl>
    <w:p>
      <w:pPr>
        <w:pStyle w:val="BodyText"/>
      </w:pPr>
      <w:r>
        <w:t xml:space="preserve">Seul le</w:t>
      </w:r>
      <w:r>
        <w:t xml:space="preserve"> </w:t>
      </w:r>
      <w:r>
        <w:rPr>
          <w:b/>
          <w:bCs/>
        </w:rPr>
        <w:t xml:space="preserve">jumeau</w:t>
      </w:r>
      <w:r>
        <w:t xml:space="preserve"> </w:t>
      </w:r>
      <w:r>
        <w:t xml:space="preserve">fournit une prédiction</w:t>
      </w:r>
      <w:r>
        <w:t xml:space="preserve"> </w:t>
      </w:r>
      <w:r>
        <w:rPr>
          <w:i/>
          <w:iCs/>
        </w:rPr>
        <w:t xml:space="preserve">avant</w:t>
      </w:r>
      <w:r>
        <w:t xml:space="preserve"> </w:t>
      </w:r>
      <w:r>
        <w:t xml:space="preserve">l’essai ; les deux extrapolations affinent l’estimation</w:t>
      </w:r>
      <w:r>
        <w:t xml:space="preserve"> </w:t>
      </w:r>
      <w:r>
        <w:rPr>
          <w:i/>
          <w:iCs/>
        </w:rPr>
        <w:t xml:space="preserve">en cours</w:t>
      </w:r>
      <w:r>
        <w:t xml:space="preserve"> </w:t>
      </w:r>
      <w:r>
        <w:t xml:space="preserve">d’essai à mesure que la pente se stabilise. Confronté aux deux essais graduels réalisés depuis (figure III.11, §III.6.5), le jumeau enregistre</w:t>
      </w:r>
      <w:r>
        <w:t xml:space="preserve"> </w:t>
      </w:r>
      <w:r>
        <w:rPr>
          <w:b/>
          <w:bCs/>
        </w:rPr>
        <w:t xml:space="preserve">un test réussi et un manqué</w:t>
      </w:r>
      <w:r>
        <w:t xml:space="preserve"> </w:t>
      </w:r>
      <w:r>
        <w:t xml:space="preserve">: annoncé dans sa bande, Run #21 a rompu à 13,1 h (à l’intérieur), tandis que Run #22 — l’essai le plus rapide de la campagne — a rompu à 11,95 h,</w:t>
      </w:r>
      <w:r>
        <w:t xml:space="preserve"> </w:t>
      </w:r>
      <w:r>
        <w:rPr>
          <w:b/>
          <w:bCs/>
        </w:rPr>
        <w:t xml:space="preserve">en deçà</w:t>
      </w:r>
      <w:r>
        <w:t xml:space="preserve"> </w:t>
      </w:r>
      <w:r>
        <w:t xml:space="preserve">de la bande. Cet écart est instructif : il révèle que la bande, qui interpole entre morphologies observées, ne s’</w:t>
      </w:r>
      <w:r>
        <w:rPr>
          <w:b/>
          <w:bCs/>
        </w:rPr>
        <w:t xml:space="preserve">extrapole</w:t>
      </w:r>
      <w:r>
        <w:t xml:space="preserve"> </w:t>
      </w:r>
      <w:r>
        <w:t xml:space="preserve">pas au-delà de l’enveloppe des donneurs.</w:t>
      </w:r>
    </w:p>
    <w:p>
      <w:pPr>
        <w:pStyle w:val="BodyText"/>
      </w:pPr>
      <w:r>
        <w:rPr>
          <w:b/>
          <w:bCs/>
        </w:rPr>
        <w:t xml:space="preserve">Ce que l’on sait faire, et comment l’améliorer.</w:t>
      </w:r>
      <w:r>
        <w:t xml:space="preserve"> </w:t>
      </w:r>
      <w:r>
        <w:t xml:space="preserve">À ce stade, la chaîne sait : prédire le</w:t>
      </w:r>
      <w:r>
        <w:t xml:space="preserve"> </w:t>
      </w:r>
      <w:r>
        <w:rPr>
          <w:i/>
          <w:iCs/>
        </w:rPr>
        <w:t xml:space="preserve">CR</w:t>
      </w:r>
      <w:r>
        <w:t xml:space="preserve"> </w:t>
      </w:r>
      <w:r>
        <w:t xml:space="preserve">en continu et le situer par rapport aux régimes (OS2/OS3), estimer une durée de vie par trois voies redondantes, et déclencher un ordre de travail enrichi (OS4, §III.5). La consolidation passe par des</w:t>
      </w:r>
      <w:r>
        <w:t xml:space="preserve"> </w:t>
      </w:r>
      <w:r>
        <w:rPr>
          <w:b/>
          <w:bCs/>
        </w:rPr>
        <w:t xml:space="preserve">démarches</w:t>
      </w:r>
      <w:r>
        <w:t xml:space="preserve"> </w:t>
      </w:r>
      <w:r>
        <w:t xml:space="preserve">précises : (i) répéter les essais</w:t>
      </w:r>
      <w:r>
        <w:t xml:space="preserve"> </w:t>
      </w:r>
      <w:r>
        <w:rPr>
          <w:b/>
          <w:bCs/>
        </w:rPr>
        <w:t xml:space="preserve">au sein d’une même morphologie</w:t>
      </w:r>
      <w:r>
        <w:t xml:space="preserve"> </w:t>
      </w:r>
      <w:r>
        <w:t xml:space="preserve">(en priorité « sprint ») pour stabiliser le LORO du</w:t>
      </w:r>
      <w:r>
        <w:t xml:space="preserve"> </w:t>
      </w:r>
      <w:r>
        <w:rPr>
          <w:i/>
          <w:iCs/>
        </w:rPr>
        <w:t xml:space="preserve">CR</w:t>
      </w:r>
      <w:r>
        <w:t xml:space="preserve"> </w:t>
      </w:r>
      <w:r>
        <w:t xml:space="preserve">; (ii)</w:t>
      </w:r>
      <w:r>
        <w:t xml:space="preserve"> </w:t>
      </w:r>
      <w:r>
        <w:rPr>
          <w:b/>
          <w:bCs/>
        </w:rPr>
        <w:t xml:space="preserve">élargir la bande synthétique</w:t>
      </w:r>
      <w:r>
        <w:t xml:space="preserve"> </w:t>
      </w:r>
      <w:r>
        <w:t xml:space="preserve">vers les essais rapides, afin de couvrir l’enveloppe basse révélée par Run #22 ; (iii)</w:t>
      </w:r>
      <w:r>
        <w:t xml:space="preserve"> </w:t>
      </w:r>
      <w:r>
        <w:rPr>
          <w:b/>
          <w:bCs/>
        </w:rPr>
        <w:t xml:space="preserve">contrôler simultanément</w:t>
      </w:r>
      <w:r>
        <w:t xml:space="preserve"> </w:t>
      </w:r>
      <w:r>
        <w:t xml:space="preserve">tous les facteurs (température, concentration) ; (iv) adjoindre une</w:t>
      </w:r>
      <w:r>
        <w:t xml:space="preserve"> </w:t>
      </w:r>
      <w:r>
        <w:rPr>
          <w:b/>
          <w:bCs/>
        </w:rPr>
        <w:t xml:space="preserve">validation gravimétrique</w:t>
      </w:r>
      <w:r>
        <w:t xml:space="preserve"> </w:t>
      </w:r>
      <w:r>
        <w:t xml:space="preserve">indépendante du</w:t>
      </w:r>
      <w:r>
        <w:t xml:space="preserve"> </w:t>
      </w:r>
      <w:r>
        <w:rPr>
          <w:i/>
          <w:iCs/>
        </w:rPr>
        <w:t xml:space="preserve">CR</w:t>
      </w:r>
      <w:r>
        <w:t xml:space="preserve"> </w:t>
      </w:r>
      <w:r>
        <w:t xml:space="preserve">(§III.6.4). Ces axes structurent la suite de la campagne (§III.6.5).</w:t>
      </w:r>
    </w:p>
    <w:p>
      <w:r>
        <w:pict>
          <v:rect style="width:0;height:1.5pt" o:hralign="center" o:hrstd="t" o:hr="t"/>
        </w:pict>
      </w:r>
    </w:p>
    <w:bookmarkEnd w:id="147"/>
    <w:bookmarkEnd w:id="148"/>
    <w:bookmarkStart w:id="158" w:name="Xf0fc160310e0f571bbb288514d761cb1ca3a8a9"/>
    <w:p>
      <w:pPr>
        <w:pStyle w:val="Heading2"/>
      </w:pPr>
      <w:r>
        <w:t xml:space="preserve">III.4. Diagnostic des régimes et facteurs de variabilité (OS3)</w:t>
      </w:r>
    </w:p>
    <w:bookmarkStart w:id="152"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rPr>
          <w:b/>
          <w:bCs/>
        </w:rPr>
        <w:t xml:space="preserve">Pourquoi l’emballement et la rupture sont simultanés.</w:t>
      </w:r>
      <w:r>
        <w:t xml:space="preserve"> </w:t>
      </w:r>
      <w:r>
        <w:t xml:space="preserve">L’emballement final n’est pas une accélération de la</w:t>
      </w:r>
      <w:r>
        <w:t xml:space="preserve"> </w:t>
      </w:r>
      <w:r>
        <w:rPr>
          <w:i/>
          <w:iCs/>
        </w:rPr>
        <w:t xml:space="preserve">réaction</w:t>
      </w:r>
      <w:r>
        <w:t xml:space="preserve"> </w:t>
      </w:r>
      <w:r>
        <w:t xml:space="preserve">chimique, mais une</w:t>
      </w:r>
      <w:r>
        <w:t xml:space="preserve"> </w:t>
      </w:r>
      <w:r>
        <w:rPr>
          <w:b/>
          <w:bCs/>
        </w:rPr>
        <w:t xml:space="preserve">divergence géométrique</w:t>
      </w:r>
      <w:r>
        <w:t xml:space="preserve"> </w:t>
      </w:r>
      <w:r>
        <w:t xml:space="preserve">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w:t>
      </w:r>
      <w:r>
        <w:t xml:space="preserve"> </w:t>
      </w:r>
      <w:r>
        <w:rPr>
          <w:b/>
          <w:bCs/>
        </w:rPr>
        <w:t xml:space="preserve">rupture mécanique coïncide avec le début de l’emballement</w:t>
      </w:r>
      <w:r>
        <w:t xml:space="preserve"> </w:t>
      </w:r>
      <w:r>
        <w:t xml:space="preserve">: « section qui tend vers zéro » signifie à la fois l’explosion de</w:t>
      </w:r>
      <w:r>
        <w:t xml:space="preserve"> </w:t>
      </w:r>
      <m:oMath>
        <m:r>
          <m:t>R</m:t>
        </m:r>
      </m:oMath>
      <w:r>
        <w:t xml:space="preserve"> </w:t>
      </w:r>
      <w:r>
        <w:t xml:space="preserve">et la perte de tenue mécanique — deux manifestations du même événement, ce qui rejoint l’observation visuelle faite en cours d’essai. La figure III.8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w:t>
      </w:r>
      <w:r>
        <w:t xml:space="preserve"> </w:t>
      </w:r>
      <w:r>
        <w:rPr>
          <w:b/>
          <w:bCs/>
        </w:rPr>
        <w:t xml:space="preserve">continue de croître alors que le fil est presque entièrement aminci, voire rompu</w:t>
      </w:r>
      <w:r>
        <w:t xml:space="preserve">, s’explique par la</w:t>
      </w:r>
      <w:r>
        <w:t xml:space="preserve"> </w:t>
      </w:r>
      <w:r>
        <w:rPr>
          <w:b/>
          <w:bCs/>
        </w:rPr>
        <w:t xml:space="preserve">conduction résiduelle</w:t>
      </w:r>
      <w:r>
        <w:t xml:space="preserve"> </w:t>
      </w:r>
      <w:r>
        <w:t xml:space="preserve">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8 — Emballement géométrique de R en fin d’essai et rupture par disparition de la section (Run #1, échelle log)" title="" id="150" name="Picture"/>
            <a:graphic>
              <a:graphicData uri="http://schemas.openxmlformats.org/drawingml/2006/picture">
                <pic:pic>
                  <pic:nvPicPr>
                    <pic:cNvPr descr="figures/fig_iii4_emballement.png" id="151" name="Picture"/>
                    <pic:cNvPicPr>
                      <a:picLocks noChangeArrowheads="1" noChangeAspect="1"/>
                    </pic:cNvPicPr>
                  </pic:nvPicPr>
                  <pic:blipFill>
                    <a:blip r:embed="rId149"/>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III.8 — Emballement géométrique de R en fin d’essai et rupture par disparition de la section (Run #1, échelle log)</w:t>
      </w:r>
    </w:p>
    <w:bookmarkEnd w:id="152"/>
    <w:bookmarkStart w:id="156"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III.9 confronte la courbe d’un essai propre (Run #16) à celles de ces deux contre-exemples.</w:t>
      </w:r>
    </w:p>
    <w:p>
      <w:pPr>
        <w:pStyle w:val="CaptionedFigure"/>
        <w:jc w:val="center"/>
      </w:pPr>
      <w:r>
        <w:drawing>
          <wp:inline>
            <wp:extent cx="4739005" cy="2499070"/>
            <wp:effectExtent b="0" l="0" r="0" t="0"/>
            <wp:docPr descr="Figure III.9 — Vitrine 30 °C vs contre-exemples" title="" id="154" name="Picture"/>
            <a:graphic>
              <a:graphicData uri="http://schemas.openxmlformats.org/drawingml/2006/picture">
                <pic:pic>
                  <pic:nvPicPr>
                    <pic:cNvPr descr="figures/fig_iii4_contrexemples.png" id="155" name="Picture"/>
                    <pic:cNvPicPr>
                      <a:picLocks noChangeArrowheads="1" noChangeAspect="1"/>
                    </pic:cNvPicPr>
                  </pic:nvPicPr>
                  <pic:blipFill>
                    <a:blip r:embed="rId153"/>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III.9 — Vitrine 30 °C vs contre-exemples</w:t>
      </w:r>
    </w:p>
    <w:p>
      <w:pPr>
        <w:pStyle w:val="TableCaption"/>
        <w:jc w:val="center"/>
      </w:pPr>
      <w:r>
        <w:rPr>
          <w:b/>
          <w:bCs/>
        </w:rPr>
        <w:t xml:space="preserve">Tableau III.4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56"/>
    <w:bookmarkStart w:id="157"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7"/>
    <w:bookmarkEnd w:id="158"/>
    <w:bookmarkStart w:id="161"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59"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9"/>
    <w:bookmarkStart w:id="160"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reporteraient sur un</w:t>
      </w:r>
      <w:r>
        <w:t xml:space="preserve"> </w:t>
      </w:r>
      <w:r>
        <w:rPr>
          <w:b/>
          <w:bCs/>
        </w:rPr>
        <w:t xml:space="preserve">CMMS open-source exposant une API</w:t>
      </w:r>
      <w:r>
        <w:t xml:space="preserve">, transposition restée au stade de</w:t>
      </w:r>
      <w:r>
        <w:t xml:space="preserve"> </w:t>
      </w:r>
      <w:r>
        <w:rPr>
          <w:b/>
          <w:bCs/>
        </w:rPr>
        <w:t xml:space="preserve">spécification (non déployée)</w:t>
      </w:r>
      <w:r>
        <w:t xml:space="preserve">, l’accès API des solutions gratuites étant restreint. Les KPIs de maintenance (MTBF, MTTR, disponibilité, taux de fausses alertes) sont calculés à partir de l’historique des OT. Toute la chaîne reste à ce stade</w:t>
      </w:r>
      <w:r>
        <w:t xml:space="preserve"> </w:t>
      </w:r>
      <w:r>
        <w:rPr>
          <w:b/>
          <w:bCs/>
        </w:rPr>
        <w:t xml:space="preserve">interne à Streamlit/Supabase</w:t>
      </w:r>
      <w:r>
        <w:t xml:space="preserve"> </w:t>
      </w:r>
      <w:r>
        <w:t xml:space="preserve">: aucun appel n’est émis vers un CMMS externe.</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60"/>
    <w:bookmarkEnd w:id="161"/>
    <w:bookmarkStart w:id="173" w:name="iii.6.-discussions"/>
    <w:p>
      <w:pPr>
        <w:pStyle w:val="Heading2"/>
      </w:pPr>
      <w:r>
        <w:t xml:space="preserve">III.6. Discussions</w:t>
      </w:r>
    </w:p>
    <w:bookmarkStart w:id="162"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62"/>
    <w:bookmarkStart w:id="163"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Kuang et Long,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63"/>
    <w:bookmarkStart w:id="164"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64"/>
    <w:bookmarkStart w:id="165"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 Ce même couplage explique le</w:t>
      </w:r>
      <w:r>
        <w:t xml:space="preserve"> </w:t>
      </w:r>
      <w:r>
        <w:rPr>
          <w:b/>
          <w:bCs/>
        </w:rPr>
        <w:t xml:space="preserve">comportement post-rupture</w:t>
      </w:r>
      <w:r>
        <w:t xml:space="preserve"> </w:t>
      </w:r>
      <w:r>
        <w:t xml:space="preserve">: une fois le fil sectionné, le courant continue de transiter par l’</w:t>
      </w:r>
      <w:r>
        <w:rPr>
          <w:b/>
          <w:bCs/>
        </w:rPr>
        <w:t xml:space="preserve">électrolyte</w:t>
      </w:r>
      <w:r>
        <w:t xml:space="preserve"> </w:t>
      </w:r>
      <w:r>
        <w:t xml:space="preserve">(et un éventuel dernier filament métallique), si bien que la résistance apparente</w:t>
      </w:r>
      <w:r>
        <w:t xml:space="preserve"> </w:t>
      </w:r>
      <w:r>
        <w:rPr>
          <w:b/>
          <w:bCs/>
        </w:rPr>
        <w:t xml:space="preserve">reste élevée et croissante</w:t>
      </w:r>
      <w:r>
        <w:t xml:space="preserve"> </w:t>
      </w:r>
      <w:r>
        <w:t xml:space="preserve">jusqu’à l’ouverture franche du circuit. La portion terminale du signal</w:t>
      </w:r>
      <w:r>
        <w:t xml:space="preserve"> </w:t>
      </w:r>
      <w:r>
        <w:rPr>
          <w:i/>
          <w:iCs/>
        </w:rPr>
        <w:t xml:space="preserve">R</w:t>
      </w:r>
      <w:r>
        <w:t xml:space="preserve">(t) relève donc d’une</w:t>
      </w:r>
      <w:r>
        <w:t xml:space="preserve"> </w:t>
      </w:r>
      <w:r>
        <w:rPr>
          <w:b/>
          <w:bCs/>
        </w:rPr>
        <w:t xml:space="preserve">conduction électrolytique, non métallique</w:t>
      </w:r>
      <w:r>
        <w:t xml:space="preserve"> </w:t>
      </w:r>
      <w:r>
        <w:t xml:space="preserve">: elle ne traduit plus l’état du fil et est, à ce titre,</w:t>
      </w:r>
      <w:r>
        <w:t xml:space="preserve"> </w:t>
      </w:r>
      <w:r>
        <w:rPr>
          <w:b/>
          <w:bCs/>
        </w:rPr>
        <w:t xml:space="preserve">tronquée au seuil de saturation</w:t>
      </w:r>
      <w:r>
        <w:t xml:space="preserve"> </w:t>
      </w:r>
      <w:r>
        <w:t xml:space="preserve">(</w:t>
      </w:r>
      <w:r>
        <w:rPr>
          <w:rStyle w:val="VerbatimChar"/>
        </w:rPr>
        <w:t xml:space="preserve">rx &gt; 100 Ω</w:t>
      </w:r>
      <w:r>
        <w:t xml:space="preserve">) puis exclue de l’apprentissage (§II.4.4). Cette limitation, propre aux sondes ER en milieu très conducteur, est documentée dans la littérature de la mesure de corrosion (Roberge, 2008 ; Mansfeld, 2014).</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65"/>
    <w:bookmarkStart w:id="172"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w:t>
      </w:r>
      <w:r>
        <w:t xml:space="preserve">(figure III.10).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Deux essais réels, Run #21 puis Run #22, ont depuis fourni deux tests « prédire-puis-confirmer » à l’issue contrastée et instructive (figure III.11). Pour</w:t>
      </w:r>
      <w:r>
        <w:t xml:space="preserve"> </w:t>
      </w:r>
      <w:r>
        <w:rPr>
          <w:b/>
          <w:bCs/>
        </w:rPr>
        <w:t xml:space="preserve">Run #21</w:t>
      </w:r>
      <w:r>
        <w:t xml:space="preserve">, la bande annoncée</w:t>
      </w:r>
      <w:r>
        <w:t xml:space="preserve"> </w:t>
      </w:r>
      <w:r>
        <w:rPr>
          <w:i/>
          <w:iCs/>
        </w:rPr>
        <w:t xml:space="preserve">avant</w:t>
      </w:r>
      <w:r>
        <w:t xml:space="preserve"> </w:t>
      </w:r>
      <w:r>
        <w:t xml:space="preserve">l’essai (13–20,5 h, médiane 16 h) a été</w:t>
      </w:r>
      <w:r>
        <w:t xml:space="preserve"> </w:t>
      </w:r>
      <w:r>
        <w:rPr>
          <w:b/>
          <w:bCs/>
        </w:rPr>
        <w:t xml:space="preserve">vérifiée</w:t>
      </w:r>
      <w:r>
        <w:t xml:space="preserve"> </w:t>
      </w:r>
      <w:r>
        <w:t xml:space="preserve">: rupture à</w:t>
      </w:r>
      <w:r>
        <w:t xml:space="preserve"> </w:t>
      </w:r>
      <w:r>
        <w:rPr>
          <w:b/>
          <w:bCs/>
        </w:rPr>
        <w:t xml:space="preserve">13,1 h</w:t>
      </w:r>
      <w:r>
        <w:t xml:space="preserve">, à l’intérieur de la bande (borne inférieure). Pour</w:t>
      </w:r>
      <w:r>
        <w:t xml:space="preserve"> </w:t>
      </w:r>
      <w:r>
        <w:rPr>
          <w:b/>
          <w:bCs/>
        </w:rPr>
        <w:t xml:space="preserve">Run #22</w:t>
      </w:r>
      <w:r>
        <w:t xml:space="preserve">, en revanche, la rupture est survenue à</w:t>
      </w:r>
      <w:r>
        <w:t xml:space="preserve"> </w:t>
      </w:r>
      <w:r>
        <w:rPr>
          <w:b/>
          <w:bCs/>
        </w:rPr>
        <w:t xml:space="preserve">11,95 h</w:t>
      </w:r>
      <w:r>
        <w:t xml:space="preserve">,</w:t>
      </w:r>
      <w:r>
        <w:t xml:space="preserve"> </w:t>
      </w:r>
      <w:r>
        <w:rPr>
          <w:b/>
          <w:bCs/>
        </w:rPr>
        <w:t xml:space="preserve">en deçà</w:t>
      </w:r>
      <w:r>
        <w:t xml:space="preserve"> </w:t>
      </w:r>
      <w:r>
        <w:t xml:space="preserve">de la borne basse : l’essai le plus rapide de toute la campagne tombe</w:t>
      </w:r>
      <w:r>
        <w:t xml:space="preserve"> </w:t>
      </w:r>
      <w:r>
        <w:rPr>
          <w:b/>
          <w:bCs/>
        </w:rPr>
        <w:t xml:space="preserve">sous l’enveloppe des donneurs</w:t>
      </w:r>
      <w:r>
        <w:t xml:space="preserve">, que le jumeau interpole sans l’extrapoler. Ce</w:t>
      </w:r>
      <w:r>
        <w:t xml:space="preserve"> </w:t>
      </w:r>
      <w:r>
        <w:rPr>
          <w:b/>
          <w:bCs/>
        </w:rPr>
        <w:t xml:space="preserve">manqué n’infirme pas la démarche</w:t>
      </w:r>
      <w:r>
        <w:t xml:space="preserve"> </w:t>
      </w:r>
      <w:r>
        <w:t xml:space="preserve">: il en délimite le domaine de validité — la bande devra être élargie vers les essais rapides — et illustre, sur un cas réel, la limite annoncée. Run #21 et Run #22 ajoutent par ailleurs deux représentants de la morphologie graduelle ; mais les trois graduels observés demeurent</w:t>
      </w:r>
      <w:r>
        <w:t xml:space="preserve"> </w:t>
      </w:r>
      <w:r>
        <w:rPr>
          <w:b/>
          <w:bCs/>
        </w:rPr>
        <w:t xml:space="preserve">hétérogènes</w:t>
      </w:r>
      <w:r>
        <w:t xml:space="preserve"> </w:t>
      </w:r>
      <w:r>
        <w:t xml:space="preserve">(Run #1 à 22 h contre Run #21 et #22 à ≈ 12–13 h), ce qui montre que le simple décompte de répétitions ne suffit pas : c’est la répétition au sein d’une morphologie</w:t>
      </w:r>
      <w:r>
        <w:t xml:space="preserve"> </w:t>
      </w:r>
      <w:r>
        <w:rPr>
          <w:b/>
          <w:bCs/>
        </w:rPr>
        <w:t xml:space="preserve">homogène</w:t>
      </w:r>
      <w:r>
        <w:t xml:space="preserve"> </w:t>
      </w:r>
      <w:r>
        <w:t xml:space="preserve">qui confère la prédictibilité.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w:t>
      </w:r>
      <w:r>
        <w:t xml:space="preserve"> </w:t>
      </w:r>
      <w:r>
        <w:rPr>
          <w:b/>
          <w:bCs/>
        </w:rPr>
        <w:t xml:space="preserve">suffisamment répétée</w:t>
      </w:r>
      <w:r>
        <w:t xml:space="preserve">. Ces travaux, encore préliminaires, seront validés et étendus dans la suite de la campagne.</w:t>
      </w:r>
    </w:p>
    <w:p>
      <w:pPr>
        <w:pStyle w:val="CaptionedFigure"/>
        <w:jc w:val="center"/>
      </w:pPr>
      <w:r>
        <w:drawing>
          <wp:inline>
            <wp:extent cx="4460240" cy="2617966"/>
            <wp:effectExtent b="0" l="0" r="0" t="0"/>
            <wp:docPr descr="Figure III.10 — Jumeau numérique : bande prédictive de durée de vie (P10–P90) issue des trajectoires synthétiques couvrant les deux morphologies de corrosion, et position de l’essai Run #21 — prédiction avant essai 13–20,5 h, rupture observée à 13,1 h, dans la bande" title="" id="167" name="Picture"/>
            <a:graphic>
              <a:graphicData uri="http://schemas.openxmlformats.org/drawingml/2006/picture">
                <pic:pic>
                  <pic:nvPicPr>
                    <pic:cNvPr descr="figures/fig_simulateur_run21_nonparam.png" id="168" name="Picture"/>
                    <pic:cNvPicPr>
                      <a:picLocks noChangeArrowheads="1" noChangeAspect="1"/>
                    </pic:cNvPicPr>
                  </pic:nvPicPr>
                  <pic:blipFill>
                    <a:blip r:embed="rId166"/>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III.10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pPr>
        <w:pStyle w:val="CaptionedFigure"/>
        <w:jc w:val="center"/>
      </w:pPr>
      <w:r>
        <w:drawing>
          <wp:inline>
            <wp:extent cx="4571746" cy="1811855"/>
            <wp:effectExtent b="0" l="0" r="0" t="0"/>
            <wp:docPr descr="Figure III.11 — Bande prédictive du jumeau confrontée aux deux essais graduels réels : Run #21 (13,1 h) à l’intérieur de la bande, Run #22 (11,95 h) en deçà — bilan « prédire-puis-confirmer » de un sur deux" title="" id="170" name="Picture"/>
            <a:graphic>
              <a:graphicData uri="http://schemas.openxmlformats.org/drawingml/2006/picture">
                <pic:pic>
                  <pic:nvPicPr>
                    <pic:cNvPr descr="figures/fig_iii3_band_scorecard.png" id="171" name="Picture"/>
                    <pic:cNvPicPr>
                      <a:picLocks noChangeArrowheads="1" noChangeAspect="1"/>
                    </pic:cNvPicPr>
                  </pic:nvPicPr>
                  <pic:blipFill>
                    <a:blip r:embed="rId169"/>
                    <a:stretch>
                      <a:fillRect/>
                    </a:stretch>
                  </pic:blipFill>
                  <pic:spPr bwMode="auto">
                    <a:xfrm>
                      <a:off x="0" y="0"/>
                      <a:ext cx="4571746" cy="1811855"/>
                    </a:xfrm>
                    <a:prstGeom prst="rect">
                      <a:avLst/>
                    </a:prstGeom>
                    <a:noFill/>
                    <a:ln w="9525">
                      <a:noFill/>
                      <a:headEnd/>
                      <a:tailEnd/>
                    </a:ln>
                  </pic:spPr>
                </pic:pic>
              </a:graphicData>
            </a:graphic>
          </wp:inline>
        </w:drawing>
      </w:r>
    </w:p>
    <w:p>
      <w:pPr>
        <w:pStyle w:val="ImageCaption"/>
      </w:pPr>
      <w:r>
        <w:t xml:space="preserve">Figure III.11 — Bande prédictive du jumeau confrontée aux deux essais graduels réels : Run #21 (13,1 h) à l’intérieur de la bande, Run #22 (11,95 h) en deçà — bilan « prédire-puis-confirmer » de un sur deux</w:t>
      </w:r>
    </w:p>
    <w:p>
      <w:r>
        <w:pict>
          <v:rect style="width:0;height:1.5pt" o:hralign="center" o:hrstd="t" o:hr="t"/>
        </w:pict>
      </w:r>
    </w:p>
    <w:bookmarkEnd w:id="172"/>
    <w:bookmarkEnd w:id="173"/>
    <w:bookmarkStart w:id="174"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74"/>
    <w:bookmarkEnd w:id="175"/>
    <w:bookmarkStart w:id="176" w:name="conclusion-générale"/>
    <w:p>
      <w:pPr>
        <w:pStyle w:val="Heading1"/>
      </w:pPr>
      <w:r>
        <w:t xml:space="preserve">CONCLUSION GÉNÉRALE</w:t>
      </w:r>
    </w:p>
    <w:p>
      <w:pPr>
        <w:pStyle w:val="FirstParagraph"/>
      </w:pPr>
      <w:r>
        <w:t xml:space="preserve">Ce mémoire s’est donné pour objectif de concevoir, développer et valider expérimentalement un</w:t>
      </w:r>
      <w:r>
        <w:t xml:space="preserve"> </w:t>
      </w:r>
      <w:r>
        <w:rPr>
          <w:b/>
          <w:bCs/>
        </w:rPr>
        <w:t xml:space="preserve">système intégré de maintenance prédictive de la corrosion</w:t>
      </w:r>
      <w:r>
        <w:t xml:space="preserve">, matérialisant une transition</w:t>
      </w:r>
      <w:r>
        <w:t xml:space="preserve"> </w:t>
      </w:r>
      <w:r>
        <w:rPr>
          <w:b/>
          <w:bCs/>
        </w:rPr>
        <w:t xml:space="preserve">Industrie 3.0 → 4.0</w:t>
      </w:r>
      <w:r>
        <w:t xml:space="preserve"> </w:t>
      </w:r>
      <w:r>
        <w:t xml:space="preserve">sur l’ensemble de la chaîne</w:t>
      </w:r>
      <w:r>
        <w:t xml:space="preserve"> </w:t>
      </w:r>
      <w:r>
        <w:rPr>
          <w:i/>
          <w:iCs/>
        </w:rPr>
        <w:t xml:space="preserve">détection → diagnostic → pronostic → décision → action</w:t>
      </w:r>
      <w:r>
        <w:t xml:space="preserve"> </w:t>
      </w:r>
      <w:r>
        <w:t xml:space="preserve">(ISO 13381-1), et doublement transposable aux opérateurs déjà instrumentés (cas COTCO) comme aux PME industrielles africaines. Au terme du travail, le bilan des quatre objectifs spécifiques peut être dressé.</w:t>
      </w:r>
    </w:p>
    <w:p>
      <w:pPr>
        <w:pStyle w:val="BodyText"/>
      </w:pPr>
      <w:r>
        <w:rPr>
          <w:b/>
          <w:bCs/>
        </w:rPr>
        <w:t xml:space="preserve">OS1 — Détection.</w:t>
      </w:r>
      <w:r>
        <w:t xml:space="preserve"> </w:t>
      </w:r>
      <w:r>
        <w:t xml:space="preserve">La chaîne d’acquisition ER instrumentée (ESP32, HX711 24 bits, DS18B20) est fonctionnelle : elle suit en continu, au pas de 30 secondes, les variations de résistance d’un fil de fer en milieu acide concentré, et a permis de conduire sans interruption une série d’essais</w:t>
      </w:r>
      <w:r>
        <w:t xml:space="preserve"> </w:t>
      </w:r>
      <w:r>
        <w:rPr>
          <w:i/>
          <w:iCs/>
        </w:rPr>
        <w:t xml:space="preserve">run-to-failure</w:t>
      </w:r>
      <w:r>
        <w:t xml:space="preserve"> </w:t>
      </w:r>
      <w:r>
        <w:t xml:space="preserve">complets jusqu’à la rupture. Elle produit un format de données standardisé, exploitable indifféremment par le pipeline ML maison ou par l’export d’une sonde commerciale (QR1).</w:t>
      </w:r>
    </w:p>
    <w:p>
      <w:pPr>
        <w:pStyle w:val="BodyText"/>
      </w:pPr>
      <w:r>
        <w:rPr>
          <w:b/>
          <w:bCs/>
        </w:rPr>
        <w:t xml:space="preserve">OS2 — Pronostic.</w:t>
      </w:r>
      <w:r>
        <w:t xml:space="preserve"> </w:t>
      </w:r>
      <w:r>
        <w:t xml:space="preserve">Le modèle XGBoost prédit le taux de corrosion et surpasse les références (régression linéaire, prédiction par la moyenne). Sa validation inter-essais</w:t>
      </w:r>
      <w:r>
        <w:t xml:space="preserve"> </w:t>
      </w:r>
      <w:r>
        <w:rPr>
          <w:i/>
          <w:iCs/>
        </w:rPr>
        <w:t xml:space="preserve">leave-one-run-out</w:t>
      </w:r>
      <w:r>
        <w:t xml:space="preserve"> </w:t>
      </w:r>
      <w:r>
        <w:t xml:space="preserve">atteint un R² moyen positif (+0,29) sur la plage thermique couverte, mais ce résultat n’est pas automatique : il s’effondre (R² ≈ −1,77) lorsque les conditions de l’essai testé ne sont pas couvertes à l’entraînement. La durée de vie résiduelle est estimée par trois voies complémentaires (extrapolation physique, dérivé XGBoost, jumeau numérique). L’objectif de précision fixé a priori (RMSE &lt; 15 %) n’est pas encore atteint de façon stabilisée, le faible effectif d’essais rendant les métriques bruitées (QR2).</w:t>
      </w:r>
    </w:p>
    <w:p>
      <w:pPr>
        <w:pStyle w:val="BodyText"/>
      </w:pPr>
      <w:r>
        <w:rPr>
          <w:b/>
          <w:bCs/>
        </w:rPr>
        <w:t xml:space="preserve">OS3 — Diagnostic et décision.</w:t>
      </w:r>
      <w:r>
        <w:t xml:space="preserve"> </w:t>
      </w:r>
      <w:r>
        <w:t xml:space="preserve">Le module de diagnostic identifie correctement la succession des régimes (induction, croissance, emballement, pré-rupture). L’analyse a établi que la</w:t>
      </w:r>
      <w:r>
        <w:t xml:space="preserve"> </w:t>
      </w:r>
      <w:r>
        <w:rPr>
          <w:b/>
          <w:bCs/>
        </w:rPr>
        <w:t xml:space="preserve">température est la variable dominante</w:t>
      </w:r>
      <w:r>
        <w:t xml:space="preserve"> </w:t>
      </w:r>
      <w:r>
        <w:t xml:space="preserve">et, surtout,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(régulation dégradée, acide évaporé) l’ont démontré expérimentalement, auxquels s’ajoute une variabilité intrinsèque de la morphologie de dégradation. Un système d’alertes graduées (vert / orange / rouge) a été calibré sur les sorties CR et RUL (QR3).</w:t>
      </w:r>
    </w:p>
    <w:p>
      <w:pPr>
        <w:pStyle w:val="BodyText"/>
      </w:pPr>
      <w:r>
        <w:rPr>
          <w:b/>
          <w:bCs/>
        </w:rPr>
        <w:t xml:space="preserve">OS4 — Action.</w:t>
      </w:r>
      <w:r>
        <w:t xml:space="preserve"> </w:t>
      </w:r>
      <w:r>
        <w:t xml:space="preserve">L’application web Streamlit et le</w:t>
      </w:r>
      <w:r>
        <w:t xml:space="preserve"> </w:t>
      </w:r>
      <w:r>
        <w:rPr>
          <w:b/>
          <w:bCs/>
        </w:rPr>
        <w:t xml:space="preserve">module GMAO maison</w:t>
      </w:r>
      <w:r>
        <w:t xml:space="preserve"> </w:t>
      </w:r>
      <w:r>
        <w:t xml:space="preserve">sont opérationnels : ils génèrent et tracent automatiquement les ordres de travail à partir des alertes prédictives, et calculent les KPIs de maintenance (MTBF, MTTR, disponibilité). Le mapping prédiction → ordre de travail est défini de façon générique, transposable par API REST à un CMMS open-source ; cette intégration reste, à ce stade, au statut de spécification (QR4).</w:t>
      </w:r>
    </w:p>
    <w:p>
      <w:pPr>
        <w:pStyle w:val="BodyText"/>
      </w:pPr>
      <w:r>
        <w:rPr>
          <w:b/>
          <w:bCs/>
        </w:rPr>
        <w:t xml:space="preserve">Contributions.</w:t>
      </w:r>
      <w:r>
        <w:t xml:space="preserve"> </w:t>
      </w:r>
      <w:r>
        <w:t xml:space="preserve">L’apport méthodologique central n’est pas la valeur absolue du R² mais la lecture de sa</w:t>
      </w:r>
      <w:r>
        <w:t xml:space="preserve"> </w:t>
      </w:r>
      <w:r>
        <w:rPr>
          <w:b/>
          <w:bCs/>
        </w:rPr>
        <w:t xml:space="preserve">structure</w:t>
      </w:r>
      <w:r>
        <w:t xml:space="preserve"> </w:t>
      </w:r>
      <w:r>
        <w:t xml:space="preserve">: la prédiction inter-essais est fiable là où les conditions sont couvertes et répétées, et échoue sinon — lecture rarement explicitée dans une littérature dominée par les validations intra-jeu. Le travail démontre par ailleurs qu’une</w:t>
      </w:r>
      <w:r>
        <w:t xml:space="preserve"> </w:t>
      </w:r>
      <w:r>
        <w:rPr>
          <w:b/>
          <w:bCs/>
        </w:rPr>
        <w:t xml:space="preserve">couche prédictive I4.0 peut être ajoutée pour un coût marginal</w:t>
      </w:r>
      <w:r>
        <w:t xml:space="preserve">, en aval d’une instrumentation existante ou de façon autonome, et qu’une boucle décision → action structurée est accessible</w:t>
      </w:r>
      <w:r>
        <w:t xml:space="preserve"> </w:t>
      </w:r>
      <w:r>
        <w:rPr>
          <w:b/>
          <w:bCs/>
        </w:rPr>
        <w:t xml:space="preserve">sans licence propriétaire</w:t>
      </w:r>
      <w:r>
        <w:t xml:space="preserve">.</w:t>
      </w:r>
    </w:p>
    <w:p>
      <w:pPr>
        <w:pStyle w:val="BodyText"/>
      </w:pPr>
      <w:r>
        <w:rPr>
          <w:b/>
          <w:bCs/>
        </w:rPr>
        <w:t xml:space="preserve">Limites.</w:t>
      </w:r>
      <w:r>
        <w:t xml:space="preserve"> </w:t>
      </w:r>
      <w:r>
        <w:t xml:space="preserve">Le matériau retenu (fil de fer) n’est pas l’acier API 5L des pipelines : les valeurs absolues de CR ne sont pas directement transposables. Le nombre d’essais reste réduit (métriques bruitées), une seule plage thermique est aujourd’hui couverte par plusieurs répétitions, et l’absence de coupon gravimétrique parallèle prive le travail d’une validation indépendante du CR.</w:t>
      </w:r>
    </w:p>
    <w:p>
      <w:pPr>
        <w:pStyle w:val="BodyText"/>
      </w:pPr>
      <w:r>
        <w:rPr>
          <w:b/>
          <w:bCs/>
        </w:rPr>
        <w:t xml:space="preserve">Recommandations et perspectives.</w:t>
      </w:r>
      <w:r>
        <w:t xml:space="preserve"> </w:t>
      </w:r>
      <w:r>
        <w:t xml:space="preserve">Pour</w:t>
      </w:r>
      <w:r>
        <w:t xml:space="preserve"> </w:t>
      </w:r>
      <w:r>
        <w:rPr>
          <w:b/>
          <w:bCs/>
        </w:rPr>
        <w:t xml:space="preserve">COTCO</w:t>
      </w:r>
      <w:r>
        <w:t xml:space="preserve">, le pipeline ML est applicable directement aux flux des sondes ER déjà en place via export DCS, sans remplacement matériel, la chaîne d’acquisition autonome ESP32 constituant une option d’extension pour les sections non câblées. Pour les</w:t>
      </w:r>
      <w:r>
        <w:t xml:space="preserve"> </w:t>
      </w:r>
      <w:r>
        <w:rPr>
          <w:b/>
          <w:bCs/>
        </w:rPr>
        <w:t xml:space="preserve">PME industrielles africaines</w:t>
      </w:r>
      <w:r>
        <w:t xml:space="preserve">, l’architecture module GMAO ↔ CMMS open-source ouvre une démocratisation effective de la maintenance assistée par ordinateur, sans licence propriétaire. Pour les</w:t>
      </w:r>
      <w:r>
        <w:t xml:space="preserve"> </w:t>
      </w:r>
      <w:r>
        <w:rPr>
          <w:b/>
          <w:bCs/>
        </w:rPr>
        <w:t xml:space="preserve">travaux futurs</w:t>
      </w:r>
      <w:r>
        <w:t xml:space="preserve">, la campagne se poursuit selon quatre axes : compléter la couverture thermique par des essais répétés</w:t>
      </w:r>
      <w:r>
        <w:t xml:space="preserve"> </w:t>
      </w:r>
      <w:r>
        <w:rPr>
          <w:b/>
          <w:bCs/>
        </w:rPr>
        <w:t xml:space="preserve">au sein d’une même morphologie</w:t>
      </w:r>
      <w:r>
        <w:t xml:space="preserve">, consolider les métriques sur un volume accru, adjoindre une validation gravimétrique, et finaliser l’automatisation de la boucle alerte → ticket CMMS. La transposition aux conditions industrielles réelles (acier API 5L, conditions de procédé) constitue l’objet du stage en entreprise prévu à la suite de ce mémoire.</w:t>
      </w:r>
    </w:p>
    <w:p>
      <w:pPr>
        <w:pStyle w:val="BodyText"/>
      </w:pPr>
      <w:r>
        <w:t xml:space="preserve">En définitive, les objectifs sont</w:t>
      </w:r>
      <w:r>
        <w:t xml:space="preserve"> </w:t>
      </w:r>
      <w:r>
        <w:rPr>
          <w:b/>
          <w:bCs/>
        </w:rPr>
        <w:t xml:space="preserve">partiellement atteints et en voie de consolidation</w:t>
      </w:r>
      <w:r>
        <w:t xml:space="preserve"> </w:t>
      </w:r>
      <w:r>
        <w:t xml:space="preserve">: le système intégré est fonctionnel de bout en bout, et le travail établit les conditions méthodologiques —</w:t>
      </w:r>
      <w:r>
        <w:t xml:space="preserve"> </w:t>
      </w:r>
      <w:r>
        <w:rPr>
          <w:b/>
          <w:bCs/>
        </w:rPr>
        <w:t xml:space="preserve">couverture et répétabilité</w:t>
      </w:r>
      <w:r>
        <w:t xml:space="preserve"> </w:t>
      </w:r>
      <w:r>
        <w:t xml:space="preserve">— sous lesquelles la maintenance prédictive de la corrosion devient fiable et transposable au contexte industriel africain.</w:t>
      </w:r>
    </w:p>
    <w:p>
      <w:r>
        <w:br w:type="page"/>
      </w:r>
    </w:p>
    <w:bookmarkEnd w:id="176"/>
    <w:bookmarkStart w:id="177"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Ma, Y., Qi, W., Yu, M., Huang, N., Li, R., Tan, J., &amp; Zhu, X. (2024). Synthesis of Gemini-type imidazoline quaternary ammonium salt using by-product fatty acid as corrosion inhibitor for Q235 steel.</w:t>
      </w:r>
      <w:r>
        <w:t xml:space="preserve"> </w:t>
      </w:r>
      <w:r>
        <w:rPr>
          <w:i/>
          <w:iCs/>
        </w:rPr>
        <w:t xml:space="preserve">Scientific Reports</w:t>
      </w:r>
      <w:r>
        <w:t xml:space="preserve">, 14, 13687. https://www.nature.com/articles/s41598-024-64671-8</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212, 105329. https://www.sciencedirect.com/science/article/abs/pii/S0308016124002060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Zheng, Q., Zhang, H., Liu, H., Xu, H., Xu, B., &amp; Zhu, Z.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264, 111347. https://www.sciencedirect.com/science/article/abs/pii/S0951832025005484</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L., et al. (2025). Prediction of internal corrosion rate for gas pipeline: A new method based on transformer architecture.</w:t>
      </w:r>
      <w:r>
        <w:t xml:space="preserve"> </w:t>
      </w:r>
      <w:r>
        <w:rPr>
          <w:i/>
          <w:iCs/>
        </w:rPr>
        <w:t xml:space="preserve">Computers &amp; Chemical Engineering</w:t>
      </w:r>
      <w:r>
        <w:t xml:space="preserve">. https://www.sciencedirect.com/science/article/abs/pii/S0098135425000882</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Kuang, J., &amp; Long, Z.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31(2), 337–350.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H.-A., &amp; Lee, J. (2015). Cyber-physical systems architecture for self-aware machines in industry 4.0 environment.</w:t>
      </w:r>
      <w:r>
        <w:t xml:space="preserve"> </w:t>
      </w:r>
      <w:r>
        <w:rPr>
          <w:i/>
          <w:iCs/>
        </w:rPr>
        <w:t xml:space="preserve">IFAC-PapersOnLine</w:t>
      </w:r>
      <w:r>
        <w:t xml:space="preserve">, 48(3), 1622–1627. https://www.sciencedirect.com/science/article/pii/S2405896315005571</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77"/>
    <w:bookmarkStart w:id="192" w:name="annexes"/>
    <w:p>
      <w:pPr>
        <w:pStyle w:val="Heading1"/>
      </w:pPr>
      <w:r>
        <w:t xml:space="preserve">ANNEXES</w:t>
      </w:r>
    </w:p>
    <w:bookmarkStart w:id="178"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78"/>
    <w:bookmarkStart w:id="179"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79"/>
    <w:bookmarkStart w:id="183"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81" name="Picture"/>
            <a:graphic>
              <a:graphicData uri="http://schemas.openxmlformats.org/drawingml/2006/picture">
                <pic:pic>
                  <pic:nvPicPr>
                    <pic:cNvPr descr="figures/fig_c1_cablage.png" id="182" name="Picture"/>
                    <pic:cNvPicPr>
                      <a:picLocks noChangeArrowheads="1" noChangeAspect="1"/>
                    </pic:cNvPicPr>
                  </pic:nvPicPr>
                  <pic:blipFill>
                    <a:blip r:embed="rId180"/>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83"/>
    <w:bookmarkStart w:id="184"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84"/>
    <w:bookmarkStart w:id="185"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w:t>
      </w:r>
      <w:r>
        <w:t xml:space="preserve"> </w:t>
      </w:r>
      <w:r>
        <w:rPr>
          <w:b/>
          <w:bCs/>
        </w:rPr>
        <w:t xml:space="preserve">milieu corrosif directement</w:t>
      </w:r>
      <w:r>
        <w:t xml:space="preserve">, sans bain d’eau intermédiaire :</w:t>
      </w:r>
    </w:p>
    <w:p>
      <w:pPr>
        <w:pStyle w:val="Compact"/>
        <w:numPr>
          <w:ilvl w:val="0"/>
          <w:numId w:val="1034"/>
        </w:numPr>
      </w:pPr>
      <w:r>
        <w:rPr>
          <w:b/>
          <w:bCs/>
        </w:rPr>
        <w:t xml:space="preserve">Chauffe-eau d’aquarium étanche</w:t>
      </w:r>
      <w:r>
        <w:t xml:space="preserve"> </w:t>
      </w:r>
      <w:r>
        <w:t xml:space="preserve">à thermostat intégré, puissance 25 W, plage de consigne 16–35 °C,</w:t>
      </w:r>
      <w:r>
        <w:t xml:space="preserve"> </w:t>
      </w:r>
      <w:r>
        <w:rPr>
          <w:b/>
          <w:bCs/>
        </w:rPr>
        <w:t xml:space="preserve">immergé directement dans la cellule de corrosion</w:t>
      </w:r>
      <w:r>
        <w:t xml:space="preserve"> </w:t>
      </w:r>
      <w:r>
        <w:t xml:space="preserve">(au même titre que le capteur DS18B20), son corps scellé assurant l’isolation électrique vis-à-vis du milieu ;</w:t>
      </w:r>
    </w:p>
    <w:p>
      <w:pPr>
        <w:pStyle w:val="Compact"/>
        <w:numPr>
          <w:ilvl w:val="0"/>
          <w:numId w:val="1034"/>
        </w:numPr>
      </w:pPr>
      <w:r>
        <w:rPr>
          <w:b/>
          <w:bCs/>
        </w:rPr>
        <w:t xml:space="preserve">Régulation in situ</w:t>
      </w:r>
      <w:r>
        <w:t xml:space="preserve"> </w:t>
      </w:r>
      <w:r>
        <w:t xml:space="preserve">: le thermostat maintient le milieu à la consigne ; la température réelle est suivie en continu par le capteur DS18B20 du dispositif de mesure ;</w:t>
      </w:r>
    </w:p>
    <w:p>
      <w:pPr>
        <w:pStyle w:val="Compact"/>
        <w:numPr>
          <w:ilvl w:val="0"/>
          <w:numId w:val="1034"/>
        </w:numPr>
      </w:pPr>
      <w:r>
        <w:rPr>
          <w:b/>
          <w:bCs/>
        </w:rPr>
        <w:t xml:space="preserve">Cellule couverte</w:t>
      </w:r>
      <w:r>
        <w:t xml:space="preserve"> </w:t>
      </w:r>
      <w:r>
        <w:t xml:space="preserve">: le récipient est couvert pendant l’essai pour limiter l’évaporation du HCl — accentuée par le chauffage — et stabiliser la concentration (cohérent avec le protocole acide, §II.6.3) ;</w:t>
      </w:r>
    </w:p>
    <w:p>
      <w:pPr>
        <w:pStyle w:val="Compact"/>
        <w:numPr>
          <w:ilvl w:val="0"/>
          <w:numId w:val="1034"/>
        </w:numPr>
      </w:pPr>
      <w:r>
        <w:rPr>
          <w:b/>
          <w:bCs/>
        </w:rPr>
        <w:t xml:space="preserve">Limite</w:t>
      </w:r>
      <w:r>
        <w:t xml:space="preserve"> </w:t>
      </w:r>
      <w:r>
        <w:t xml:space="preserve">: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85"/>
    <w:bookmarkStart w:id="189"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87" name="Picture"/>
            <a:graphic>
              <a:graphicData uri="http://schemas.openxmlformats.org/drawingml/2006/picture">
                <pic:pic>
                  <pic:nvPicPr>
                    <pic:cNvPr descr="figures/fig_f1_erd.png" id="188" name="Picture"/>
                    <pic:cNvPicPr>
                      <a:picLocks noChangeArrowheads="1" noChangeAspect="1"/>
                    </pic:cNvPicPr>
                  </pic:nvPicPr>
                  <pic:blipFill>
                    <a:blip r:embed="rId186"/>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89"/>
    <w:bookmarkStart w:id="190"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dashboard/supervision.py</w:t>
            </w:r>
          </w:p>
        </w:tc>
        <w:tc>
          <w:tcPr/>
          <w:p>
            <w:pPr>
              <w:pStyle w:val="Compact"/>
            </w:pPr>
            <w:r>
              <w:t xml:space="preserve">Dashboard Streamlit (supervision + GMAO maison)</w:t>
            </w:r>
          </w:p>
        </w:tc>
      </w:tr>
      <w:tr>
        <w:tc>
          <w:tcPr/>
          <w:p>
            <w:pPr>
              <w:pStyle w:val="Compact"/>
            </w:pPr>
            <w:r>
              <w:rPr>
                <w:rStyle w:val="VerbatimChar"/>
              </w:rPr>
              <w:t xml:space="preserve">src/realtime/predict_loop.py</w:t>
            </w:r>
          </w:p>
        </w:tc>
        <w:tc>
          <w:tcPr/>
          <w:p>
            <w:pPr>
              <w:pStyle w:val="Compact"/>
            </w:pPr>
            <w:r>
              <w:t xml:space="preserve">Service de prédiction temps réel (CR/RUL, ordres de travail)</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90"/>
    <w:bookmarkStart w:id="191"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(2015)</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Kuang &amp; Long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(2015)</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191"/>
    <w:bookmarkEnd w:id="192"/>
    <w:bookmarkStart w:id="193"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93"/>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0" Type="http://schemas.openxmlformats.org/officeDocument/2006/relationships/image" Target="media/rId180.png"/><Relationship Id="rId186" Type="http://schemas.openxmlformats.org/officeDocument/2006/relationships/image" Target="media/rId186.png"/><Relationship Id="rId107" Type="http://schemas.openxmlformats.org/officeDocument/2006/relationships/image" Target="media/rId107.png"/><Relationship Id="rId76" Type="http://schemas.openxmlformats.org/officeDocument/2006/relationships/image" Target="media/rId76.png"/><Relationship Id="rId84" Type="http://schemas.openxmlformats.org/officeDocument/2006/relationships/image" Target="media/rId84.png"/><Relationship Id="rId122" Type="http://schemas.openxmlformats.org/officeDocument/2006/relationships/image" Target="media/rId122.png"/><Relationship Id="rId126" Type="http://schemas.openxmlformats.org/officeDocument/2006/relationships/image" Target="media/rId126.png"/><Relationship Id="rId169" Type="http://schemas.openxmlformats.org/officeDocument/2006/relationships/image" Target="media/rId169.png"/><Relationship Id="rId143" Type="http://schemas.openxmlformats.org/officeDocument/2006/relationships/image" Target="media/rId143.png"/><Relationship Id="rId135" Type="http://schemas.openxmlformats.org/officeDocument/2006/relationships/image" Target="media/rId135.png"/><Relationship Id="rId139" Type="http://schemas.openxmlformats.org/officeDocument/2006/relationships/image" Target="media/rId139.png"/><Relationship Id="rId131" Type="http://schemas.openxmlformats.org/officeDocument/2006/relationships/image" Target="media/rId131.png"/><Relationship Id="rId153" Type="http://schemas.openxmlformats.org/officeDocument/2006/relationships/image" Target="media/rId153.png"/><Relationship Id="rId149" Type="http://schemas.openxmlformats.org/officeDocument/2006/relationships/image" Target="media/rId149.png"/><Relationship Id="rId71" Type="http://schemas.openxmlformats.org/officeDocument/2006/relationships/image" Target="media/rId71.png"/><Relationship Id="rId166" Type="http://schemas.openxmlformats.org/officeDocument/2006/relationships/image" Target="media/rId1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2026-06-28T08:54:11Z</dcterms:created>
  <dcterms:modified xsi:type="dcterms:W3CDTF">2026-06-28T08:54:11Z</dcterms:modified>
</cp:coreProperties>
</file>

<file path=docProps/custom.xml><?xml version="1.0" encoding="utf-8"?>
<Properties xmlns="http://schemas.openxmlformats.org/officeDocument/2006/custom-properties" xmlns:vt="http://schemas.openxmlformats.org/officeDocument/2006/docPropsVTypes"/>
</file>