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SYSTÈME INTÉGRÉ DE MAINTENANCE PRÉDICTIVE DE LA CORROSION PAR APPRENTISSAGE AUTOMATIQUE : TRANSITION INDUSTRIE 3.0 → 4.0 PAR SONDE ER INSTRUMENTÉE IoT, PRÉDICTION DU TAUX DE CORROSION ET DE LA DURÉE DE VIE RÉSIDUELLE PAR XGBoost, ET INTÉGRATION À UN CMMS OPEN-SOURCE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l’encadrement professionnel de :</w:t>
      </w:r>
      <w:r>
        <w:t xml:space="preserve"> </w:t>
      </w:r>
      <w:r>
        <w:t xml:space="preserve">M. FEZEU (COTCO)</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notre</w:t>
      </w:r>
      <w:r>
        <w:t xml:space="preserve"> </w:t>
      </w:r>
      <w:r>
        <w:rPr>
          <w:b/>
          <w:bCs/>
        </w:rPr>
        <w:t xml:space="preserve">encadreur professionnel</w:t>
      </w:r>
      <w:r>
        <w:t xml:space="preserve"> </w:t>
      </w:r>
      <w:r>
        <w:t xml:space="preserve">au sein de la</w:t>
      </w:r>
      <w:r>
        <w:t xml:space="preserve"> </w:t>
      </w:r>
      <w:r>
        <w:rPr>
          <w:b/>
          <w:bCs/>
        </w:rPr>
        <w:t xml:space="preserve">Cameroon Oil Transportation Company (COTCO)</w:t>
      </w:r>
      <w:r>
        <w:t xml:space="preserve">, pour la qualité de son accompagnement, le partage d’expérience terrain et l’accès aux problématiques industrielles concrètes ayant nourri ce travail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un stage de fin d’études sanctionné par la rédaction d’un mémoire. Ce stage nous a conduit au sein 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constituait le cœur de notre mission, dans un contexte industriel où les outils de maintenance prédictive restaient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:2015</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2015).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:2018</w:t>
      </w:r>
      <w:r>
        <w:t xml:space="preserve"> </w:t>
      </w:r>
      <w:r>
        <w:t xml:space="preserve">définit la maintenance prédictive comme une « maintenance conditionnelle effectuée en suivant les prévisions extrapolées de l’analyse et de l’évaluation de paramètres significatifs de la dégradation du bien » (CEN, 2018). La norme</w:t>
      </w:r>
      <w:r>
        <w:t xml:space="preserve"> </w:t>
      </w:r>
      <w:r>
        <w:rPr>
          <w:b/>
          <w:bCs/>
        </w:rPr>
        <w:t xml:space="preserve">ISO 13381-1 :2015</w:t>
      </w:r>
      <w:r>
        <w:t xml:space="preserve"> </w:t>
      </w:r>
      <w:r>
        <w:t xml:space="preserve">précise quant à elle les principes du pronostic et de l’estimation de la durée de vie résiduelle (RUL) à partir des données de surveillance (ISO, 2015).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:2015</w:t>
      </w:r>
      <w:r>
        <w:t xml:space="preserve"> </w:t>
      </w:r>
      <w:r>
        <w:t xml:space="preserve">— Définitions et terminologie de la corrosion (ISO, 2015)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w:t>
      </w:r>
      <w:r>
        <w:t xml:space="preserve"> </w:t>
      </w:r>
      <w:r>
        <w:t xml:space="preserve">— Surveillance de la corrosion en service par méthodes électriques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service pétrolier (AMPP, 2023) ;</w:t>
      </w:r>
    </w:p>
    <w:p>
      <w:pPr>
        <w:pStyle w:val="Compact"/>
        <w:numPr>
          <w:ilvl w:val="0"/>
          <w:numId w:val="1005"/>
        </w:numPr>
      </w:pPr>
      <w:r>
        <w:rPr>
          <w:b/>
          <w:bCs/>
        </w:rPr>
        <w:t xml:space="preserve">NACE TM0190</w:t>
      </w:r>
      <w:r>
        <w:t xml:space="preserve"> </w:t>
      </w:r>
      <w:r>
        <w:t xml:space="preserve">— Méthodes d’essai pour sondes ER en service pétrolier (NACE, 2012)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2016a) ;</w:t>
      </w:r>
    </w:p>
    <w:p>
      <w:pPr>
        <w:pStyle w:val="Compact"/>
        <w:numPr>
          <w:ilvl w:val="0"/>
          <w:numId w:val="1005"/>
        </w:numPr>
      </w:pPr>
      <w:r>
        <w:rPr>
          <w:b/>
          <w:bCs/>
        </w:rPr>
        <w:t xml:space="preserve">API 580 / 581</w:t>
      </w:r>
      <w:r>
        <w:t xml:space="preserve"> </w:t>
      </w:r>
      <w:r>
        <w:t xml:space="preserve">— Inspection basée sur le risque (RBI) (API, 2016b ; API, 2016c) ;</w:t>
      </w:r>
    </w:p>
    <w:p>
      <w:pPr>
        <w:pStyle w:val="Compact"/>
        <w:numPr>
          <w:ilvl w:val="0"/>
          <w:numId w:val="1005"/>
        </w:numPr>
      </w:pPr>
      <w:r>
        <w:rPr>
          <w:b/>
          <w:bCs/>
        </w:rPr>
        <w:t xml:space="preserve">ISO 13381-1 :2015</w:t>
      </w:r>
      <w:r>
        <w:t xml:space="preserve"> </w:t>
      </w:r>
      <w:r>
        <w:t xml:space="preserve">— Maintenance — Pronostic — Lignes directrices générales (ISO, 2015) ;</w:t>
      </w:r>
    </w:p>
    <w:p>
      <w:pPr>
        <w:pStyle w:val="Compact"/>
        <w:numPr>
          <w:ilvl w:val="0"/>
          <w:numId w:val="1005"/>
        </w:numPr>
      </w:pPr>
      <w:r>
        <w:rPr>
          <w:b/>
          <w:bCs/>
        </w:rPr>
        <w:t xml:space="preserve">EN 13306 :2018</w:t>
      </w:r>
      <w:r>
        <w:t xml:space="preserve"> </w:t>
      </w:r>
      <w:r>
        <w:t xml:space="preserve">— Terminologie de la maintenance (CEN, 2018)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99/013 du 22 décembre 1999</w:t>
      </w:r>
      <w:r>
        <w:t xml:space="preserve"> </w:t>
      </w:r>
      <w:r>
        <w:t xml:space="preserve">portant Code Pétrolier, qui impose aux opérateurs de maintenir leurs installations dans un état de sécurité conforme aux normes internationales (République du Cameroun, 1999) ;</w:t>
      </w:r>
    </w:p>
    <w:p>
      <w:pPr>
        <w:pStyle w:val="Compact"/>
        <w:numPr>
          <w:ilvl w:val="0"/>
          <w:numId w:val="1006"/>
        </w:numPr>
      </w:pPr>
      <w:r>
        <w:rPr>
          <w:b/>
          <w:bCs/>
        </w:rPr>
        <w:t xml:space="preserve">Décret n° 2000/465 du 30 juin 2000</w:t>
      </w:r>
      <w:r>
        <w:t xml:space="preserve"> </w:t>
      </w:r>
      <w:r>
        <w:t xml:space="preserve">fixant les conditions d’exploitation des hydrocarbures, prévoyant des obligations de surveillance et de contrôle (République du Cameroun, 2000) ;</w:t>
      </w:r>
    </w:p>
    <w:p>
      <w:pPr>
        <w:pStyle w:val="Compact"/>
        <w:numPr>
          <w:ilvl w:val="0"/>
          <w:numId w:val="1006"/>
        </w:numPr>
      </w:pPr>
      <w:r>
        <w:rPr>
          <w:b/>
          <w:bCs/>
        </w:rPr>
        <w:t xml:space="preserve">Loi-cadre sur l’environnement</w:t>
      </w:r>
      <w:r>
        <w:t xml:space="preserve"> </w:t>
      </w:r>
      <w:r>
        <w:t xml:space="preserve">(loi n° 96/12)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 structurée</w:t>
      </w:r>
      <w:r>
        <w:t xml:space="preserve"> </w:t>
      </w:r>
      <w:r>
        <w:t xml:space="preserve">: les interventions correctives ne sont pas systématiquement tracées dans une GMAO, ce qui prive l’opérateur d’historiques exploitables pour le calcul de KPIs maintenance (MTBF, MTTR, disponibilité)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Système intégré de maintenance prédictive de la corrosion par apprentissage automatique : transition Industrie 3.0 → 4.0 par sonde ER instrumentée IoT, prédiction du taux de corrosion et de la durée de vie résiduelle par XGBoost, et intégration à un CMMS open-source.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connexion via API REST entre l’application Streamlit (frontend ML) et un CMMS open-source (GLPI ou équivalent) pour la création automatique des ordres de travail, structurant la boucle décision → action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intégrées dans un système de gestion de maintenance assistée par ordinateur permettant la traçabilité des actions correctives.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2015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intégrée par API REST à un CMMS open-source</w:t>
      </w:r>
      <w:r>
        <w:t xml:space="preserve"> </w:t>
      </w:r>
      <w:r>
        <w:t xml:space="preserve">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Intégrer le système prédictif à un CMMS open-source via API REST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d’établir une connexion API REST vers un</w:t>
      </w:r>
      <w:r>
        <w:t xml:space="preserve"> </w:t>
      </w:r>
      <w:r>
        <w:rPr>
          <w:b/>
          <w:bCs/>
        </w:rPr>
        <w:t xml:space="preserve">CMMS open-source existant</w:t>
      </w:r>
      <w:r>
        <w:t xml:space="preserve"> </w:t>
      </w:r>
      <w:r>
        <w:t xml:space="preserve">(GLPI ou équivalent à préciser après matrice comparative) pour la création automatique d’ordres de travail à partir des alertes prédictives ; (iii) de définir le mapping prédiction ML → ticket CMMS (asset, sévérité, description, régime diagnostiqué) ; (iv) de calculer les KPIs maintenance (MTBF, MTTR, disponibilité, taux de fausses alertes) à partir des historiques CMMS. Cette approche démontre qu’un opérateur ou une PME peut structurer sa boucle décision → action</w:t>
      </w:r>
      <w:r>
        <w:t xml:space="preserve"> </w:t>
      </w:r>
      <w:r>
        <w:rPr>
          <w:b/>
          <w:bCs/>
        </w:rPr>
        <w:t xml:space="preserve">sans développer de GMAO ex nihilo et sans payer de licence propriétaire</w:t>
      </w:r>
      <w:r>
        <w:t xml:space="preserve"> </w:t>
      </w:r>
      <w:r>
        <w:t xml:space="preserve">(SAP PM, IBM Maximo).</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intégrée par API REST à un CMMS open-source existant</w:t>
      </w:r>
      <w:r>
        <w:t xml:space="preserve"> </w:t>
      </w:r>
      <w:r>
        <w:t xml:space="preserve">(GLPI ou équivalent) peut-elle exploiter les alertes et les recommandations issues du système prédictif pour générer automatiquement les ordres de travail, tracer les interventions et calculer les KPIs de maintenance (MTBF, MTTR, disponibilité), avec une couverture fonctionnelle équivalente aux GMAO propriétaires (SAP PM, IBM Maximo) sans coût de licence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intégration à un CMMS open-source par API.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 d’intégration</w:t>
      </w:r>
      <w:r>
        <w:t xml:space="preserve"> </w:t>
      </w:r>
      <w:r>
        <w:rPr>
          <w:b/>
          <w:bCs/>
        </w:rPr>
        <w:t xml:space="preserve">Streamlit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Le recours à un CMMS open-source mature (GLPI ou équivalent) permet une</w:t>
      </w:r>
      <w:r>
        <w:t xml:space="preserve"> </w:t>
      </w:r>
      <w:r>
        <w:rPr>
          <w:b/>
          <w:bCs/>
        </w:rPr>
        <w:t xml:space="preserve">démocratisation effective de la maintenance assistée par ordinateur</w:t>
      </w:r>
      <w:r>
        <w:t xml:space="preserve"> </w:t>
      </w:r>
      <w:r>
        <w:t xml:space="preserve">sans développement</w:t>
      </w:r>
      <w:r>
        <w:t xml:space="preserve"> </w:t>
      </w:r>
      <w:r>
        <w:rPr>
          <w:i/>
          <w:iCs/>
        </w:rPr>
        <w:t xml:space="preserve">ex nihilo</w:t>
      </w:r>
      <w:r>
        <w:t xml:space="preserve"> </w:t>
      </w:r>
      <w:r>
        <w:t xml:space="preserve">— approche pragmatique d’intégration plutôt que de réinvention.</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intégration CMMS),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CMMS open-source retenu),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w:t>
      </w:r>
      <w:r>
        <w:rPr>
          <w:b/>
          <w:bCs/>
        </w:rPr>
        <w:t xml:space="preserve">architecture d’intégration Streamlit ↔ CMMS open-source par API REST</w:t>
      </w:r>
      <w:r>
        <w:t xml:space="preserve"> </w:t>
      </w:r>
      <w:r>
        <w:t xml:space="preserve">(mapping prédiction ML → ticket CMMS, KPIs maintenance),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:2015</w:t>
      </w:r>
      <w:r>
        <w:t xml:space="preserve"> </w:t>
      </w:r>
      <w:r>
        <w:t xml:space="preserve">définit le pronostic comme « l’estimation du temps avant défaillance et le risque d’existence ou d’apparition d’un ou plusieurs modes de défaillance » (ISO, 2015).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ML</w:t>
      </w:r>
      <w:r>
        <w:t xml:space="preserve"> </w:t>
      </w:r>
      <w:r>
        <w:rPr>
          <w:i/>
          <w:iCs/>
        </w:rPr>
        <w:t xml:space="preserve">run-to-failure</w:t>
      </w:r>
      <w:r>
        <w:t xml:space="preserve"> </w:t>
      </w:r>
      <w:r>
        <w:t xml:space="preserve">sont les mieux adaptées car elles exploitent l’intégralité du cycle de dégradation (état initial → rupture). C’est la voie retenue dans ce travail.</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bain-marie thermostaté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2015).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Architecture d’intégration au CMMS open-source par API REST</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w:t>
      </w:r>
      <w:r>
        <w:rPr>
          <w:b/>
          <w:bCs/>
        </w:rPr>
        <w:t xml:space="preserve">architecture d’intégration au CMMS open-source par API REST</w:t>
      </w:r>
      <w:r>
        <w:t xml:space="preserv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disponibilité de versions étanches en gaine inox.</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 Limite acceptée : architecture point-par-point (pas de mémoire séquentielle native comme LSTM) — compensée par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ii.0.5.8.-cmms-glpi-open-source"/>
    <w:p>
      <w:pPr>
        <w:pStyle w:val="Heading3"/>
      </w:pPr>
      <w:r>
        <w:t xml:space="preserve">II.0.5.8. CMMS — GLPI (open-source)</w:t>
      </w:r>
    </w:p>
    <w:p>
      <w:pPr>
        <w:pStyle w:val="FirstParagraph"/>
      </w:pPr>
      <w:r>
        <w:t xml:space="preserve">Justification déjà détaillée en §II.7.2 (matrice comparative GLPI / OpenMaint / Snipe-IT / Fiix / MaintainX).</w:t>
      </w:r>
      <w:r>
        <w:t xml:space="preserve"> </w:t>
      </w:r>
      <w:r>
        <w:rPr>
          <w:b/>
          <w:bCs/>
        </w:rPr>
        <w:t xml:space="preserve">Choix retenu : GLPI</w:t>
      </w:r>
      <w:r>
        <w:t xml:space="preserve"> </w:t>
      </w:r>
      <w:r>
        <w:t xml:space="preserve">pour sa maturité, son API REST native, sa communauté francophone et sa compatibilité on-premise.</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HDPE)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trois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bain-marie thermostaté.</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 pont et le montage Kelvin, plus complexes à câbler et sensibles au mode commun de l’amplificateur dans notre configuration, ont été</w:t>
      </w:r>
      <w:r>
        <w:t xml:space="preserve"> </w:t>
      </w:r>
      <w:r>
        <w:rPr>
          <w:b/>
          <w:bCs/>
        </w:rPr>
        <w:t xml:space="preserve">écartés après essais</w:t>
      </w:r>
      <w:r>
        <w:t xml:space="preserve">. Dans le cadre de ce travail, nous retenons le</w:t>
      </w:r>
      <w:r>
        <w:t xml:space="preserve"> </w:t>
      </w:r>
      <w:r>
        <w:rPr>
          <w:b/>
          <w:bCs/>
        </w:rPr>
        <w:t xml:space="preserve">montage 2 fils à injection de courant</w:t>
      </w:r>
      <w:r>
        <w:t xml:space="preserve">, le plus simple et le plus stable avec les composants disponibles localement.</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HDPE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Bain-marie thermostaté</w:t>
            </w:r>
          </w:p>
        </w:tc>
        <w:tc>
          <w:tcPr/>
          <w:p>
            <w:pPr>
              <w:pStyle w:val="Compact"/>
            </w:pPr>
            <w:r>
              <w:t xml:space="preserve">Contrôle de la température</w:t>
            </w:r>
          </w:p>
        </w:tc>
        <w:tc>
          <w:tcPr/>
          <w:p>
            <w:pPr>
              <w:pStyle w:val="Compact"/>
            </w:pPr>
            <w:r>
              <w:t xml:space="preserve">Chauffe-eau d’aquarium 25 W, plage 16–35 °C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Définitions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Sondes/coupons O&amp;G</w:t>
            </w:r>
          </w:p>
        </w:tc>
      </w:tr>
      <w:tr>
        <w:tc>
          <w:tcPr/>
          <w:p>
            <w:pPr>
              <w:pStyle w:val="Compact"/>
            </w:pPr>
            <w:r>
              <w:t xml:space="preserve">NACE TM0190</w:t>
            </w:r>
          </w:p>
        </w:tc>
        <w:tc>
          <w:tcPr/>
          <w:p>
            <w:pPr>
              <w:pStyle w:val="Compact"/>
            </w:pPr>
            <w:r>
              <w:t xml:space="preserve">AMPP</w:t>
            </w:r>
          </w:p>
        </w:tc>
        <w:tc>
          <w:tcPr/>
          <w:p>
            <w:pPr>
              <w:pStyle w:val="Compact"/>
            </w:pPr>
            <w:r>
              <w:t xml:space="preserve">Sondes ER service pétrolier</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bookmarkEnd w:id="91"/>
    <w:bookmarkStart w:id="92" w:name="ii.4.5.-calcul-du-rul"/>
    <w:p>
      <w:pPr>
        <w:pStyle w:val="Heading3"/>
      </w:pPr>
      <w:r>
        <w:t xml:space="preserve">II.4.5. Calcul du RUL</w:t>
      </w:r>
    </w:p>
    <w:p>
      <w:pPr>
        <w:pStyle w:val="FirstParagraph"/>
      </w:pPr>
      <w:r>
        <w:t xml:space="preserve">Le critère de fin de vie est défini à</w:t>
      </w:r>
      <w:r>
        <w:t xml:space="preserve"> </w:t>
      </w:r>
      <w:r>
        <w:rPr>
          <w:i/>
          <w:iCs/>
        </w:rPr>
        <w:t xml:space="preserve">r</w:t>
      </w:r>
      <w:r>
        <w:t xml:space="preserve">_critique = 0,1 ×</w:t>
      </w:r>
      <w:r>
        <w:t xml:space="preserve"> </w:t>
      </w:r>
      <w:r>
        <w:rPr>
          <w:i/>
          <w:iCs/>
        </w:rPr>
        <w:t xml:space="preserve">r</w:t>
      </w:r>
      <w:r>
        <w:t xml:space="preserve">(0), soit une perte de 90 % du rayon initial (équivalent à une réduction de section de 99 %). Pour les</w:t>
      </w:r>
      <w:r>
        <w:t xml:space="preserve"> </w:t>
      </w:r>
      <w:r>
        <w:rPr>
          <w:b/>
          <w:bCs/>
        </w:rPr>
        <w:t xml:space="preserve">runs RTF complets</w:t>
      </w:r>
      <w:r>
        <w:t xml:space="preserve"> </w:t>
      </w:r>
      <w:r>
        <w:t xml:space="preserve">(rupture observée)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sont calibrés empiriquement à partir des distributions observées dans les runs de référence, ce qui constitue une démarche reproductible.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:2015</w:t>
      </w:r>
      <w:r>
        <w:t xml:space="preserve"> </w:t>
      </w:r>
      <w:r>
        <w:t xml:space="preserve">sur la maintenance prévisionnelle (ISO, 2015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bain-marie thermostaté,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w:t>
      </w:r>
      <w:r>
        <w:t xml:space="preserve"> </w:t>
      </w:r>
      <w:r>
        <w:t xml:space="preserve">: nettoyage du récipient, découpe d’un fil de fer neuf, nettoyage, séchage,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mise en route du bain-marie thermostaté et stabilisation à la consigne</w:t>
      </w:r>
      <w:r>
        <w:t xml:space="preserve"> </w:t>
      </w:r>
      <w:r>
        <w:rPr>
          <w:b/>
          <w:bCs/>
        </w:rPr>
        <w:t xml:space="preserve">avant</w:t>
      </w:r>
      <w:r>
        <w:t xml:space="preserve"> </w:t>
      </w:r>
      <w:r>
        <w:t xml:space="preserve">immersion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bain avant immersion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r>
        <w:pict>
          <v:rect style="width:0;height:1.5pt" o:hralign="center" o:hrstd="t" o:hr="t"/>
        </w:pict>
      </w:r>
    </w:p>
    <w:bookmarkEnd w:id="103"/>
    <w:bookmarkEnd w:id="104"/>
    <w:bookmarkStart w:id="114" w:name="X358e7e995ad73683a6412031f4f03c34e5efee7"/>
    <w:p>
      <w:pPr>
        <w:pStyle w:val="Heading2"/>
      </w:pPr>
      <w:r>
        <w:t xml:space="preserve">II.7. Architecture d’intégration au CMMS open-source par API REST (OS4)</w:t>
      </w:r>
    </w:p>
    <w:bookmarkStart w:id="105" w:name="Xe49dc64037f9edcd58a9084f4edb98caa6e231e"/>
    <w:p>
      <w:pPr>
        <w:pStyle w:val="Heading3"/>
      </w:pPr>
      <w:r>
        <w:t xml:space="preserve">II.7.1. Choix d’architecture : intégration plutôt que développement</w:t>
      </w:r>
      <w:r>
        <w:t xml:space="preserve"> </w:t>
      </w:r>
      <w:r>
        <w:rPr>
          <w:i/>
          <w:iCs/>
        </w:rPr>
        <w:t xml:space="preserve">ex nihilo</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une GMAO complète</w:t>
      </w:r>
      <w:r>
        <w:rPr>
          <w:b/>
          <w:bCs/>
        </w:rPr>
        <w:t xml:space="preserve"> </w:t>
      </w:r>
      <w:r>
        <w:rPr>
          <w:b/>
          <w:bCs/>
          <w:i/>
          <w:iCs/>
        </w:rPr>
        <w:t xml:space="preserve">ex nihilo</w:t>
      </w:r>
      <w:r>
        <w:t xml:space="preserve"> </w:t>
      </w:r>
      <w:r>
        <w:t xml:space="preserve">(stack Supabase + Next.js + Vercel) couvrant gestion d’actifs, ordres de travail, KPIs maintenance ;</w:t>
      </w:r>
    </w:p>
    <w:p>
      <w:pPr>
        <w:pStyle w:val="Compact"/>
        <w:numPr>
          <w:ilvl w:val="0"/>
          <w:numId w:val="1028"/>
        </w:numPr>
      </w:pPr>
      <w:r>
        <w:rPr>
          <w:b/>
          <w:bCs/>
        </w:rPr>
        <w:t xml:space="preserve">(B) Réutiliser un CMMS open-source mature</w:t>
      </w:r>
      <w:r>
        <w:t xml:space="preserve"> </w:t>
      </w:r>
      <w:r>
        <w:t xml:space="preserve">et y connecter, par API REST, l’application web Streamlit servant de frontend ML et de dashboard temps réel.</w:t>
      </w:r>
    </w:p>
    <w:p>
      <w:pPr>
        <w:pStyle w:val="FirstParagraph"/>
      </w:pPr>
      <w:r>
        <w:t xml:space="preserve">L’approche</w:t>
      </w:r>
      <w:r>
        <w:t xml:space="preserve"> </w:t>
      </w:r>
      <w:r>
        <w:rPr>
          <w:b/>
          <w:bCs/>
        </w:rPr>
        <w:t xml:space="preserve">(B) a été retenue</w:t>
      </w:r>
      <w:r>
        <w:t xml:space="preserve"> </w:t>
      </w:r>
      <w:r>
        <w:t xml:space="preserve">pour les raisons suivantes :</w:t>
      </w:r>
    </w:p>
    <w:p>
      <w:pPr>
        <w:pStyle w:val="Compact"/>
        <w:numPr>
          <w:ilvl w:val="0"/>
          <w:numId w:val="1029"/>
        </w:numPr>
      </w:pPr>
      <w:r>
        <w:rPr>
          <w:b/>
          <w:bCs/>
        </w:rPr>
        <w:t xml:space="preserve">Maturité fonctionnelle</w:t>
      </w:r>
      <w:r>
        <w:t xml:space="preserve"> </w:t>
      </w:r>
      <w:r>
        <w:t xml:space="preserve">: un CMMS open-source mature (GLPI compte plus de 20 ans de développement, plus de 200 contributeurs, des modules Tickets / Problems / Changes natifs) couvre dès l’installation un périmètre fonctionnel qui demanderait plusieurs mois de développement</w:t>
      </w:r>
      <w:r>
        <w:t xml:space="preserve"> </w:t>
      </w:r>
      <w:r>
        <w:rPr>
          <w:i/>
          <w:iCs/>
        </w:rPr>
        <w:t xml:space="preserve">ex nihilo</w:t>
      </w:r>
      <w:r>
        <w:t xml:space="preserve"> </w:t>
      </w:r>
      <w:r>
        <w:t xml:space="preserve">;</w:t>
      </w:r>
    </w:p>
    <w:p>
      <w:pPr>
        <w:pStyle w:val="Compact"/>
        <w:numPr>
          <w:ilvl w:val="0"/>
          <w:numId w:val="1029"/>
        </w:numPr>
      </w:pPr>
      <w:r>
        <w:rPr>
          <w:b/>
          <w:bCs/>
        </w:rPr>
        <w:t xml:space="preserve">Pragmatisme industriel</w:t>
      </w:r>
      <w:r>
        <w:t xml:space="preserve"> </w:t>
      </w:r>
      <w:r>
        <w:t xml:space="preserve">: démontrer une approche d’intégration est plus pertinent pour un mémoire de Master en Maintenance Industrielle qu’un développement</w:t>
      </w:r>
      <w:r>
        <w:t xml:space="preserve"> </w:t>
      </w:r>
      <w:r>
        <w:rPr>
          <w:i/>
          <w:iCs/>
        </w:rPr>
        <w:t xml:space="preserve">not-invented-here</w:t>
      </w:r>
      <w:r>
        <w:t xml:space="preserve"> </w:t>
      </w:r>
      <w:r>
        <w:t xml:space="preserve">— c’est précisément ce que ferait un ingénieur en entreprise face à une contrainte budgétaire ;</w:t>
      </w:r>
    </w:p>
    <w:p>
      <w:pPr>
        <w:pStyle w:val="Compact"/>
        <w:numPr>
          <w:ilvl w:val="0"/>
          <w:numId w:val="1029"/>
        </w:numPr>
      </w:pPr>
      <w:r>
        <w:rPr>
          <w:b/>
          <w:bCs/>
        </w:rPr>
        <w:t xml:space="preserve">Transposabilité</w:t>
      </w:r>
      <w:r>
        <w:t xml:space="preserve"> </w:t>
      </w:r>
      <w:r>
        <w:t xml:space="preserve">: l’architecture d’intégration (Streamlit ↔ REST API ↔ CMMS) est reproductible quel que soit le CMMS retenu par l’opérateur (GLPI chez l’un, OpenMaint chez l’autre, Snipe-IT chez un troisième) ;</w:t>
      </w:r>
    </w:p>
    <w:p>
      <w:pPr>
        <w:pStyle w:val="Compact"/>
        <w:numPr>
          <w:ilvl w:val="0"/>
          <w:numId w:val="1029"/>
        </w:numPr>
      </w:pPr>
      <w:r>
        <w:rPr>
          <w:b/>
          <w:bCs/>
        </w:rPr>
        <w:t xml:space="preserve">Compatibilité COTCO</w:t>
      </w:r>
      <w:r>
        <w:t xml:space="preserve"> </w:t>
      </w:r>
      <w:r>
        <w:t xml:space="preserve">: un CMMS auto-hébergeable (on-premise) est compatible avec les contraintes de sécurité industrielle (réseau OT isolé, pas de cloud public) — ce qui n’est pas le cas de Supabase + Vercel.</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 native, OAuth2</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rPr>
                <w:b/>
                <w:bCs/>
              </w:rPr>
              <w:t xml:space="preserve">Retenu (priorité)</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Choix retenu : GLPI</w:t>
      </w:r>
      <w:r>
        <w:t xml:space="preserve"> </w:t>
      </w:r>
      <w:r>
        <w:t xml:space="preserve">— meilleure couverture fonctionnelle, API REST native documentée, communauté francophone active, déployable on-premise.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w:t>
            </w:r>
          </w:p>
        </w:tc>
        <w:tc>
          <w:tcPr/>
          <w:p>
            <w:pPr>
              <w:pStyle w:val="Compact"/>
            </w:pPr>
            <w:r>
              <w:t xml:space="preserve">SQLite (intégré Streamlit)</w:t>
            </w:r>
          </w:p>
        </w:tc>
        <w:tc>
          <w:tcPr/>
          <w:p>
            <w:pPr>
              <w:pStyle w:val="Compact"/>
            </w:pPr>
            <w:r>
              <w:t xml:space="preserve">Persistance time-series + sorties ML</w:t>
            </w:r>
          </w:p>
        </w:tc>
        <w:tc>
          <w:tcPr/>
          <w:p>
            <w:pPr>
              <w:pStyle w:val="Compact"/>
            </w:pPr>
            <w:r>
              <w:t xml:space="preserve">Gratuit</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CMMS open-source</w:t>
            </w:r>
          </w:p>
        </w:tc>
        <w:tc>
          <w:tcPr/>
          <w:p>
            <w:pPr>
              <w:pStyle w:val="Compact"/>
            </w:pPr>
            <w:r>
              <w:rPr>
                <w:b/>
                <w:bCs/>
              </w:rPr>
              <w:t xml:space="preserve">GLPI</w:t>
            </w:r>
            <w:r>
              <w:t xml:space="preserve"> </w:t>
            </w:r>
            <w:r>
              <w:t xml:space="preserve">(PHP/MariaDB)</w:t>
            </w:r>
          </w:p>
        </w:tc>
        <w:tc>
          <w:tcPr/>
          <w:p>
            <w:pPr>
              <w:pStyle w:val="Compact"/>
            </w:pPr>
            <w:r>
              <w:t xml:space="preserve">Tickets, OT, KPIs maintenance</w:t>
            </w:r>
          </w:p>
        </w:tc>
        <w:tc>
          <w:tcPr/>
          <w:p>
            <w:pPr>
              <w:pStyle w:val="Compact"/>
            </w:pPr>
            <w:r>
              <w:t xml:space="preserve">Gratuit (auto-hébergé)</w:t>
            </w:r>
          </w:p>
        </w:tc>
      </w:tr>
      <w:tr>
        <w:tc>
          <w:tcPr/>
          <w:p>
            <w:pPr>
              <w:pStyle w:val="Compact"/>
            </w:pPr>
            <w:r>
              <w:t xml:space="preserve">Couche d’intégration</w:t>
            </w:r>
          </w:p>
        </w:tc>
        <w:tc>
          <w:tcPr/>
          <w:p>
            <w:pPr>
              <w:pStyle w:val="Compact"/>
            </w:pPr>
            <w:r>
              <w:rPr>
                <w:b/>
                <w:bCs/>
              </w:rPr>
              <w:t xml:space="preserve">API REST GLPI</w:t>
            </w:r>
            <w:r>
              <w:t xml:space="preserve"> </w:t>
            </w:r>
            <w:r>
              <w:t xml:space="preserve">(HTTP/JSON)</w:t>
            </w:r>
          </w:p>
        </w:tc>
        <w:tc>
          <w:tcPr/>
          <w:p>
            <w:pPr>
              <w:pStyle w:val="Compact"/>
            </w:pPr>
            <w:r>
              <w:t xml:space="preserve">Création automatique de tickets</w:t>
            </w:r>
          </w:p>
        </w:tc>
        <w:tc>
          <w:tcPr/>
          <w:p>
            <w:pPr>
              <w:pStyle w:val="Compact"/>
            </w:pPr>
            <w:r>
              <w:t xml:space="preserve">Gratuit</w:t>
            </w:r>
          </w:p>
        </w:tc>
      </w:tr>
      <w:tr>
        <w:tc>
          <w:tcPr/>
          <w:p>
            <w:pPr>
              <w:pStyle w:val="Compact"/>
            </w:pPr>
            <w:r>
              <w:t xml:space="preserve">Communication ESP32 → Streamlit</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GLPI Project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5723041"/>
            <wp:effectExtent b="0" l="0" r="0" t="0"/>
            <wp:docPr descr="Figure II.1 — Architecture de la boucle intégrée Sonde ER → Supabase → Streamlit → CMMS open-source"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5723041"/>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 CMMS open-source</w:t>
      </w:r>
    </w:p>
    <w:bookmarkEnd w:id="111"/>
    <w:bookmarkStart w:id="112" w:name="X7b4697db37a967a1cc93fab82402694227ed967"/>
    <w:p>
      <w:pPr>
        <w:pStyle w:val="Heading3"/>
      </w:pPr>
      <w:r>
        <w:t xml:space="preserve">II.7.5. Mapping prédiction ML → ticket CMMS</w:t>
      </w:r>
    </w:p>
    <w:p>
      <w:pPr>
        <w:pStyle w:val="FirstParagraph"/>
      </w:pPr>
      <w:r>
        <w:t xml:space="preserve">Le tableau ci-dessous décrit le mapping entre les sorties du pipeline ML et les champs d’un ticket GLPI créé automatiquement :</w:t>
      </w:r>
    </w:p>
    <w:p>
      <w:pPr>
        <w:pStyle w:val="TableCaption"/>
        <w:jc w:val="center"/>
      </w:pPr>
      <w:r>
        <w:rPr>
          <w:b/>
          <w:bCs/>
        </w:rPr>
        <w:t xml:space="preserve">Tableau II.13 — Mapping des champs prédiction ML → ticket GLPI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ticket GLPI</w:t>
            </w:r>
          </w:p>
        </w:tc>
        <w:tc>
          <w:tcPr/>
          <w:p>
            <w:pPr>
              <w:pStyle w:val="Compact"/>
            </w:pPr>
            <w:r>
              <w:t xml:space="preserve">Source dans la prédiction ML</w:t>
            </w:r>
          </w:p>
        </w:tc>
        <w:tc>
          <w:tcPr/>
          <w:p>
            <w:pPr>
              <w:pStyle w:val="Compact"/>
            </w:pPr>
            <w:r>
              <w:t xml:space="preserve">Exemple</w:t>
            </w:r>
          </w:p>
        </w:tc>
      </w:tr>
      <w:tr>
        <w:tc>
          <w:tcPr/>
          <w:p>
            <w:pPr>
              <w:pStyle w:val="Compact"/>
            </w:pPr>
            <w:r>
              <w:rPr>
                <w:rStyle w:val="VerbatimChar"/>
              </w:rPr>
              <w:t xml:space="preserve">name</w:t>
            </w:r>
            <w:r>
              <w:t xml:space="preserve"> </w:t>
            </w:r>
            <w:r>
              <w:t xml:space="preserve">(titre)</w:t>
            </w:r>
          </w:p>
        </w:tc>
        <w:tc>
          <w:tcPr/>
          <w:p>
            <w:pPr>
              <w:pStyle w:val="Compact"/>
            </w:pPr>
            <w:r>
              <w:t xml:space="preserve">Concaténation</w:t>
            </w:r>
            <w:r>
              <w:t xml:space="preserve"> </w:t>
            </w:r>
            <w:r>
              <w:rPr>
                <w:rStyle w:val="VerbatimChar"/>
              </w:rPr>
              <w:t xml:space="preserve">asset.nom</w:t>
            </w:r>
            <w:r>
              <w:t xml:space="preserve"> </w:t>
            </w:r>
            <w:r>
              <w:t xml:space="preserve">+ diagnostic</w:t>
            </w:r>
          </w:p>
        </w:tc>
        <w:tc>
          <w:tcPr/>
          <w:p>
            <w:pPr>
              <w:pStyle w:val="Compact"/>
            </w:pPr>
            <w:r>
              <w:t xml:space="preserve">“Pipeline-Komé-Sect-12 — Corrosion accélérée détectée”</w:t>
            </w:r>
          </w:p>
        </w:tc>
      </w:tr>
      <w:tr>
        <w:tc>
          <w:tcPr/>
          <w:p>
            <w:pPr>
              <w:pStyle w:val="Compact"/>
            </w:pPr>
            <w:r>
              <w:rPr>
                <w:rStyle w:val="VerbatimChar"/>
              </w:rPr>
              <w:t xml:space="preserve">urgency</w:t>
            </w:r>
          </w:p>
        </w:tc>
        <w:tc>
          <w:tcPr/>
          <w:p>
            <w:pPr>
              <w:pStyle w:val="Compact"/>
            </w:pPr>
            <w:r>
              <w:t xml:space="preserve">Niveau d’alerte (vert=1, orange=3, rouge=5)</w:t>
            </w:r>
          </w:p>
        </w:tc>
        <w:tc>
          <w:tcPr/>
          <w:p>
            <w:pPr>
              <w:pStyle w:val="Compact"/>
            </w:pPr>
            <w:r>
              <w:t xml:space="preserve">5</w:t>
            </w:r>
          </w:p>
        </w:tc>
      </w:tr>
      <w:tr>
        <w:tc>
          <w:tcPr/>
          <w:p>
            <w:pPr>
              <w:pStyle w:val="Compact"/>
            </w:pPr>
            <w:r>
              <w:rPr>
                <w:rStyle w:val="VerbatimChar"/>
              </w:rP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rPr>
                <w:rStyle w:val="VerbatimChar"/>
              </w:rPr>
              <w:t xml:space="preserve">priority</w:t>
            </w:r>
          </w:p>
        </w:tc>
        <w:tc>
          <w:tcPr/>
          <w:p>
            <w:pPr>
              <w:pStyle w:val="Compact"/>
            </w:pPr>
            <w:r>
              <w:t xml:space="preserve">Calcul GLPI = f(urgency, impact)</w:t>
            </w:r>
          </w:p>
        </w:tc>
        <w:tc>
          <w:tcPr/>
          <w:p>
            <w:pPr>
              <w:pStyle w:val="Compact"/>
            </w:pPr>
            <w:r>
              <w:t xml:space="preserve">“Très haute”</w:t>
            </w:r>
          </w:p>
        </w:tc>
      </w:tr>
      <w:tr>
        <w:tc>
          <w:tcPr/>
          <w:p>
            <w:pPr>
              <w:pStyle w:val="Compact"/>
            </w:pPr>
            <w:r>
              <w:rPr>
                <w:rStyle w:val="VerbatimChar"/>
              </w:rPr>
              <w:t xml:space="preserve">content</w:t>
            </w:r>
            <w:r>
              <w:t xml:space="preserve"> </w:t>
            </w: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rPr>
                <w:rStyle w:val="VerbatimChar"/>
              </w:rPr>
              <w:t xml:space="preserve">entities_id</w:t>
            </w:r>
          </w:p>
        </w:tc>
        <w:tc>
          <w:tcPr/>
          <w:p>
            <w:pPr>
              <w:pStyle w:val="Compact"/>
            </w:pPr>
            <w:r>
              <w:t xml:space="preserve">Asset surveillé (entité GLPI)</w:t>
            </w:r>
          </w:p>
        </w:tc>
        <w:tc>
          <w:tcPr/>
          <w:p>
            <w:pPr>
              <w:pStyle w:val="Compact"/>
            </w:pPr>
            <w:r>
              <w:t xml:space="preserve">ID de la section pipeline</w:t>
            </w:r>
          </w:p>
        </w:tc>
      </w:tr>
      <w:tr>
        <w:tc>
          <w:tcPr/>
          <w:p>
            <w:pPr>
              <w:pStyle w:val="Compact"/>
            </w:pPr>
            <w:r>
              <w:rPr>
                <w:rStyle w:val="VerbatimChar"/>
              </w:rPr>
              <w:t xml:space="preserve">itilcategories_id</w:t>
            </w:r>
          </w:p>
        </w:tc>
        <w:tc>
          <w:tcPr/>
          <w:p>
            <w:pPr>
              <w:pStyle w:val="Compact"/>
            </w:pPr>
            <w:r>
              <w:t xml:space="preserve">Catégorie « Corrosion »</w:t>
            </w:r>
          </w:p>
        </w:tc>
        <w:tc>
          <w:tcPr/>
          <w:p>
            <w:pPr>
              <w:pStyle w:val="Compact"/>
            </w:pPr>
            <w:r>
              <w:t xml:space="preserve">ID GLPI catégorie</w:t>
            </w:r>
          </w:p>
        </w:tc>
      </w:tr>
      <w:tr>
        <w:tc>
          <w:tcPr/>
          <w:p>
            <w:pPr>
              <w:pStyle w:val="Compact"/>
            </w:pPr>
            <w:r>
              <w:rPr>
                <w:rStyle w:val="VerbatimChar"/>
              </w:rPr>
              <w:t xml:space="preserve">_users_id_assign</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L’appel API se fait depuis l’application Streamlit en Python via la librairie</w:t>
      </w:r>
      <w:r>
        <w:t xml:space="preserve"> </w:t>
      </w:r>
      <w:r>
        <w:rPr>
          <w:rStyle w:val="VerbatimChar"/>
        </w:rPr>
        <w:t xml:space="preserve">requests</w:t>
      </w:r>
      <w:r>
        <w:t xml:space="preserve"> </w:t>
      </w:r>
      <w:r>
        <w:t xml:space="preserve">:</w:t>
      </w:r>
    </w:p>
    <w:p>
      <w:pPr>
        <w:pStyle w:val="SourceCode"/>
      </w:pPr>
      <w:r>
        <w:rPr>
          <w:rStyle w:val="NormalTok"/>
        </w:rPr>
        <w:t xml:space="preserve">ticket </w:t>
      </w:r>
      <w:r>
        <w:rPr>
          <w:rStyle w:val="OperatorTok"/>
        </w:rPr>
        <w:t xml:space="preserve">=</w:t>
      </w:r>
      <w:r>
        <w:rPr>
          <w:rStyle w:val="NormalTok"/>
        </w:rPr>
        <w:t xml:space="preserve"> {</w:t>
      </w:r>
      <w:r>
        <w:br/>
      </w:r>
      <w:r>
        <w:rPr>
          <w:rStyle w:val="NormalTok"/>
        </w:rPr>
        <w:t xml:space="preserve">    </w:t>
      </w:r>
      <w:r>
        <w:rPr>
          <w:rStyle w:val="StringTok"/>
        </w:rPr>
        <w:t xml:space="preserve">"input"</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NormalTok"/>
        </w:rPr>
        <w:t xml:space="preserve">nom</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"urgency"</w:t>
      </w:r>
      <w:r>
        <w:rPr>
          <w:rStyle w:val="NormalTok"/>
        </w:rPr>
        <w:t xml:space="preserve">: niveau_to_urgency[alerte.niveau],</w:t>
      </w:r>
      <w:r>
        <w:br/>
      </w:r>
      <w:r>
        <w:rPr>
          <w:rStyle w:val="NormalTok"/>
        </w:rPr>
        <w:t xml:space="preserve">        </w:t>
      </w:r>
      <w:r>
        <w:rPr>
          <w:rStyle w:val="StringTok"/>
        </w:rPr>
        <w:t xml:space="preserve">"content"</w:t>
      </w:r>
      <w:r>
        <w:rPr>
          <w:rStyle w:val="NormalTok"/>
        </w:rPr>
        <w:t xml:space="preserve">: template_description.</w:t>
      </w:r>
      <w:r>
        <w:rPr>
          <w:rStyle w:val="BuiltInTok"/>
        </w:rPr>
        <w:t xml:space="preserve">format</w:t>
      </w:r>
      <w:r>
        <w:rPr>
          <w:rStyle w:val="NormalTok"/>
        </w:rPr>
        <w:t xml:space="preserve">(</w:t>
      </w:r>
      <w:r>
        <w:rPr>
          <w:rStyle w:val="OperatorTok"/>
        </w:rPr>
        <w:t xml:space="preserve">**</w:t>
      </w:r>
      <w:r>
        <w:rPr>
          <w:rStyle w:val="NormalTok"/>
        </w:rPr>
        <w:t xml:space="preserve">prediction),</w:t>
      </w:r>
      <w:r>
        <w:br/>
      </w:r>
      <w:r>
        <w:rPr>
          <w:rStyle w:val="NormalTok"/>
        </w:rPr>
        <w:t xml:space="preserve">        </w:t>
      </w:r>
      <w:r>
        <w:rPr>
          <w:rStyle w:val="StringTok"/>
        </w:rPr>
        <w:t xml:space="preserve">"itilcategories_id"</w:t>
      </w:r>
      <w:r>
        <w:rPr>
          <w:rStyle w:val="NormalTok"/>
        </w:rPr>
        <w:t xml:space="preserve">: GLPI_CAT_CORROSION,</w:t>
      </w:r>
      <w:r>
        <w:br/>
      </w:r>
      <w:r>
        <w:rPr>
          <w:rStyle w:val="NormalTok"/>
        </w:rPr>
        <w:t xml:space="preserve">    }</w:t>
      </w:r>
      <w:r>
        <w:br/>
      </w:r>
      <w:r>
        <w:rPr>
          <w:rStyle w:val="NormalTok"/>
        </w:rPr>
        <w:t xml:space="preserve">}</w:t>
      </w:r>
      <w:r>
        <w:br/>
      </w:r>
      <w:r>
        <w:rPr>
          <w:rStyle w:val="NormalTok"/>
        </w:rPr>
        <w:t xml:space="preserve">requests.post(</w:t>
      </w:r>
      <w:r>
        <w:rPr>
          <w:rStyle w:val="SpecialStringTok"/>
        </w:rPr>
        <w:t xml:space="preserve">f"</w:t>
      </w:r>
      <w:r>
        <w:rPr>
          <w:rStyle w:val="SpecialCharTok"/>
        </w:rPr>
        <w:t xml:space="preserve">{</w:t>
      </w:r>
      <w:r>
        <w:rPr>
          <w:rStyle w:val="NormalTok"/>
        </w:rPr>
        <w:t xml:space="preserve">GLPI_URL</w:t>
      </w:r>
      <w:r>
        <w:rPr>
          <w:rStyle w:val="SpecialCharTok"/>
        </w:rPr>
        <w:t xml:space="preserve">}</w:t>
      </w:r>
      <w:r>
        <w:rPr>
          <w:rStyle w:val="SpecialStringTok"/>
        </w:rPr>
        <w:t xml:space="preserve">/apirest.php/Ticket"</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"Session-Token"</w:t>
      </w:r>
      <w:r>
        <w:rPr>
          <w:rStyle w:val="NormalTok"/>
        </w:rPr>
        <w:t xml:space="preserve">: session_token},</w:t>
      </w:r>
      <w:r>
        <w:br/>
      </w:r>
      <w:r>
        <w:rPr>
          <w:rStyle w:val="NormalTok"/>
        </w:rPr>
        <w:t xml:space="preserve">              json</w:t>
      </w:r>
      <w:r>
        <w:rPr>
          <w:rStyle w:val="OperatorTok"/>
        </w:rPr>
        <w:t xml:space="preserve">=</w:t>
      </w:r>
      <w:r>
        <w:rPr>
          <w:rStyle w:val="NormalTok"/>
        </w:rPr>
        <w:t xml:space="preserve">ticket)</w:t>
      </w:r>
    </w:p>
    <w:bookmarkEnd w:id="112"/>
    <w:bookmarkStart w:id="113" w:name="X6daa42d570212a4ddf8cec02ed6ecb7bd6e7228"/>
    <w:p>
      <w:pPr>
        <w:pStyle w:val="Heading3"/>
      </w:pPr>
      <w:r>
        <w:t xml:space="preserve">II.7.6. KPIs maintenance calculés (côté CMMS)</w:t>
      </w:r>
    </w:p>
    <w:p>
      <w:pPr>
        <w:pStyle w:val="FirstParagraph"/>
      </w:pPr>
      <w:r>
        <w:t xml:space="preserve">GLPI fournit nativement ou par requête SQL/plugin les KPIs maintenance suivants, alimentés par l’historique des tickets et des interventions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GLPI</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tickets corrosion / nb tickets</w:t>
            </w:r>
          </w:p>
        </w:tc>
        <w:tc>
          <w:tcPr/>
          <w:p>
            <w:pPr>
              <w:pStyle w:val="Compact"/>
            </w:pPr>
            <w:r>
              <w:t xml:space="preserve">Table</w:t>
            </w:r>
            <w:r>
              <w:t xml:space="preserve"> </w:t>
            </w:r>
            <w:r>
              <w:rPr>
                <w:rStyle w:val="VerbatimChar"/>
              </w:rPr>
              <w:t xml:space="preserve">glpi_tickets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(close_date − open_date) / nb tickets</w:t>
            </w:r>
          </w:p>
        </w:tc>
        <w:tc>
          <w:tcPr/>
          <w:p>
            <w:pPr>
              <w:pStyle w:val="Compact"/>
            </w:pPr>
            <w:r>
              <w:t xml:space="preserve">Table</w:t>
            </w:r>
            <w:r>
              <w:t xml:space="preserve"> </w:t>
            </w:r>
            <w:r>
              <w:rPr>
                <w:rStyle w:val="VerbatimChar"/>
              </w:rPr>
              <w:t xml:space="preserve">glpi_tickets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GLPI</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w:t>
            </w:r>
            <w:r>
              <w:t xml:space="preserve"> </w:t>
            </w:r>
            <w:r>
              <w:rPr>
                <w:rStyle w:val="VerbatimChar"/>
              </w:rPr>
              <w:t xml:space="preserve">solutiontype</w:t>
            </w:r>
            <w:r>
              <w:t xml:space="preserve"> </w:t>
            </w:r>
            <w:r>
              <w:t xml:space="preserve">GLPI</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tickets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status</w:t>
            </w:r>
            <w:r>
              <w:t xml:space="preserve"> </w:t>
            </w:r>
            <w:r>
              <w:t xml:space="preserve">+</w:t>
            </w:r>
            <w:r>
              <w:t xml:space="preserve"> </w:t>
            </w:r>
            <w:r>
              <w:rPr>
                <w:rStyle w:val="VerbatimChar"/>
              </w:rPr>
              <w:t xml:space="preserve">solution</w:t>
            </w:r>
          </w:p>
        </w:tc>
        <w:tc>
          <w:tcPr/>
          <w:p>
            <w:pPr>
              <w:pStyle w:val="Compact"/>
            </w:pPr>
            <w:r>
              <w:t xml:space="preserve">&lt; 15 %</w:t>
            </w:r>
          </w:p>
        </w:tc>
      </w:tr>
    </w:tbl>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Intégration au CMMS open-source par API REST</w:t>
            </w:r>
          </w:p>
        </w:tc>
        <w:tc>
          <w:tcPr/>
          <w:p>
            <w:pPr>
              <w:pStyle w:val="Compact"/>
            </w:pPr>
            <w:r>
              <w:t xml:space="preserve">(i) Application Streamlit (frontend ML + dashboard) ; (ii) Matrice comparative GLPI/OpenMaint/Snipe-IT ; (iii) Mapping prédiction ML → ticket CMMS ; (iv) API REST</w:t>
            </w:r>
            <w:r>
              <w:t xml:space="preserve"> </w:t>
            </w:r>
            <w:r>
              <w:rPr>
                <w:rStyle w:val="VerbatimChar"/>
              </w:rPr>
              <w:t xml:space="preserve">/Ticket</w:t>
            </w:r>
            <w:r>
              <w:t xml:space="preserve"> </w:t>
            </w:r>
            <w:r>
              <w:t xml:space="preserve">(POST automatique) ; (v) Calcul KPIs (MTBF, MTTR, η inhibition)</w:t>
            </w:r>
          </w:p>
        </w:tc>
        <w:tc>
          <w:tcPr/>
          <w:p>
            <w:pPr>
              <w:pStyle w:val="Compact"/>
            </w:pPr>
            <w:r>
              <w:t xml:space="preserve">Streamlit + Streamlit Community Cloud ;</w:t>
            </w:r>
            <w:r>
              <w:t xml:space="preserve"> </w:t>
            </w:r>
            <w:r>
              <w:rPr>
                <w:b/>
                <w:bCs/>
              </w:rPr>
              <w:t xml:space="preserve">GLPI</w:t>
            </w:r>
            <w:r>
              <w:t xml:space="preserve"> </w:t>
            </w:r>
            <w:r>
              <w:t xml:space="preserve">(PHP/MariaDB, auto-hébergé) ; API REST GLPI ; Python</w:t>
            </w:r>
            <w:r>
              <w:t xml:space="preserve"> </w:t>
            </w:r>
            <w:r>
              <w:rPr>
                <w:rStyle w:val="VerbatimChar"/>
              </w:rPr>
              <w:t xml:space="preserve">requests</w:t>
            </w:r>
            <w:r>
              <w:t xml:space="preserve"> </w:t>
            </w:r>
            <w:r>
              <w:t xml:space="preserve">; ISO 14224 codes anomalie</w:t>
            </w:r>
          </w:p>
        </w:tc>
        <w:tc>
          <w:tcPr/>
          <w:p>
            <w:pPr>
              <w:pStyle w:val="Compact"/>
            </w:pPr>
            <w:r>
              <w:t xml:space="preserve">Boucle Sonde→ML→Ticket CMMS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CMMS GLPI)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w:t>
      </w:r>
      <w:r>
        <w:rPr>
          <w:b/>
          <w:bCs/>
        </w:rPr>
        <w:t xml:space="preserve">architecture d’intégration Streamlit ↔ CMMS open-source par API REST</w:t>
      </w:r>
      <w:r>
        <w:t xml:space="preserve"> </w:t>
      </w:r>
      <w:r>
        <w:t xml:space="preserve">(matrice comparative GLPI / OpenMaint / Snipe-IT, mapping prédiction ML → ticket, KPIs maintenance côté CMMS) a été spécifiée.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2"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1" w:name="Xf0fc160310e0f571bbb288514d761cb1ca3a8a9"/>
    <w:p>
      <w:pPr>
        <w:pStyle w:val="Heading2"/>
      </w:pPr>
      <w:r>
        <w:t xml:space="preserve">III.4. Diagnostic des régimes et facteurs de variabilité (OS3)</w:t>
      </w:r>
    </w:p>
    <w:bookmarkStart w:id="145"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bookmarkEnd w:id="145"/>
    <w:bookmarkStart w:id="149"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w:t>
      </w:r>
    </w:p>
    <w:p>
      <w:pPr>
        <w:pStyle w:val="BodyText"/>
      </w:pPr>
      <w:r>
        <w:t xml:space="preserve">La figure III.7 confronte la courbe d’un essai propre (Run #16) à celles de ces deux contre-exemples.</w:t>
      </w:r>
    </w:p>
    <w:p>
      <w:pPr>
        <w:pStyle w:val="CaptionedFigure"/>
        <w:jc w:val="center"/>
      </w:pPr>
      <w:r>
        <w:drawing>
          <wp:inline>
            <wp:extent cx="4739005" cy="2499070"/>
            <wp:effectExtent b="0" l="0" r="0" t="0"/>
            <wp:docPr descr="Figure III.7 — Vitrine 30 °C vs contre-exemples" title="" id="147" name="Picture"/>
            <a:graphic>
              <a:graphicData uri="http://schemas.openxmlformats.org/drawingml/2006/picture">
                <pic:pic>
                  <pic:nvPicPr>
                    <pic:cNvPr descr="figures/fig_iii4_contrexemples.png" id="148" name="Picture"/>
                    <pic:cNvPicPr>
                      <a:picLocks noChangeArrowheads="1" noChangeAspect="1"/>
                    </pic:cNvPicPr>
                  </pic:nvPicPr>
                  <pic:blipFill>
                    <a:blip r:embed="rId146"/>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III.7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49"/>
    <w:bookmarkStart w:id="150"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0"/>
    <w:bookmarkEnd w:id="151"/>
    <w:bookmarkStart w:id="154" w:name="X2fcd0cac7e9704048ca337c06389a4788eb8bc7"/>
    <w:p>
      <w:pPr>
        <w:pStyle w:val="Heading2"/>
      </w:pPr>
      <w:r>
        <w:t xml:space="preserve">III.5. Intégration au CMMS open-source — démonstration (OS4)</w:t>
      </w:r>
    </w:p>
    <w:p>
      <w:pPr>
        <w:pStyle w:val="FirstParagraph"/>
      </w:pPr>
      <w:r>
        <w:t xml:space="preserve">La boucle décision → action peut être structurée de deux manières : développer une GMAO</w:t>
      </w:r>
      <w:r>
        <w:t xml:space="preserve"> </w:t>
      </w:r>
      <w:r>
        <w:rPr>
          <w:i/>
          <w:iCs/>
        </w:rPr>
        <w:t xml:space="preserve">ex nihilo</w:t>
      </w:r>
      <w:r>
        <w:t xml:space="preserve">, ou intégrer un CMMS open-source existant (§II.7.1). Conformément au choix retenu, cette section présente l’état de l’intégration à ce stade.</w:t>
      </w:r>
    </w:p>
    <w:bookmarkStart w:id="152"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2"/>
    <w:bookmarkStart w:id="153" w:name="iii.5.2.-mapping-alerte-ticket-et-kpis"/>
    <w:p>
      <w:pPr>
        <w:pStyle w:val="Heading3"/>
      </w:pPr>
      <w:r>
        <w:t xml:space="preserve">III.5.2. Mapping alerte → ticket et KPIs</w:t>
      </w:r>
    </w:p>
    <w:p>
      <w:pPr>
        <w:pStyle w:val="FirstParagraph"/>
      </w:pPr>
      <w:r>
        <w:t xml:space="preserve">Le mapping entre une prédiction et un ticket CMMS (GLPI) a été spécifié (§II.7.5) : une alerte rouge génère un ordre de travail enrichi (CR, RUL, régime diagnostiqué, top-3 SHAP). Les KPIs de maintenance (MTBF, MTTR, disponibilité, taux de fausses alertes) sont calculables côté CMMS à partir de l’historique des interventions.</w:t>
      </w:r>
    </w:p>
    <w:p>
      <w:pPr>
        <w:pStyle w:val="BlockText"/>
      </w:pPr>
      <w:r>
        <w:rPr>
          <w:b/>
          <w:bCs/>
        </w:rPr>
        <w:t xml:space="preserve">État d’avancement.</w:t>
      </w:r>
      <w:r>
        <w:t xml:space="preserve"> </w:t>
      </w:r>
      <w:r>
        <w:t xml:space="preserve">L’écran de supervision est opérationnel ; la connexion automatisée au CMMS GLPI et le calcul des KPIs sur un historique significatif sont en cours de finalisation. Les KPIs n’auront de valeur statistique que sur un volume d’essais et d’interventions plus important — ils constituent à ce stade une démonstration de la chaîne de calcul.</w:t>
      </w:r>
    </w:p>
    <w:p>
      <w:r>
        <w:pict>
          <v:rect style="width:0;height:1.5pt" o:hralign="center" o:hrstd="t" o:hr="t"/>
        </w:pict>
      </w:r>
    </w:p>
    <w:bookmarkEnd w:id="153"/>
    <w:bookmarkEnd w:id="154"/>
    <w:bookmarkStart w:id="160" w:name="iii.6.-discussions"/>
    <w:p>
      <w:pPr>
        <w:pStyle w:val="Heading2"/>
      </w:pPr>
      <w:r>
        <w:t xml:space="preserve">III.6. Discussions</w:t>
      </w:r>
    </w:p>
    <w:bookmarkStart w:id="155"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5"/>
    <w:bookmarkStart w:id="156"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6"/>
    <w:bookmarkStart w:id="157" w:name="X214b26120ab300992a552aa7f141acb6973da35"/>
    <w:p>
      <w:pPr>
        <w:pStyle w:val="Heading3"/>
      </w:pPr>
      <w:r>
        <w:t xml:space="preserve">III.6.3. Apport de l’intégration au CMMS open-source</w:t>
      </w:r>
    </w:p>
    <w:p>
      <w:pPr>
        <w:pStyle w:val="FirstParagraph"/>
      </w:pPr>
      <w:r>
        <w:t xml:space="preserve">L’intégration à un CMMS open-source (GLPI) plutôt qu’un développement</w:t>
      </w:r>
      <w:r>
        <w:t xml:space="preserve"> </w:t>
      </w:r>
      <w:r>
        <w:rPr>
          <w:i/>
          <w:iCs/>
        </w:rPr>
        <w:t xml:space="preserve">ex nihilo</w:t>
      </w:r>
      <w:r>
        <w:t xml:space="preserve"> </w:t>
      </w:r>
      <w:r>
        <w:t xml:space="preserve">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57"/>
    <w:bookmarkStart w:id="158"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58"/>
    <w:bookmarkStart w:id="159"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en cours d’acquisition, constitue un premier test « prédire puis confirmer » : sa rupture est attendue dans l’intervalle prédit (≈ 13–20 h). Ces travaux, encore préliminaires, seront validés et étendus dans la suite de la campagne.</w:t>
      </w:r>
    </w:p>
    <w:p>
      <w:r>
        <w:pict>
          <v:rect style="width:0;height:1.5pt" o:hralign="center" o:hrstd="t" o:hr="t"/>
        </w:pict>
      </w:r>
    </w:p>
    <w:bookmarkEnd w:id="159"/>
    <w:bookmarkEnd w:id="160"/>
    <w:bookmarkStart w:id="161"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est opérationnel et le mapping vers le CMMS spécifié, la finalisation de l’automatisation étant en cours.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1"/>
    <w:bookmarkEnd w:id="162"/>
    <w:bookmarkStart w:id="163"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3"/>
    <w:bookmarkStart w:id="164"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SP0775-2023 — Preparation, Installation, Analysis, and Interpretation of Corrosion Coupons in Oilfield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(2016a).</w:t>
      </w:r>
      <w:r>
        <w:t xml:space="preserve"> </w:t>
      </w:r>
      <w:r>
        <w:rPr>
          <w:i/>
          <w:iCs/>
        </w:rPr>
        <w:t xml:space="preserve">API 570 — Piping Inspection Code: In-service Inspection, Rating, Repair, and Alteration of Piping Systems</w:t>
      </w:r>
      <w:r>
        <w:t xml:space="preserve"> </w:t>
      </w:r>
      <w:r>
        <w:t xml:space="preserve">(4th ed.). American Petroleum Institute.</w:t>
      </w:r>
    </w:p>
    <w:p>
      <w:pPr>
        <w:numPr>
          <w:ilvl w:val="0"/>
          <w:numId w:val="1032"/>
        </w:numPr>
      </w:pPr>
      <w:r>
        <w:t xml:space="preserve">API. (2016b).</w:t>
      </w:r>
      <w:r>
        <w:t xml:space="preserve"> </w:t>
      </w:r>
      <w:r>
        <w:rPr>
          <w:i/>
          <w:iCs/>
        </w:rPr>
        <w:t xml:space="preserve">API 580 — Risk-Based Inspection</w:t>
      </w:r>
      <w:r>
        <w:t xml:space="preserve"> </w:t>
      </w:r>
      <w:r>
        <w:t xml:space="preserve">(3rd ed.). American Petroleum Institute.</w:t>
      </w:r>
    </w:p>
    <w:p>
      <w:pPr>
        <w:numPr>
          <w:ilvl w:val="0"/>
          <w:numId w:val="1032"/>
        </w:numPr>
      </w:pPr>
      <w:r>
        <w:t xml:space="preserve">API. (2016c).</w:t>
      </w:r>
      <w:r>
        <w:t xml:space="preserve"> </w:t>
      </w:r>
      <w:r>
        <w:rPr>
          <w:i/>
          <w:iCs/>
        </w:rPr>
        <w:t xml:space="preserve">API 581 — Risk-Based Inspection Methodology</w:t>
      </w:r>
      <w:r>
        <w:t xml:space="preserve"> </w:t>
      </w:r>
      <w:r>
        <w:t xml:space="preserve">(3rd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(1999).</w:t>
      </w:r>
      <w:r>
        <w:t xml:space="preserve"> </w:t>
      </w:r>
      <w:r>
        <w:rPr>
          <w:i/>
          <w:iCs/>
        </w:rPr>
        <w:t xml:space="preserve">Loi n° 99/013 du 22 décembre 1999 portant Code Pétrolier</w:t>
      </w:r>
      <w:r>
        <w:t xml:space="preserve">.</w:t>
      </w:r>
    </w:p>
    <w:p>
      <w:pPr>
        <w:numPr>
          <w:ilvl w:val="0"/>
          <w:numId w:val="1032"/>
        </w:numPr>
      </w:pPr>
      <w:r>
        <w:t xml:space="preserve">Cameroun, République du. (2000).</w:t>
      </w:r>
      <w:r>
        <w:t xml:space="preserve"> </w:t>
      </w:r>
      <w:r>
        <w:rPr>
          <w:i/>
          <w:iCs/>
        </w:rPr>
        <w:t xml:space="preserve">Décret n° 2000/465 du 30 juin 2000 fixant les conditions d’exploitation des hydrocarbures</w:t>
      </w:r>
      <w:r>
        <w:t xml:space="preserve">.</w:t>
      </w:r>
    </w:p>
    <w:p>
      <w:pPr>
        <w:numPr>
          <w:ilvl w:val="0"/>
          <w:numId w:val="1032"/>
        </w:numPr>
      </w:pPr>
      <w:r>
        <w:t xml:space="preserve">CEN (Comité européen de normalisation). (2018).</w:t>
      </w:r>
      <w:r>
        <w:t xml:space="preserve"> </w:t>
      </w:r>
      <w:r>
        <w:rPr>
          <w:i/>
          <w:iCs/>
        </w:rPr>
        <w:t xml:space="preserve">EN 13306:2018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(2015a).</w:t>
      </w:r>
      <w:r>
        <w:t xml:space="preserve"> </w:t>
      </w:r>
      <w:r>
        <w:rPr>
          <w:i/>
          <w:iCs/>
        </w:rPr>
        <w:t xml:space="preserve">ISO 8044:2015 — Corrosion of metals and alloys — Basic terms and definitions</w:t>
      </w:r>
      <w:r>
        <w:t xml:space="preserve">.</w:t>
      </w:r>
    </w:p>
    <w:p>
      <w:pPr>
        <w:numPr>
          <w:ilvl w:val="0"/>
          <w:numId w:val="1032"/>
        </w:numPr>
      </w:pPr>
      <w:r>
        <w:t xml:space="preserve">ISO. (2015b).</w:t>
      </w:r>
      <w:r>
        <w:t xml:space="preserve"> </w:t>
      </w:r>
      <w:r>
        <w:rPr>
          <w:i/>
          <w:iCs/>
        </w:rPr>
        <w:t xml:space="preserve">ISO 13381-1:2015 — Condition monitoring and diagnostics of machines — Prognostics — Part 1: General guidelines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(2012).</w:t>
      </w:r>
      <w:r>
        <w:t xml:space="preserve"> </w:t>
      </w:r>
      <w:r>
        <w:rPr>
          <w:i/>
          <w:iCs/>
        </w:rPr>
        <w:t xml:space="preserve">TM0190-2012 — Impressed Current Test Method for Screening Corrosion Inhibitors for Oilfield Applications</w:t>
      </w:r>
      <w:r>
        <w:t xml:space="preserve">.</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r>
        <w:br w:type="page"/>
      </w:r>
    </w:p>
    <w:bookmarkEnd w:id="164"/>
    <w:bookmarkStart w:id="178" w:name="annexes"/>
    <w:p>
      <w:pPr>
        <w:pStyle w:val="Heading1"/>
      </w:pPr>
      <w:r>
        <w:t xml:space="preserve">ANNEXES</w:t>
      </w:r>
    </w:p>
    <w:bookmarkStart w:id="165"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65"/>
    <w:bookmarkStart w:id="166"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66"/>
    <w:bookmarkStart w:id="170"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HDPE" title="" id="168" name="Picture"/>
            <a:graphic>
              <a:graphicData uri="http://schemas.openxmlformats.org/drawingml/2006/picture">
                <pic:pic>
                  <pic:nvPicPr>
                    <pic:cNvPr descr="figures/fig_c1_cablage.png" id="169" name="Picture"/>
                    <pic:cNvPicPr>
                      <a:picLocks noChangeArrowheads="1" noChangeAspect="1"/>
                    </pic:cNvPicPr>
                  </pic:nvPicPr>
                  <pic:blipFill>
                    <a:blip r:embed="rId167"/>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HDPE</w:t>
      </w:r>
    </w:p>
    <w:bookmarkEnd w:id="170"/>
    <w:bookmarkStart w:id="171"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1"/>
    <w:bookmarkStart w:id="172"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s’appuie sur un</w:t>
      </w:r>
      <w:r>
        <w:t xml:space="preserve"> </w:t>
      </w:r>
      <w:r>
        <w:rPr>
          <w:b/>
          <w:bCs/>
        </w:rPr>
        <w:t xml:space="preserve">bain-marie thermostaté</w:t>
      </w:r>
      <w:r>
        <w:t xml:space="preserve"> </w:t>
      </w:r>
      <w:r>
        <w:t xml:space="preserve">isolant la cellule de corrosion des fluctuations de la température ambiante :</w:t>
      </w:r>
    </w:p>
    <w:p>
      <w:pPr>
        <w:pStyle w:val="Compact"/>
        <w:numPr>
          <w:ilvl w:val="0"/>
          <w:numId w:val="1034"/>
        </w:numPr>
      </w:pPr>
      <w:r>
        <w:rPr>
          <w:b/>
          <w:bCs/>
        </w:rPr>
        <w:t xml:space="preserve">Chauffe-eau d’aquarium</w:t>
      </w:r>
      <w:r>
        <w:t xml:space="preserve"> </w:t>
      </w:r>
      <w:r>
        <w:t xml:space="preserve">à thermostat intégré, puissance 25 W, plage de consigne 16–35 °C ;</w:t>
      </w:r>
    </w:p>
    <w:p>
      <w:pPr>
        <w:pStyle w:val="Compact"/>
        <w:numPr>
          <w:ilvl w:val="0"/>
          <w:numId w:val="1034"/>
        </w:numPr>
      </w:pPr>
      <w:r>
        <w:rPr>
          <w:b/>
          <w:bCs/>
        </w:rPr>
        <w:t xml:space="preserve">Bain d’eau</w:t>
      </w:r>
      <w:r>
        <w:t xml:space="preserve"> </w:t>
      </w:r>
      <w:r>
        <w:t xml:space="preserve">(4–5 L) jouant le rôle d’inertie thermique stabilisatrice ; la cellule de corrosion (HCl) y est immergée, sans contact direct entre la résistance chauffante et l’acide ;</w:t>
      </w:r>
    </w:p>
    <w:p>
      <w:pPr>
        <w:pStyle w:val="Compact"/>
        <w:numPr>
          <w:ilvl w:val="0"/>
          <w:numId w:val="1034"/>
        </w:numPr>
      </w:pPr>
      <w:r>
        <w:rPr>
          <w:b/>
          <w:bCs/>
        </w:rPr>
        <w:t xml:space="preserve">Contrôle</w:t>
      </w:r>
      <w:r>
        <w:t xml:space="preserve"> </w:t>
      </w:r>
      <w:r>
        <w:t xml:space="preserve">: stabilisation à la consigne</w:t>
      </w:r>
      <w:r>
        <w:t xml:space="preserve"> </w:t>
      </w:r>
      <w:r>
        <w:rPr>
          <w:b/>
          <w:bCs/>
        </w:rPr>
        <w:t xml:space="preserve">avant</w:t>
      </w:r>
      <w:r>
        <w:t xml:space="preserve"> </w:t>
      </w:r>
      <w:r>
        <w:t xml:space="preserve">immersion du fil ; suivi de la température réelle du milieu par le capteur DS18B20 du dispositif de mesure ;</w:t>
      </w:r>
    </w:p>
    <w:p>
      <w:pPr>
        <w:pStyle w:val="Compact"/>
        <w:numPr>
          <w:ilvl w:val="0"/>
          <w:numId w:val="1034"/>
        </w:numPr>
      </w:pPr>
      <w:r>
        <w:rPr>
          <w:b/>
          <w:bCs/>
        </w:rPr>
        <w:t xml:space="preserve">Limite</w:t>
      </w:r>
      <w:r>
        <w:t xml:space="preserve"> </w:t>
      </w:r>
      <w:r>
        <w:t xml:space="preserve">: à consigne élevée (≥ 32 °C), la puissance de 25 W impose de couvrir le bain pour limiter les pertes et atteindre la consigne au-dessus de la température ambiante de Douala (≈ 28–29 °C).</w:t>
      </w:r>
    </w:p>
    <w:bookmarkEnd w:id="172"/>
    <w:bookmarkStart w:id="176"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74" name="Picture"/>
            <a:graphic>
              <a:graphicData uri="http://schemas.openxmlformats.org/drawingml/2006/picture">
                <pic:pic>
                  <pic:nvPicPr>
                    <pic:cNvPr descr="figures/fig_f1_erd.png" id="175" name="Picture"/>
                    <pic:cNvPicPr>
                      <a:picLocks noChangeArrowheads="1" noChangeAspect="1"/>
                    </pic:cNvPicPr>
                  </pic:nvPicPr>
                  <pic:blipFill>
                    <a:blip r:embed="rId173"/>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76"/>
    <w:bookmarkStart w:id="177"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77"/>
    <w:bookmarkEnd w:id="178"/>
    <w:bookmarkStart w:id="179"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79"/>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67" Type="http://schemas.openxmlformats.org/officeDocument/2006/relationships/image" Target="media/rId167.png"/><Relationship Id="rId173" Type="http://schemas.openxmlformats.org/officeDocument/2006/relationships/image" Target="media/rId173.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6" Type="http://schemas.openxmlformats.org/officeDocument/2006/relationships/image" Target="media/rId146.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2026-06-23T08:48:57Z</dcterms:created>
  <dcterms:modified xsi:type="dcterms:W3CDTF">2026-06-23T08:48:57Z</dcterms:modified>
</cp:coreProperties>
</file>

<file path=docProps/custom.xml><?xml version="1.0" encoding="utf-8"?>
<Properties xmlns="http://schemas.openxmlformats.org/officeDocument/2006/custom-properties" xmlns:vt="http://schemas.openxmlformats.org/officeDocument/2006/docPropsVTypes"/>
</file>