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t xml:space="preserve">La corrosion constitue le premier poste de coût de dégradation du secteur Oil &amp; Gas et la principale menace pesant sur les pipelines, tel celui exploité par la</w:t>
      </w:r>
      <w:r>
        <w:t xml:space="preserve"> </w:t>
      </w:r>
      <w:r>
        <w:rPr>
          <w:b/>
          <w:bCs/>
        </w:rPr>
        <w:t xml:space="preserve">COTCO</w:t>
      </w:r>
      <w:r>
        <w:t xml:space="preserve"> </w:t>
      </w:r>
      <w:r>
        <w:t xml:space="preserve">(Tchad-Cameroun), aujourd’hui surveillé par sondes à résistance électrique (ER) exploitées à un niveau Industrie 3.0 (seuils fixes, sans pronostic). Ce mémoire conçoit, développe et valide expérimentalement un</w:t>
      </w:r>
      <w:r>
        <w:t xml:space="preserve"> </w:t>
      </w:r>
      <w:r>
        <w:rPr>
          <w:b/>
          <w:bCs/>
        </w:rPr>
        <w:t xml:space="preserve">système intégré de maintenance prédictive de la corrosion</w:t>
      </w:r>
      <w:r>
        <w:t xml:space="preserve"> </w:t>
      </w:r>
      <w:r>
        <w:t xml:space="preserve">réalisant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au moyen de quatre briques : (OS1) une sonde ER instrumentée IoT (ESP32 + HX711 24 bits + DS18B20) ; (OS2) un modèle d’apprentissage automatique</w:t>
      </w:r>
      <w:r>
        <w:t xml:space="preserve"> </w:t>
      </w:r>
      <w:r>
        <w:rPr>
          <w:b/>
          <w:bCs/>
        </w:rPr>
        <w:t xml:space="preserve">XGBoost</w:t>
      </w:r>
      <w:r>
        <w:t xml:space="preserve"> </w:t>
      </w:r>
      <w:r>
        <w:t xml:space="preserve">prédisant le taux de corrosion (CR), interprété par analyse SHAP et validé par une procédure inter-essais</w:t>
      </w:r>
      <w:r>
        <w:t xml:space="preserve"> </w:t>
      </w:r>
      <w:r>
        <w:rPr>
          <w:i/>
          <w:iCs/>
        </w:rPr>
        <w:t xml:space="preserve">leave-one-run-out</w:t>
      </w:r>
      <w:r>
        <w:t xml:space="preserve"> </w:t>
      </w:r>
      <w:r>
        <w:t xml:space="preserve">(LORO) ; (OS3) un module de diagnostic des régimes de corrosion et d’identification des facteurs de variabilité ; (OS4) une application web Streamlit dotée d’un</w:t>
      </w:r>
      <w:r>
        <w:t xml:space="preserve"> </w:t>
      </w:r>
      <w:r>
        <w:rPr>
          <w:b/>
          <w:bCs/>
        </w:rPr>
        <w:t xml:space="preserve">module GMAO maison</w:t>
      </w:r>
      <w:r>
        <w:t xml:space="preserve"> </w:t>
      </w:r>
      <w:r>
        <w:t xml:space="preserve">transposable par API REST à un CMMS open-source. Une campagne d’essais accélérés</w:t>
      </w:r>
      <w:r>
        <w:t xml:space="preserve"> </w:t>
      </w:r>
      <w:r>
        <w:rPr>
          <w:i/>
          <w:iCs/>
        </w:rPr>
        <w:t xml:space="preserve">run-to-failure</w:t>
      </w:r>
      <w:r>
        <w:t xml:space="preserve"> </w:t>
      </w:r>
      <w:r>
        <w:t xml:space="preserve">(fil de fer en milieu HCl) a alimenté le modèle. Les résultats établissent que la chaîne d’acquisition suit fidèlement la dégradation jusqu’à la rupture (OS1) ; que XGBoost surpasse les références et atteint un R² LORO moyen positif (+0,29),</w:t>
      </w:r>
      <w:r>
        <w:t xml:space="preserve"> </w:t>
      </w:r>
      <w:r>
        <w:rPr>
          <w:b/>
          <w:bCs/>
        </w:rPr>
        <w:t xml:space="preserve">à condition que les conditions de l’essai testé soient couvertes et répétées à l’entraînement</w:t>
      </w:r>
      <w:r>
        <w:t xml:space="preserve"> </w:t>
      </w:r>
      <w:r>
        <w:t xml:space="preserve">— la performance s’effondrant sinon (R² ≈ −1,77) (OS2) ; que la</w:t>
      </w:r>
      <w:r>
        <w:t xml:space="preserve"> </w:t>
      </w:r>
      <w:r>
        <w:rPr>
          <w:b/>
          <w:bCs/>
        </w:rPr>
        <w:t xml:space="preserve">température</w:t>
      </w:r>
      <w:r>
        <w:t xml:space="preserve"> </w:t>
      </w:r>
      <w:r>
        <w:t xml:space="preserve">est la variable dominante et que la</w:t>
      </w:r>
      <w:r>
        <w:t xml:space="preserve"> </w:t>
      </w:r>
      <w:r>
        <w:rPr>
          <w:b/>
          <w:bCs/>
        </w:rPr>
        <w:t xml:space="preserve">répétabilité des conditions</w:t>
      </w:r>
      <w:r>
        <w:t xml:space="preserve"> </w:t>
      </w:r>
      <w:r>
        <w:t xml:space="preserve">gouverne la fiabilité, deux contre-exemples l’établissant expérimentalement (OS3) ; et que l’écran de supervision et le module GMAO (génération automatique d’ordres de travail, KPIs) sont opérationnels (OS4). L’apport méthodologique central est la lecture de la</w:t>
      </w:r>
      <w:r>
        <w:t xml:space="preserve"> </w:t>
      </w:r>
      <w:r>
        <w:rPr>
          <w:b/>
          <w:bCs/>
        </w:rPr>
        <w:t xml:space="preserve">structure</w:t>
      </w:r>
      <w:r>
        <w:t xml:space="preserve"> </w:t>
      </w:r>
      <w:r>
        <w:t xml:space="preserve">du R² — positif là où les conditions sont couvertes et répétées, négatif sinon —, rarement explicitée dans la littérature, et la démonstration qu’une couche I4.0 est accessible à coût marginal aux opérateurs et PME industrielles africaines. Au vu de l’état d’avancement, les objectifs sont</w:t>
      </w:r>
      <w:r>
        <w:t xml:space="preserve"> </w:t>
      </w:r>
      <w:r>
        <w:rPr>
          <w:b/>
          <w:bCs/>
        </w:rPr>
        <w:t xml:space="preserve">partiellement atteints et en voie de consolidation</w:t>
      </w:r>
      <w:r>
        <w:t xml:space="preserve">, la campagne expérimentale se poursuivant.</w:t>
      </w:r>
    </w:p>
    <w:p>
      <w:pPr>
        <w:pStyle w:val="BodyText"/>
      </w:pPr>
      <w:r>
        <w:rPr>
          <w:b/>
          <w:bCs/>
        </w:rPr>
        <w:t xml:space="preserve">Mots-clés :</w:t>
      </w:r>
      <w:r>
        <w:t xml:space="preserve"> </w:t>
      </w:r>
      <w:r>
        <w:t xml:space="preserve">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main threat to pipelines such as the</w:t>
      </w:r>
      <w:r>
        <w:t xml:space="preserve"> </w:t>
      </w:r>
      <w:r>
        <w:rPr>
          <w:b/>
          <w:bCs/>
        </w:rPr>
        <w:t xml:space="preserve">COTCO</w:t>
      </w:r>
      <w:r>
        <w:t xml:space="preserve"> </w:t>
      </w:r>
      <w:r>
        <w:t xml:space="preserve">line (Chad-Cameroon), currently monitored by electrical-resistance (ER) probes operated at an Industry 3.0 level (fixed thresholds, no prognosis). This thesis designs, develops and experimentally validates an</w:t>
      </w:r>
      <w:r>
        <w:t xml:space="preserve"> </w:t>
      </w:r>
      <w:r>
        <w:rPr>
          <w:b/>
          <w:bCs/>
        </w:rPr>
        <w:t xml:space="preserve">integrated predictive-maintenance system for corrosion</w:t>
      </w:r>
      <w:r>
        <w:t xml:space="preserve">, achieving an</w:t>
      </w:r>
      <w:r>
        <w:t xml:space="preserve"> </w:t>
      </w:r>
      <w:r>
        <w:rPr>
          <w:b/>
          <w:bCs/>
        </w:rPr>
        <w:t xml:space="preserve">Industry 3.0 → 4.0</w:t>
      </w:r>
      <w:r>
        <w:t xml:space="preserve"> </w:t>
      </w:r>
      <w:r>
        <w:t xml:space="preserve">transition across the full</w:t>
      </w:r>
      <w:r>
        <w:t xml:space="preserve"> </w:t>
      </w:r>
      <w:r>
        <w:rPr>
          <w:i/>
          <w:iCs/>
        </w:rPr>
        <w:t xml:space="preserve">detection → diagnosis → prognosis → decision → action</w:t>
      </w:r>
      <w:r>
        <w:t xml:space="preserve"> </w:t>
      </w:r>
      <w:r>
        <w:t xml:space="preserve">chain (ISO 13381-1) through four building blocks: (SO1) an IoT-instrumented ER probe (ESP32 + 24-bit HX711 + DS18B20); (SO2) an</w:t>
      </w:r>
      <w:r>
        <w:t xml:space="preserve"> </w:t>
      </w:r>
      <w:r>
        <w:rPr>
          <w:b/>
          <w:bCs/>
        </w:rPr>
        <w:t xml:space="preserve">XGBoost</w:t>
      </w:r>
      <w:r>
        <w:t xml:space="preserve"> </w:t>
      </w:r>
      <w:r>
        <w:t xml:space="preserve">machine-learning model predicting the corrosion rate (CR), interpreted with SHAP and validated through a</w:t>
      </w:r>
      <w:r>
        <w:t xml:space="preserve"> </w:t>
      </w:r>
      <w:r>
        <w:rPr>
          <w:i/>
          <w:iCs/>
        </w:rPr>
        <w:t xml:space="preserve">leave-one-run-out</w:t>
      </w:r>
      <w:r>
        <w:t xml:space="preserve"> </w:t>
      </w:r>
      <w:r>
        <w:t xml:space="preserve">(LORO) cross-run procedure; (SO3) a module diagnosing corrosion regimes and identifying variability factors; and (SO4) a Streamlit web application embedding an in-house</w:t>
      </w:r>
      <w:r>
        <w:t xml:space="preserve"> </w:t>
      </w:r>
      <w:r>
        <w:rPr>
          <w:b/>
          <w:bCs/>
        </w:rPr>
        <w:t xml:space="preserve">CMMS module</w:t>
      </w:r>
      <w:r>
        <w:t xml:space="preserve">, portable via REST API to an open-source CMMS. An accelerated</w:t>
      </w:r>
      <w:r>
        <w:t xml:space="preserve"> </w:t>
      </w:r>
      <w:r>
        <w:rPr>
          <w:i/>
          <w:iCs/>
        </w:rPr>
        <w:t xml:space="preserve">run-to-failure</w:t>
      </w:r>
      <w:r>
        <w:t xml:space="preserve"> </w:t>
      </w:r>
      <w:r>
        <w:t xml:space="preserve">test campaign (iron wire in HCl) fed the model. The results show that the acquisition chain faithfully tracks degradation up to rupture (SO1); that XGBoost outperforms the baselines and reaches a positive mean LORO R² (+0.29)</w:t>
      </w:r>
      <w:r>
        <w:t xml:space="preserve"> </w:t>
      </w:r>
      <w:r>
        <w:rPr>
          <w:b/>
          <w:bCs/>
        </w:rPr>
        <w:t xml:space="preserve">provided the tested run’s conditions are covered and repeated in training</w:t>
      </w:r>
      <w:r>
        <w:t xml:space="preserve"> </w:t>
      </w:r>
      <w:r>
        <w:t xml:space="preserve">— collapsing otherwise (R² ≈ −1.77) (SO2); that</w:t>
      </w:r>
      <w:r>
        <w:t xml:space="preserve"> </w:t>
      </w:r>
      <w:r>
        <w:rPr>
          <w:b/>
          <w:bCs/>
        </w:rPr>
        <w:t xml:space="preserve">temperature</w:t>
      </w:r>
      <w:r>
        <w:t xml:space="preserve"> </w:t>
      </w:r>
      <w:r>
        <w:t xml:space="preserve">is the dominant variable and that</w:t>
      </w:r>
      <w:r>
        <w:t xml:space="preserve"> </w:t>
      </w:r>
      <w:r>
        <w:rPr>
          <w:b/>
          <w:bCs/>
        </w:rPr>
        <w:t xml:space="preserve">condition repeatability</w:t>
      </w:r>
      <w:r>
        <w:t xml:space="preserve"> </w:t>
      </w:r>
      <w:r>
        <w:t xml:space="preserve">governs reliability, as two counter-examples establish experimentally (SO3); and that the supervision dashboard and CMMS module (automatic work-order generation, KPIs) are operational (SO4). The core methodological contribution is reading the</w:t>
      </w:r>
      <w:r>
        <w:t xml:space="preserve"> </w:t>
      </w:r>
      <w:r>
        <w:rPr>
          <w:b/>
          <w:bCs/>
        </w:rPr>
        <w:t xml:space="preserve">structure</w:t>
      </w:r>
      <w:r>
        <w:t xml:space="preserve"> </w:t>
      </w:r>
      <w:r>
        <w:t xml:space="preserve">of R² — positive where conditions are covered and repeated, negative otherwise —, rarely made explicit in the literature, together with the demonstration that an Industry 4.0 layer is attainable at marginal cost for African industrial operators and SMEs. Given the current progress, the objectives are</w:t>
      </w:r>
      <w:r>
        <w:t xml:space="preserve"> </w:t>
      </w:r>
      <w:r>
        <w:rPr>
          <w:b/>
          <w:bCs/>
        </w:rPr>
        <w:t xml:space="preserve">partially met and undergoing consolidation</w:t>
      </w:r>
      <w:r>
        <w:t xml:space="preserve">, as the experimental campaign continues.</w:t>
      </w:r>
    </w:p>
    <w:p>
      <w:pPr>
        <w:pStyle w:val="BodyText"/>
      </w:pPr>
      <w:r>
        <w:rPr>
          <w:b/>
          <w:bCs/>
        </w:rPr>
        <w:t xml:space="preserve">Keywords:</w:t>
      </w:r>
      <w:r>
        <w:t xml:space="preserve"> </w:t>
      </w:r>
      <w:r>
        <w:t xml:space="preserve">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au sein d’un même essai — chaque fold entraîne sur le passé et teste sur le futur (Bergmeir et Benítez, 2012) — mais ne renseigne que sur la prédiction</w:t>
      </w:r>
      <w:r>
        <w:t xml:space="preserve"> </w:t>
      </w:r>
      <w:r>
        <w:rPr>
          <w:i/>
          <w:iCs/>
        </w:rPr>
        <w:t xml:space="preserve">au sein</w:t>
      </w:r>
      <w:r>
        <w:t xml:space="preserve"> </w:t>
      </w:r>
      <w:r>
        <w:t xml:space="preserve">d’un run déjà observé. Or l’objectif industriel est la</w:t>
      </w:r>
      <w:r>
        <w:t xml:space="preserve"> </w:t>
      </w:r>
      <w:r>
        <w:rPr>
          <w:b/>
          <w:bCs/>
        </w:rPr>
        <w:t xml:space="preserve">généralisation à un essai nouveau, jamais vu</w:t>
      </w:r>
      <w:r>
        <w:t xml:space="preserve"> </w:t>
      </w:r>
      <w:r>
        <w:t xml:space="preserve">: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où un run complet est retiré de l’entraînement et sert exclusivement de test. Plus exigeante, elle mesure la capacité réelle du modèle à prédire un essai indépendant et constitue le cœur de la démonstration du Chapitre III —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rPr>
          <w:b/>
          <w:bCs/>
        </w:rP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nous retenons une</w:t>
      </w:r>
      <w:r>
        <w:t xml:space="preserve"> </w:t>
      </w:r>
      <w:r>
        <w:rPr>
          <w:b/>
          <w:bCs/>
        </w:rPr>
        <w:t xml:space="preserve">approche par règles métier explicables</w:t>
      </w:r>
      <w:r>
        <w:t xml:space="preserve">, simple à valider et transparente pour le jury comme pour les utilisateurs industriels —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nous retenons le protocole</w:t>
      </w:r>
      <w:r>
        <w:t xml:space="preserve"> </w:t>
      </w:r>
      <w:r>
        <w:rPr>
          <w:b/>
          <w:bCs/>
        </w:rPr>
        <w:t xml:space="preserve">run-to-failure (RTF)</w:t>
      </w:r>
      <w:r>
        <w:t xml:space="preserve"> </w:t>
      </w:r>
      <w:r>
        <w:t xml:space="preserve">: seul à constituer un jeu d’apprentissage couvrant l’intégralité du cycle de dégradation — de l’état initial à la rupture — et à fournir un</w:t>
      </w:r>
      <w:r>
        <w:t xml:space="preserve"> </w:t>
      </w:r>
      <w:r>
        <w:rPr>
          <w:b/>
          <w:bCs/>
        </w:rPr>
        <w:t xml:space="preserve">événement de défaillance réellement observé</w:t>
      </w:r>
      <w:r>
        <w:t xml:space="preserve">, indispensable à l’apprentissage de la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rPr>
          <w:b/>
          <w:bCs/>
        </w:rP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rPr>
          <w:b/>
          <w:bCs/>
        </w:rP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rPr>
          <w:b/>
          <w:bCs/>
        </w:rP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5"/>
    <w:bookmarkEnd w:id="116"/>
    <w:bookmarkStart w:id="175"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III.10 retrace, du</w:t>
      </w:r>
      <w:r>
        <w:t xml:space="preserve"> </w:t>
      </w:r>
      <w:r>
        <w:rPr>
          <w:b/>
          <w:bCs/>
        </w:rPr>
        <w:t xml:space="preserve">LORO initial</w:t>
      </w:r>
      <w:r>
        <w:t xml:space="preserve"> </w:t>
      </w:r>
      <w:r>
        <w:t xml:space="preserve">au</w:t>
      </w:r>
      <w:r>
        <w:t xml:space="preserve"> </w:t>
      </w:r>
      <w:r>
        <w:rPr>
          <w:b/>
          <w:bCs/>
        </w:rPr>
        <w:t xml:space="preserve">LORO actuel</w:t>
      </w:r>
      <w:r>
        <w:t xml:space="preserve">.</w:t>
      </w:r>
    </w:p>
    <w:p>
      <w:pPr>
        <w:pStyle w:val="CaptionedFigure"/>
        <w:jc w:val="center"/>
      </w:pPr>
      <w:r>
        <w:drawing>
          <wp:inline>
            <wp:extent cx="4739005" cy="2901329"/>
            <wp:effectExtent b="0" l="0" r="0" t="0"/>
            <wp:docPr descr="Figure III.10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III.10 — Évolution du R² LORO au fil de la campagne, du LORO initial (couverture nulle) au LORO actuel</w:t>
      </w:r>
    </w:p>
    <w:p>
      <w:pPr>
        <w:pStyle w:val="BodyText"/>
      </w:pPr>
      <w:r>
        <w:rPr>
          <w:b/>
          <w:bCs/>
        </w:rPr>
        <w:t xml:space="preserve">Du négatif au positif (couverture).</w:t>
      </w:r>
      <w:r>
        <w:t xml:space="preserve"> </w:t>
      </w:r>
      <w:r>
        <w:t xml:space="preserve">Entraîné sur la</w:t>
      </w:r>
      <w:r>
        <w:t xml:space="preserve"> </w:t>
      </w:r>
      <w:r>
        <w:rPr>
          <w:b/>
          <w:bCs/>
        </w:rPr>
        <w:t xml:space="preserve">seule série 30 °C</w:t>
      </w:r>
      <w:r>
        <w:t xml:space="preserve">, sans essai couvrant les conditions du run testé, le modèle échouait lourdement (</w:t>
      </w:r>
      <w:r>
        <w:rPr>
          <w:b/>
          <w:bCs/>
        </w:rPr>
        <w:t xml:space="preserve">R² = −1,77</w:t>
      </w:r>
      <w:r>
        <w:t xml:space="preserve">) : c’est le LORO initial. L’ajout progressif d’</w:t>
      </w:r>
      <w:r>
        <w:rPr>
          <w:b/>
          <w:bCs/>
        </w:rPr>
        <w:t xml:space="preserve">essais auxiliaires couvrant et répétant la plage 30 °C</w:t>
      </w:r>
      <w:r>
        <w:t xml:space="preserve"> </w:t>
      </w:r>
      <w:r>
        <w:t xml:space="preserve">a redressé la performance jusqu’à</w:t>
      </w:r>
      <w:r>
        <w:t xml:space="preserve"> </w:t>
      </w:r>
      <w:r>
        <w:rPr>
          <w:b/>
          <w:bCs/>
        </w:rPr>
        <w:t xml:space="preserve">+0,29</w:t>
      </w:r>
      <w:r>
        <w:t xml:space="preserve"> </w:t>
      </w:r>
      <w:r>
        <w:t xml:space="preserve">(LORO actuel, tableau III.2). Le moteur de ce redressement n’est pas le volume brut de données mais la</w:t>
      </w:r>
      <w:r>
        <w:t xml:space="preserve"> </w:t>
      </w:r>
      <w:r>
        <w:rPr>
          <w:b/>
          <w:bCs/>
        </w:rPr>
        <w:t xml:space="preserve">couverture et la répétition des conditions</w:t>
      </w:r>
      <w:r>
        <w:t xml:space="preserve">, analysées au paragraphe suivant (§III.3.3).</w:t>
      </w:r>
    </w:p>
    <w:p>
      <w:pPr>
        <w:pStyle w:val="BodyText"/>
      </w:pPr>
      <w:r>
        <w:rPr>
          <w:b/>
          <w:bCs/>
        </w:rPr>
        <w:t xml:space="preserve">Un plateau bruité (morphologie).</w:t>
      </w:r>
      <w:r>
        <w:t xml:space="preserve"> </w:t>
      </w:r>
      <w:r>
        <w:t xml:space="preserve">Au-delà de ce seuil, ajouter un essai ne garantit plus un gain. L’incorporation d’un essai de morphologie</w:t>
      </w:r>
      <w:r>
        <w:t xml:space="preserve"> </w:t>
      </w:r>
      <w:r>
        <w:rPr>
          <w:b/>
          <w:bCs/>
        </w:rPr>
        <w:t xml:space="preserve">graduelle</w:t>
      </w:r>
      <w:r>
        <w:t xml:space="preserve"> </w:t>
      </w:r>
      <w:r>
        <w:t xml:space="preserve">(Run #21, puis Run #22), alors que les essais de test relèvent de la morphologie</w:t>
      </w:r>
      <w:r>
        <w:t xml:space="preserve"> </w:t>
      </w:r>
      <w:r>
        <w:rPr>
          <w:i/>
          <w:iCs/>
        </w:rPr>
        <w:t xml:space="preserve">induction-emballement</w:t>
      </w:r>
      <w:r>
        <w:t xml:space="preserve"> </w:t>
      </w:r>
      <w:r>
        <w:t xml:space="preserve">(« sprint »), fait légèrement</w:t>
      </w:r>
      <w:r>
        <w:t xml:space="preserve"> </w:t>
      </w:r>
      <w:r>
        <w:rPr>
          <w:b/>
          <w:bCs/>
        </w:rPr>
        <w:t xml:space="preserve">reculer</w:t>
      </w:r>
      <w:r>
        <w:t xml:space="preserve"> </w:t>
      </w:r>
      <w:r>
        <w:t xml:space="preserve">la moyenne, vers</w:t>
      </w:r>
      <w:r>
        <w:t xml:space="preserve"> </w:t>
      </w:r>
      <w:r>
        <w:rPr>
          <w:b/>
          <w:bCs/>
        </w:rPr>
        <w:t xml:space="preserve">≈ +0,20</w:t>
      </w:r>
      <w:r>
        <w:t xml:space="preserve">. Ce recul appelle la prudence : au vu du faible effectif, la métrique est</w:t>
      </w:r>
      <w:r>
        <w:t xml:space="preserve"> </w:t>
      </w:r>
      <w:r>
        <w:rPr>
          <w:b/>
          <w:bCs/>
        </w:rPr>
        <w:t xml:space="preserve">bruitée</w:t>
      </w:r>
      <w:r>
        <w:t xml:space="preserve"> </w:t>
      </w:r>
      <w:r>
        <w:t xml:space="preserve">et doit être citée en</w:t>
      </w:r>
      <w:r>
        <w:t xml:space="preserve"> </w:t>
      </w:r>
      <w:r>
        <w:rPr>
          <w:b/>
          <w:bCs/>
        </w:rPr>
        <w:t xml:space="preserve">fourchette</w:t>
      </w:r>
      <w:r>
        <w:t xml:space="preserve"> </w:t>
      </w:r>
      <w:r>
        <w:t xml:space="preserve">plutôt qu’en valeur unique. Mesurée sur quatre tirages aléatoires, la moyenne sprint vaut</w:t>
      </w:r>
      <w:r>
        <w:t xml:space="preserve"> </w:t>
      </w:r>
      <w:r>
        <w:rPr>
          <w:b/>
          <w:bCs/>
        </w:rPr>
        <w:t xml:space="preserve">≈ +0,26 [+0,25 ; +0,29]</w:t>
      </w:r>
      <w:r>
        <w:t xml:space="preserve"> </w:t>
      </w:r>
      <w:r>
        <w:t xml:space="preserve">sans le run graduel et</w:t>
      </w:r>
      <w:r>
        <w:t xml:space="preserve"> </w:t>
      </w:r>
      <w:r>
        <w:rPr>
          <w:b/>
          <w:bCs/>
        </w:rPr>
        <w:t xml:space="preserve">≈ +0,20</w:t>
      </w:r>
      <w:r>
        <w:t xml:space="preserve"> </w:t>
      </w:r>
      <w:r>
        <w:t xml:space="preserve">avec, soit un écart</w:t>
      </w:r>
      <w:r>
        <w:t xml:space="preserve"> </w:t>
      </w:r>
      <w:r>
        <w:rPr>
          <w:b/>
          <w:bCs/>
        </w:rPr>
        <w:t xml:space="preserve">Δ ≈ −0,07 [−0,02 ; −0,10]</w:t>
      </w:r>
      <w:r>
        <w:t xml:space="preserve">, négatif sur les quatre tirages mais d’amplitude variable : la</w:t>
      </w:r>
      <w:r>
        <w:t xml:space="preserve"> </w:t>
      </w:r>
      <w:r>
        <w:rPr>
          <w:b/>
          <w:bCs/>
        </w:rPr>
        <w:t xml:space="preserve">direction</w:t>
      </w:r>
      <w:r>
        <w:t xml:space="preserve"> </w:t>
      </w:r>
      <w:r>
        <w:t xml:space="preserve">du recul est robuste, sa</w:t>
      </w:r>
      <w:r>
        <w:t xml:space="preserve"> </w:t>
      </w:r>
      <w:r>
        <w:rPr>
          <w:b/>
          <w:bCs/>
        </w:rPr>
        <w:t xml:space="preserve">magnitude</w:t>
      </w:r>
      <w:r>
        <w:t xml:space="preserve"> </w:t>
      </w:r>
      <w:r>
        <w:t xml:space="preserve">ne l’est pas.</w:t>
      </w:r>
    </w:p>
    <w:p>
      <w:pPr>
        <w:pStyle w:val="BodyText"/>
      </w:pPr>
      <w:r>
        <w:rPr>
          <w:b/>
          <w:bCs/>
        </w:rPr>
        <w:t xml:space="preserve">Enseignement.</w:t>
      </w:r>
      <w:r>
        <w:t xml:space="preserve"> </w:t>
      </w:r>
      <w:r>
        <w:t xml:space="preserve">La trajectoire confirme que la fiabilité tient à la</w:t>
      </w:r>
      <w:r>
        <w:t xml:space="preserve"> </w:t>
      </w:r>
      <w:r>
        <w:rPr>
          <w:b/>
          <w:bCs/>
        </w:rPr>
        <w:t xml:space="preserve">couverture appariée</w:t>
      </w:r>
      <w:r>
        <w:t xml:space="preserve"> </w:t>
      </w:r>
      <w:r>
        <w:t xml:space="preserve">des conditions — thermiques</w:t>
      </w:r>
      <w:r>
        <w:t xml:space="preserve"> </w:t>
      </w:r>
      <w:r>
        <w:rPr>
          <w:i/>
          <w:iCs/>
        </w:rPr>
        <w:t xml:space="preserve">et</w:t>
      </w:r>
      <w:r>
        <w:t xml:space="preserve"> </w:t>
      </w:r>
      <w:r>
        <w:t xml:space="preserve">morphologiques (§III.3.3) — et non au volume de données. Elle fixe aussi le cap des essais complémentaires (§III.6.5) : répéter au sein d’une</w:t>
      </w:r>
      <w:r>
        <w:t xml:space="preserve"> </w:t>
      </w:r>
      <w:r>
        <w:rPr>
          <w:b/>
          <w:bCs/>
        </w:rPr>
        <w:t xml:space="preserve">même morphologie</w:t>
      </w:r>
      <w:r>
        <w:t xml:space="preserv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 essais Run #21 et Run #22 (§III.6.5), tous deux de type graduel, l’illustrent : leur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ramené de +0,29 à ≈ +0,20 ; figure III.10).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(l’écart se chiffre en</w:t>
      </w:r>
      <w:r>
        <w:t xml:space="preserve"> </w:t>
      </w:r>
      <w:r>
        <w:rPr>
          <w:b/>
          <w:bCs/>
        </w:rPr>
        <w:t xml:space="preserve">fourchette Δ ≈ −0,07 [−0,02 ; −0,10]</w:t>
      </w:r>
      <w:r>
        <w:t xml:space="preserve"> </w:t>
      </w:r>
      <w:r>
        <w:t xml:space="preserve">selon le tirage, §III.3.2) ; de plus, les trois essais graduels observés restent</w:t>
      </w:r>
      <w:r>
        <w:t xml:space="preserve"> </w:t>
      </w:r>
      <w:r>
        <w:rPr>
          <w:b/>
          <w:bCs/>
        </w:rPr>
        <w:t xml:space="preserve">hétérogènes</w:t>
      </w:r>
      <w:r>
        <w:t xml:space="preserve"> </w:t>
      </w:r>
      <w:r>
        <w:t xml:space="preserve">(Run #1 à 22 h contre Run #21 et #22 à ≈ 12–13 h), de sorte que le simple décompte de répétitions ne suffit pas : seule la répétition au sein d’une morphologie</w:t>
      </w:r>
      <w:r>
        <w:t xml:space="preserve"> </w:t>
      </w:r>
      <w:r>
        <w:rPr>
          <w:b/>
          <w:bCs/>
        </w:rPr>
        <w:t xml:space="preserve">homogène</w:t>
      </w:r>
      <w:r>
        <w:t xml:space="preserve"> </w:t>
      </w:r>
      <w:r>
        <w:t xml:space="preserve">(§III.6.5)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w:t>
      </w:r>
      <w:r>
        <w:t xml:space="preserve"> </w:t>
      </w:r>
      <w:r>
        <w:rPr>
          <w:b/>
          <w:bCs/>
        </w:rPr>
        <w:t xml:space="preserve">trois estimateurs complémentaires de la durée de vie</w:t>
      </w:r>
      <w:r>
        <w:t xml:space="preserve"> </w:t>
      </w:r>
      <w:r>
        <w:t xml:space="preserve">(instant de rupture) ont été mis en œuvre et confrontés en supervision temps réel (tableau III.3). De natures différentes, ils se recoupent et permettent de</w:t>
      </w:r>
      <w:r>
        <w:t xml:space="preserve"> </w:t>
      </w:r>
      <w:r>
        <w:rPr>
          <w:b/>
          <w:bCs/>
        </w:rPr>
        <w:t xml:space="preserve">borner</w:t>
      </w:r>
      <w:r>
        <w:t xml:space="preserve"> </w:t>
      </w:r>
      <w:r>
        <w:t xml:space="preserve">la prédiction plutôt que de s’en remettre à une valeur unique.</w:t>
      </w:r>
    </w:p>
    <w:p>
      <w:pPr>
        <w:pStyle w:val="TableCaption"/>
        <w:jc w:val="center"/>
      </w:pPr>
      <w:r>
        <w:rPr>
          <w:b/>
          <w:bCs/>
        </w:rP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rPr>
                <w:b/>
                <w:bCs/>
              </w:rP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rPr>
                <w:b/>
                <w:bCs/>
              </w:rPr>
              <w:t xml:space="preserve">XGBoost (dérivé)</w:t>
            </w:r>
          </w:p>
        </w:tc>
        <w:tc>
          <w:tcPr/>
          <w:p>
            <w:pPr>
              <w:pStyle w:val="Compact"/>
            </w:pPr>
            <w:r>
              <w:t xml:space="preserve">même extrapolation, mais avec le</w:t>
            </w:r>
            <w:r>
              <w:t xml:space="preserve"> </w:t>
            </w:r>
            <w:r>
              <w:rPr>
                <w:i/>
                <w:iCs/>
              </w:rPr>
              <w:t xml:space="preserve">CR</w:t>
            </w:r>
            <w:r>
              <w:t xml:space="preserve"> </w:t>
            </w:r>
            <w:r>
              <w:rPr>
                <w:b/>
                <w:bCs/>
              </w:rPr>
              <w:t xml:space="preserve">prédit</w:t>
            </w:r>
            <w:r>
              <w:t xml:space="preserve"> </w:t>
            </w:r>
            <w:r>
              <w:t xml:space="preserve">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rPr>
                <w:b/>
                <w:bCs/>
              </w:rP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w:t>
            </w:r>
            <w:r>
              <w:t xml:space="preserve"> </w:t>
            </w:r>
            <w:r>
              <w:rPr>
                <w:b/>
                <w:bCs/>
              </w:rPr>
              <w:t xml:space="preserve">interpole</w:t>
            </w:r>
            <w:r>
              <w:t xml:space="preserve"> </w:t>
            </w:r>
            <w:r>
              <w:t xml:space="preserve">sans extrapoler hors de l’enveloppe observée</w:t>
            </w:r>
          </w:p>
        </w:tc>
      </w:tr>
    </w:tbl>
    <w:p>
      <w:pPr>
        <w:pStyle w:val="BodyText"/>
      </w:pPr>
      <w:r>
        <w:t xml:space="preserve">Seul le</w:t>
      </w:r>
      <w:r>
        <w:t xml:space="preserve"> </w:t>
      </w:r>
      <w:r>
        <w:rPr>
          <w:b/>
          <w:bCs/>
        </w:rPr>
        <w:t xml:space="preserve">jumeau</w:t>
      </w:r>
      <w:r>
        <w:t xml:space="preserve"> </w:t>
      </w:r>
      <w:r>
        <w:t xml:space="preserve">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III.11, §III.6.5), le jumeau enregistre</w:t>
      </w:r>
      <w:r>
        <w:t xml:space="preserve"> </w:t>
      </w:r>
      <w:r>
        <w:rPr>
          <w:b/>
          <w:bCs/>
        </w:rPr>
        <w:t xml:space="preserve">un test réussi et un manqué</w:t>
      </w:r>
      <w:r>
        <w:t xml:space="preserve"> </w:t>
      </w:r>
      <w:r>
        <w:t xml:space="preserve">: annoncé dans sa bande, Run #21 a rompu à 13,1 h (à l’intérieur), tandis que Run #22 — l’essai le plus rapide de la campagne — a rompu à 11,95 h,</w:t>
      </w:r>
      <w:r>
        <w:t xml:space="preserve"> </w:t>
      </w:r>
      <w:r>
        <w:rPr>
          <w:b/>
          <w:bCs/>
        </w:rPr>
        <w:t xml:space="preserve">en deçà</w:t>
      </w:r>
      <w:r>
        <w:t xml:space="preserve"> </w:t>
      </w:r>
      <w:r>
        <w:t xml:space="preserve">de la bande. Cet écart est instructif : il révèle que la bande, qui interpole entre morphologies observées, ne s’</w:t>
      </w:r>
      <w:r>
        <w:rPr>
          <w:b/>
          <w:bCs/>
        </w:rPr>
        <w:t xml:space="preserve">extrapole</w:t>
      </w:r>
      <w:r>
        <w:t xml:space="preserve"> </w:t>
      </w:r>
      <w:r>
        <w:t xml:space="preserve">pas au-delà de l’enveloppe des donneurs.</w:t>
      </w:r>
    </w:p>
    <w:p>
      <w:pPr>
        <w:pStyle w:val="BodyText"/>
      </w:pPr>
      <w:r>
        <w:rPr>
          <w:b/>
          <w:bCs/>
        </w:rPr>
        <w:t xml:space="preserve">Ce que l’on sait faire, et comment l’améliorer.</w:t>
      </w:r>
      <w:r>
        <w:t xml:space="preserve"> </w:t>
      </w:r>
      <w:r>
        <w:t xml:space="preserve">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w:t>
      </w:r>
      <w:r>
        <w:t xml:space="preserve"> </w:t>
      </w:r>
      <w:r>
        <w:rPr>
          <w:b/>
          <w:bCs/>
        </w:rPr>
        <w:t xml:space="preserve">démarches</w:t>
      </w:r>
      <w:r>
        <w:t xml:space="preserve"> </w:t>
      </w:r>
      <w:r>
        <w:t xml:space="preserve">précises : (i) répéter les essais</w:t>
      </w:r>
      <w:r>
        <w:t xml:space="preserve"> </w:t>
      </w:r>
      <w:r>
        <w:rPr>
          <w:b/>
          <w:bCs/>
        </w:rPr>
        <w:t xml:space="preserve">au sein d’une même morphologie</w:t>
      </w:r>
      <w:r>
        <w:t xml:space="preserve"> </w:t>
      </w:r>
      <w:r>
        <w:t xml:space="preserve">(en priorité « sprint ») pour stabiliser le LORO du</w:t>
      </w:r>
      <w:r>
        <w:t xml:space="preserve"> </w:t>
      </w:r>
      <w:r>
        <w:rPr>
          <w:i/>
          <w:iCs/>
        </w:rPr>
        <w:t xml:space="preserve">CR</w:t>
      </w:r>
      <w:r>
        <w:t xml:space="preserve"> </w:t>
      </w:r>
      <w:r>
        <w:t xml:space="preserve">; (ii)</w:t>
      </w:r>
      <w:r>
        <w:t xml:space="preserve"> </w:t>
      </w:r>
      <w:r>
        <w:rPr>
          <w:b/>
          <w:bCs/>
        </w:rPr>
        <w:t xml:space="preserve">élargir la bande synthétique</w:t>
      </w:r>
      <w:r>
        <w:t xml:space="preserve"> </w:t>
      </w:r>
      <w:r>
        <w:t xml:space="preserve">vers les essais rapides, afin de couvrir l’enveloppe basse révélée par Run #22 ; (iii)</w:t>
      </w:r>
      <w:r>
        <w:t xml:space="preserve"> </w:t>
      </w:r>
      <w:r>
        <w:rPr>
          <w:b/>
          <w:bCs/>
        </w:rPr>
        <w:t xml:space="preserve">contrôler simultanément</w:t>
      </w:r>
      <w:r>
        <w:t xml:space="preserve"> </w:t>
      </w:r>
      <w:r>
        <w:t xml:space="preserve">tous les facteurs (température, concentration) ; (iv) adjoindre une</w:t>
      </w:r>
      <w:r>
        <w:t xml:space="preserve"> </w:t>
      </w:r>
      <w:r>
        <w:rPr>
          <w:b/>
          <w:bCs/>
        </w:rPr>
        <w:t xml:space="preserve">validation gravimétrique</w:t>
      </w:r>
      <w:r>
        <w:t xml:space="preserve"> </w:t>
      </w:r>
      <w:r>
        <w:t xml:space="preserve">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III.7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7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III.7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III.8 confronte la courbe d’un essai propre (Run #16) à celles de ces deux contre-exemples.</w:t>
      </w:r>
    </w:p>
    <w:p>
      <w:pPr>
        <w:pStyle w:val="CaptionedFigure"/>
        <w:jc w:val="center"/>
      </w:pPr>
      <w:r>
        <w:drawing>
          <wp:inline>
            <wp:extent cx="4739005" cy="2499070"/>
            <wp:effectExtent b="0" l="0" r="0" t="0"/>
            <wp:docPr descr="Figure III.8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III.8 — Vitrine 30 °C vs contre-exemples</w:t>
      </w:r>
    </w:p>
    <w:p>
      <w:pPr>
        <w:pStyle w:val="TableCaption"/>
        <w:jc w:val="center"/>
      </w:pPr>
      <w:r>
        <w:rPr>
          <w:b/>
          <w:bCs/>
        </w:rP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61"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9"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9"/>
    <w:bookmarkStart w:id="160"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60"/>
    <w:bookmarkEnd w:id="161"/>
    <w:bookmarkStart w:id="173" w:name="iii.6.-discussions"/>
    <w:p>
      <w:pPr>
        <w:pStyle w:val="Heading2"/>
      </w:pPr>
      <w:r>
        <w:t xml:space="preserve">III.6. Discussions</w:t>
      </w:r>
    </w:p>
    <w:bookmarkStart w:id="162"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62"/>
    <w:bookmarkStart w:id="163"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63"/>
    <w:bookmarkStart w:id="164"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4"/>
    <w:bookmarkStart w:id="165"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5"/>
    <w:bookmarkStart w:id="172"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III.9).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Deux essais réels, Run #21 puis Run #22, ont depuis fourni deux tests « prédire-puis-confirmer » à l’issue contrastée et instructive (figure III.11). Pour</w:t>
      </w:r>
      <w:r>
        <w:t xml:space="preserve"> </w:t>
      </w:r>
      <w:r>
        <w:rPr>
          <w:b/>
          <w:bCs/>
        </w:rPr>
        <w:t xml:space="preserve">Run #21</w:t>
      </w:r>
      <w:r>
        <w:t xml:space="preserve">, la bande annoncée</w:t>
      </w:r>
      <w:r>
        <w:t xml:space="preserve"> </w:t>
      </w:r>
      <w:r>
        <w:rPr>
          <w:i/>
          <w:iCs/>
        </w:rPr>
        <w:t xml:space="preserve">avant</w:t>
      </w:r>
      <w:r>
        <w:t xml:space="preserve"> </w:t>
      </w:r>
      <w:r>
        <w:t xml:space="preserve">l’essai (13–20,5 h, médiane 16 h) a été</w:t>
      </w:r>
      <w:r>
        <w:t xml:space="preserve"> </w:t>
      </w:r>
      <w:r>
        <w:rPr>
          <w:b/>
          <w:bCs/>
        </w:rPr>
        <w:t xml:space="preserve">vérifiée</w:t>
      </w:r>
      <w:r>
        <w:t xml:space="preserve"> </w:t>
      </w:r>
      <w:r>
        <w:t xml:space="preserve">: rupture à</w:t>
      </w:r>
      <w:r>
        <w:t xml:space="preserve"> </w:t>
      </w:r>
      <w:r>
        <w:rPr>
          <w:b/>
          <w:bCs/>
        </w:rPr>
        <w:t xml:space="preserve">13,1 h</w:t>
      </w:r>
      <w:r>
        <w:t xml:space="preserve">, à l’intérieur de la bande (borne inférieure). Pour</w:t>
      </w:r>
      <w:r>
        <w:t xml:space="preserve"> </w:t>
      </w:r>
      <w:r>
        <w:rPr>
          <w:b/>
          <w:bCs/>
        </w:rPr>
        <w:t xml:space="preserve">Run #22</w:t>
      </w:r>
      <w:r>
        <w:t xml:space="preserve">, en revanche, la rupture est survenue à</w:t>
      </w:r>
      <w:r>
        <w:t xml:space="preserve"> </w:t>
      </w:r>
      <w:r>
        <w:rPr>
          <w:b/>
          <w:bCs/>
        </w:rPr>
        <w:t xml:space="preserve">11,95 h</w:t>
      </w:r>
      <w:r>
        <w:t xml:space="preserve">,</w:t>
      </w:r>
      <w:r>
        <w:t xml:space="preserve"> </w:t>
      </w:r>
      <w:r>
        <w:rPr>
          <w:b/>
          <w:bCs/>
        </w:rPr>
        <w:t xml:space="preserve">en deçà</w:t>
      </w:r>
      <w:r>
        <w:t xml:space="preserve"> </w:t>
      </w:r>
      <w:r>
        <w:t xml:space="preserve">de la borne basse : l’essai le plus rapide de toute la campagne tombe</w:t>
      </w:r>
      <w:r>
        <w:t xml:space="preserve"> </w:t>
      </w:r>
      <w:r>
        <w:rPr>
          <w:b/>
          <w:bCs/>
        </w:rPr>
        <w:t xml:space="preserve">sous l’enveloppe des donneurs</w:t>
      </w:r>
      <w:r>
        <w:t xml:space="preserve">, que le jumeau interpole sans l’extrapoler. Ce</w:t>
      </w:r>
      <w:r>
        <w:t xml:space="preserve"> </w:t>
      </w:r>
      <w:r>
        <w:rPr>
          <w:b/>
          <w:bCs/>
        </w:rPr>
        <w:t xml:space="preserve">manqué n’infirme pas la démarche</w:t>
      </w:r>
      <w:r>
        <w:t xml:space="preserve"> </w:t>
      </w:r>
      <w:r>
        <w:t xml:space="preserve">: il en délimite le domaine de validité — la bande devra être élargie vers les essais rapides — et illustre, sur un cas réel, la limite annoncée. Run #21 et Run #22 ajoutent par ailleurs deux représentants de la morphologie graduelle ; mais les trois graduels observés demeurent</w:t>
      </w:r>
      <w:r>
        <w:t xml:space="preserve"> </w:t>
      </w:r>
      <w:r>
        <w:rPr>
          <w:b/>
          <w:bCs/>
        </w:rPr>
        <w:t xml:space="preserve">hétérogènes</w:t>
      </w:r>
      <w:r>
        <w:t xml:space="preserve"> </w:t>
      </w:r>
      <w:r>
        <w:t xml:space="preserve">(Run #1 à 22 h contre Run #21 et #22 à ≈ 12–13 h), ce qui montre que le simple décompte de répétitions ne suffit pas : c’est la répétition au sein d’une morphologie</w:t>
      </w:r>
      <w:r>
        <w:t xml:space="preserve"> </w:t>
      </w:r>
      <w:r>
        <w:rPr>
          <w:b/>
          <w:bCs/>
        </w:rPr>
        <w:t xml:space="preserve">homogène</w:t>
      </w:r>
      <w:r>
        <w:t xml:space="preserve"> </w:t>
      </w:r>
      <w:r>
        <w:t xml:space="preserve">qui confère la prédictibilité.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w:t>
      </w:r>
      <w:r>
        <w:t xml:space="preserve"> </w:t>
      </w:r>
      <w:r>
        <w:rPr>
          <w:b/>
          <w:bCs/>
        </w:rPr>
        <w:t xml:space="preserve">suffisamment répétée</w:t>
      </w:r>
      <w:r>
        <w:t xml:space="preserve">. Ces travaux, encore préliminaires, seront validés et étendus dans la suite de la campagne.</w:t>
      </w:r>
    </w:p>
    <w:p>
      <w:pPr>
        <w:pStyle w:val="CaptionedFigure"/>
        <w:jc w:val="center"/>
      </w:pPr>
      <w:r>
        <w:drawing>
          <wp:inline>
            <wp:extent cx="4460240" cy="2617966"/>
            <wp:effectExtent b="0" l="0" r="0" t="0"/>
            <wp:docPr descr="Figure III.9 — Jumeau numérique : bande prédictive de durée de vie (P10–P90) issue des trajectoires synthétiques couvrant les deux morphologies de corrosion, et position de l’essai Run #21 — prédiction avant essai 13–20,5 h, rupture observée à 13,1 h, dans la bande" title="" id="167" name="Picture"/>
            <a:graphic>
              <a:graphicData uri="http://schemas.openxmlformats.org/drawingml/2006/picture">
                <pic:pic>
                  <pic:nvPicPr>
                    <pic:cNvPr descr="figures/fig_simulateur_run21_nonparam.png" id="168" name="Picture"/>
                    <pic:cNvPicPr>
                      <a:picLocks noChangeArrowheads="1" noChangeAspect="1"/>
                    </pic:cNvPicPr>
                  </pic:nvPicPr>
                  <pic:blipFill>
                    <a:blip r:embed="rId166"/>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III.9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1 — Bande prédictive du jumeau confrontée aux deux essais graduels réels : Run #21 (13,1 h) à l’intérieur de la bande, Run #22 (11,95 h) en deçà — bilan « prédire-puis-confirmer » de un sur deux" title="" id="170" name="Picture"/>
            <a:graphic>
              <a:graphicData uri="http://schemas.openxmlformats.org/drawingml/2006/picture">
                <pic:pic>
                  <pic:nvPicPr>
                    <pic:cNvPr descr="figures/fig_iii3_band_scorecard.png" id="171" name="Picture"/>
                    <pic:cNvPicPr>
                      <a:picLocks noChangeArrowheads="1" noChangeAspect="1"/>
                    </pic:cNvPicPr>
                  </pic:nvPicPr>
                  <pic:blipFill>
                    <a:blip r:embed="rId169"/>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III.11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72"/>
    <w:bookmarkEnd w:id="173"/>
    <w:bookmarkStart w:id="174"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74"/>
    <w:bookmarkEnd w:id="175"/>
    <w:bookmarkStart w:id="176" w:name="conclusion-générale"/>
    <w:p>
      <w:pPr>
        <w:pStyle w:val="Heading1"/>
      </w:pPr>
      <w:r>
        <w:t xml:space="preserve">CONCLUSION GÉNÉRALE</w:t>
      </w:r>
    </w:p>
    <w:p>
      <w:pPr>
        <w:pStyle w:val="FirstParagraph"/>
      </w:pPr>
      <w:r>
        <w:t xml:space="preserve">Ce mémoire s’est donné pour objectif de concevoir, développer et valider expérimentalement un</w:t>
      </w:r>
      <w:r>
        <w:t xml:space="preserve"> </w:t>
      </w:r>
      <w:r>
        <w:rPr>
          <w:b/>
          <w:bCs/>
        </w:rPr>
        <w:t xml:space="preserve">système intégré de maintenance prédictive de la corrosion</w:t>
      </w:r>
      <w:r>
        <w:t xml:space="preserve">, matérialisant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rPr>
          <w:b/>
          <w:bCs/>
        </w:rPr>
        <w:t xml:space="preserve">OS1 — Détection.</w:t>
      </w:r>
      <w:r>
        <w:t xml:space="preserve"> </w:t>
      </w:r>
      <w:r>
        <w:t xml:space="preserve">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rPr>
          <w:b/>
          <w:bCs/>
        </w:rPr>
        <w:t xml:space="preserve">OS2 — Pronostic.</w:t>
      </w:r>
      <w:r>
        <w:t xml:space="preserve"> </w:t>
      </w:r>
      <w:r>
        <w:t xml:space="preserve">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rPr>
          <w:b/>
          <w:bCs/>
        </w:rPr>
        <w:t xml:space="preserve">OS3 — Diagnostic et décision.</w:t>
      </w:r>
      <w:r>
        <w:t xml:space="preserve"> </w:t>
      </w:r>
      <w:r>
        <w:t xml:space="preserve">Le module de diagnostic identifie correctement la succession des régimes (induction, croissance, emballement, pré-rupture). L’analyse a établi que la</w:t>
      </w:r>
      <w:r>
        <w:t xml:space="preserve"> </w:t>
      </w:r>
      <w:r>
        <w:rPr>
          <w:b/>
          <w:bCs/>
        </w:rPr>
        <w:t xml:space="preserve">température est la variable dominante</w:t>
      </w:r>
      <w:r>
        <w:t xml:space="preserve"> </w:t>
      </w:r>
      <w:r>
        <w:t xml:space="preserve">et, surtout,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rPr>
          <w:b/>
          <w:bCs/>
        </w:rPr>
        <w:t xml:space="preserve">OS4 — Action.</w:t>
      </w:r>
      <w:r>
        <w:t xml:space="preserve"> </w:t>
      </w:r>
      <w:r>
        <w:t xml:space="preserve">L’application web Streamlit et le</w:t>
      </w:r>
      <w:r>
        <w:t xml:space="preserve"> </w:t>
      </w:r>
      <w:r>
        <w:rPr>
          <w:b/>
          <w:bCs/>
        </w:rPr>
        <w:t xml:space="preserve">module GMAO maison</w:t>
      </w:r>
      <w:r>
        <w:t xml:space="preserve"> </w:t>
      </w:r>
      <w:r>
        <w:t xml:space="preserve">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rPr>
          <w:b/>
          <w:bCs/>
        </w:rPr>
        <w:t xml:space="preserve">Contributions.</w:t>
      </w:r>
      <w:r>
        <w:t xml:space="preserve"> </w:t>
      </w:r>
      <w:r>
        <w:t xml:space="preserve">L’apport méthodologique central n’est pas la valeur absolue du R² mais la lecture de sa</w:t>
      </w:r>
      <w:r>
        <w:t xml:space="preserve"> </w:t>
      </w:r>
      <w:r>
        <w:rPr>
          <w:b/>
          <w:bCs/>
        </w:rPr>
        <w:t xml:space="preserve">structure</w:t>
      </w:r>
      <w:r>
        <w:t xml:space="preserve"> </w:t>
      </w:r>
      <w:r>
        <w:t xml:space="preserve">: la prédiction inter-essais est fiable là où les conditions sont couvertes et répétées, et échoue sinon — lecture rarement explicitée dans une littérature dominée par les validations intra-jeu. Le travail démontre par ailleurs qu’une</w:t>
      </w:r>
      <w:r>
        <w:t xml:space="preserve"> </w:t>
      </w:r>
      <w:r>
        <w:rPr>
          <w:b/>
          <w:bCs/>
        </w:rPr>
        <w:t xml:space="preserve">couche prédictive I4.0 peut être ajoutée pour un coût marginal</w:t>
      </w:r>
      <w:r>
        <w:t xml:space="preserve">, en aval d’une instrumentation existante ou de façon autonome, et qu’une boucle décision → action structurée est accessible</w:t>
      </w:r>
      <w:r>
        <w:t xml:space="preserve"> </w:t>
      </w:r>
      <w:r>
        <w:rPr>
          <w:b/>
          <w:bCs/>
        </w:rPr>
        <w:t xml:space="preserve">sans licence propriétaire</w:t>
      </w:r>
      <w:r>
        <w:t xml:space="preserve">.</w:t>
      </w:r>
    </w:p>
    <w:p>
      <w:pPr>
        <w:pStyle w:val="BodyText"/>
      </w:pPr>
      <w:r>
        <w:rPr>
          <w:b/>
          <w:bCs/>
        </w:rPr>
        <w:t xml:space="preserve">Limites.</w:t>
      </w:r>
      <w:r>
        <w:t xml:space="preserve"> </w:t>
      </w:r>
      <w:r>
        <w:t xml:space="preserve">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rPr>
          <w:b/>
          <w:bCs/>
        </w:rPr>
        <w:t xml:space="preserve">Recommandations et perspectives.</w:t>
      </w:r>
      <w:r>
        <w:t xml:space="preserve"> </w:t>
      </w:r>
      <w:r>
        <w:t xml:space="preserve">Pour</w:t>
      </w:r>
      <w:r>
        <w:t xml:space="preserve"> </w:t>
      </w:r>
      <w:r>
        <w:rPr>
          <w:b/>
          <w:bCs/>
        </w:rPr>
        <w:t xml:space="preserve">COTCO</w:t>
      </w:r>
      <w:r>
        <w:t xml:space="preserve">, le pipeline ML est applicable directement aux flux des sondes ER déjà en place via export DCS, sans remplacement matériel, la chaîne d’acquisition autonome ESP32 constituant une option d’extension pour les sections non câblées. Pour les</w:t>
      </w:r>
      <w:r>
        <w:t xml:space="preserve"> </w:t>
      </w:r>
      <w:r>
        <w:rPr>
          <w:b/>
          <w:bCs/>
        </w:rPr>
        <w:t xml:space="preserve">PME industrielles africaines</w:t>
      </w:r>
      <w:r>
        <w:t xml:space="preserve">, l’architecture module GMAO ↔ CMMS open-source ouvre une démocratisation effective de la maintenance assistée par ordinateur, sans licence propriétaire. Pour les</w:t>
      </w:r>
      <w:r>
        <w:t xml:space="preserve"> </w:t>
      </w:r>
      <w:r>
        <w:rPr>
          <w:b/>
          <w:bCs/>
        </w:rPr>
        <w:t xml:space="preserve">travaux futurs</w:t>
      </w:r>
      <w:r>
        <w:t xml:space="preserve">, la campagne se poursuit selon quatre axes : compléter la couverture thermique par des essais répétés</w:t>
      </w:r>
      <w:r>
        <w:t xml:space="preserve"> </w:t>
      </w:r>
      <w:r>
        <w:rPr>
          <w:b/>
          <w:bCs/>
        </w:rPr>
        <w:t xml:space="preserve">au sein d’une même morphologie</w:t>
      </w:r>
      <w:r>
        <w:t xml:space="preserv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w:t>
      </w:r>
      <w:r>
        <w:t xml:space="preserve"> </w:t>
      </w:r>
      <w:r>
        <w:rPr>
          <w:b/>
          <w:bCs/>
        </w:rPr>
        <w:t xml:space="preserve">partiellement atteints et en voie de consolidation</w:t>
      </w:r>
      <w:r>
        <w:t xml:space="preserve"> </w:t>
      </w:r>
      <w:r>
        <w:t xml:space="preserve">: le système intégré est fonctionnel de bout en bout, et le travail établit les conditions méthodologiques —</w:t>
      </w:r>
      <w:r>
        <w:t xml:space="preserve"> </w:t>
      </w:r>
      <w:r>
        <w:rPr>
          <w:b/>
          <w:bCs/>
        </w:rPr>
        <w:t xml:space="preserve">couverture et répétabilité</w:t>
      </w:r>
      <w:r>
        <w:t xml:space="preserve"> </w:t>
      </w:r>
      <w:r>
        <w:t xml:space="preserve">— sous lesquelles la maintenance prédictive de la corrosion devient fiable et transposable au contexte industriel africain.</w:t>
      </w:r>
    </w:p>
    <w:p>
      <w:r>
        <w:br w:type="page"/>
      </w:r>
    </w:p>
    <w:bookmarkEnd w:id="176"/>
    <w:bookmarkStart w:id="177"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7"/>
    <w:bookmarkStart w:id="192" w:name="annexes"/>
    <w:p>
      <w:pPr>
        <w:pStyle w:val="Heading1"/>
      </w:pPr>
      <w:r>
        <w:t xml:space="preserve">ANNEXES</w:t>
      </w:r>
    </w:p>
    <w:bookmarkStart w:id="178"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8"/>
    <w:bookmarkStart w:id="179"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9"/>
    <w:bookmarkStart w:id="183"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81" name="Picture"/>
            <a:graphic>
              <a:graphicData uri="http://schemas.openxmlformats.org/drawingml/2006/picture">
                <pic:pic>
                  <pic:nvPicPr>
                    <pic:cNvPr descr="figures/fig_c1_cablage.png" id="182" name="Picture"/>
                    <pic:cNvPicPr>
                      <a:picLocks noChangeArrowheads="1" noChangeAspect="1"/>
                    </pic:cNvPicPr>
                  </pic:nvPicPr>
                  <pic:blipFill>
                    <a:blip r:embed="rId180"/>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83"/>
    <w:bookmarkStart w:id="184"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84"/>
    <w:bookmarkStart w:id="185"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85"/>
    <w:bookmarkStart w:id="189"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7" name="Picture"/>
            <a:graphic>
              <a:graphicData uri="http://schemas.openxmlformats.org/drawingml/2006/picture">
                <pic:pic>
                  <pic:nvPicPr>
                    <pic:cNvPr descr="figures/fig_f1_erd.png" id="188" name="Picture"/>
                    <pic:cNvPicPr>
                      <a:picLocks noChangeArrowheads="1" noChangeAspect="1"/>
                    </pic:cNvPicPr>
                  </pic:nvPicPr>
                  <pic:blipFill>
                    <a:blip r:embed="rId186"/>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9"/>
    <w:bookmarkStart w:id="190"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90"/>
    <w:bookmarkStart w:id="191"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91"/>
    <w:bookmarkEnd w:id="192"/>
    <w:bookmarkStart w:id="193"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93"/>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0" Type="http://schemas.openxmlformats.org/officeDocument/2006/relationships/image" Target="media/rId180.png"/><Relationship Id="rId186" Type="http://schemas.openxmlformats.org/officeDocument/2006/relationships/image" Target="media/rId186.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69" Type="http://schemas.openxmlformats.org/officeDocument/2006/relationships/image" Target="media/rId169.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71" Type="http://schemas.openxmlformats.org/officeDocument/2006/relationships/image" Target="media/rId71.png"/><Relationship Id="rId166" Type="http://schemas.openxmlformats.org/officeDocument/2006/relationships/image" Target="media/rId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2026-06-28T08:39:31Z</dcterms:created>
  <dcterms:modified xsi:type="dcterms:W3CDTF">2026-06-28T08:39:31Z</dcterms:modified>
</cp:coreProperties>
</file>

<file path=docProps/custom.xml><?xml version="1.0" encoding="utf-8"?>
<Properties xmlns="http://schemas.openxmlformats.org/officeDocument/2006/custom-properties" xmlns:vt="http://schemas.openxmlformats.org/officeDocument/2006/docPropsVTypes"/>
</file>