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Vocabulaire de la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Coupons de corrosion O&amp;G</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1"/>
    <w:bookmarkStart w:id="92"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3"/>
    <w:bookmarkEnd w:id="104"/>
    <w:bookmarkStart w:id="114" w:name="X7f6fc5d9d937f79007415265945dc6449a14409"/>
    <w:p>
      <w:pPr>
        <w:pStyle w:val="Heading2"/>
      </w:pPr>
      <w:r>
        <w:t xml:space="preserve">II.7. Boucle décision → action : module GMAO intégré, transposable à un CMMS open-source (OS4)</w:t>
      </w:r>
    </w:p>
    <w:bookmarkStart w:id="105"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5723041"/>
            <wp:effectExtent b="0" l="0" r="0" t="0"/>
            <wp:docPr descr="Figure II.1 — Architecture de la boucle intégrée Sonde ER → Supabase → Streamlit (module GMAO)"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5723041"/>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1"/>
    <w:bookmarkStart w:id="112"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II.13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2"/>
    <w:bookmarkStart w:id="113"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2"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L’essai Run #21 (§III.6), de type graduel, l’illustre : son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de +0,29 à +0,18).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 seule la répétition au sein de chaque morphologie (§III.6) permettra de la stabiliser.</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1" w:name="Xf0fc160310e0f571bbb288514d761cb1ca3a8a9"/>
    <w:p>
      <w:pPr>
        <w:pStyle w:val="Heading2"/>
      </w:pPr>
      <w:r>
        <w:t xml:space="preserve">III.4. Diagnostic des régimes et facteurs de variabilité (OS3)</w:t>
      </w:r>
    </w:p>
    <w:bookmarkStart w:id="145"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bookmarkEnd w:id="145"/>
    <w:bookmarkStart w:id="149"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III.7 confronte la courbe d’un essai propre (Run #16) à celles de ces deux contre-exemples.</w:t>
      </w:r>
    </w:p>
    <w:p>
      <w:pPr>
        <w:pStyle w:val="CaptionedFigure"/>
        <w:jc w:val="center"/>
      </w:pPr>
      <w:r>
        <w:drawing>
          <wp:inline>
            <wp:extent cx="4739005" cy="2499070"/>
            <wp:effectExtent b="0" l="0" r="0" t="0"/>
            <wp:docPr descr="Figure III.7 — Vitrine 30 °C vs contre-exemples" title="" id="147" name="Picture"/>
            <a:graphic>
              <a:graphicData uri="http://schemas.openxmlformats.org/drawingml/2006/picture">
                <pic:pic>
                  <pic:nvPicPr>
                    <pic:cNvPr descr="figures/fig_iii4_contrexemples.png" id="148" name="Picture"/>
                    <pic:cNvPicPr>
                      <a:picLocks noChangeArrowheads="1" noChangeAspect="1"/>
                    </pic:cNvPicPr>
                  </pic:nvPicPr>
                  <pic:blipFill>
                    <a:blip r:embed="rId146"/>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III.7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49"/>
    <w:bookmarkStart w:id="150"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0"/>
    <w:bookmarkEnd w:id="151"/>
    <w:bookmarkStart w:id="154"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52"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2"/>
    <w:bookmarkStart w:id="153"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53"/>
    <w:bookmarkEnd w:id="154"/>
    <w:bookmarkStart w:id="160" w:name="iii.6.-discussions"/>
    <w:p>
      <w:pPr>
        <w:pStyle w:val="Heading2"/>
      </w:pPr>
      <w:r>
        <w:t xml:space="preserve">III.6. Discussions</w:t>
      </w:r>
    </w:p>
    <w:bookmarkStart w:id="155"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5"/>
    <w:bookmarkStart w:id="156"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6"/>
    <w:bookmarkStart w:id="157"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57"/>
    <w:bookmarkStart w:id="158"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58"/>
    <w:bookmarkStart w:id="159"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a depuis fourni un premier test « prédire puis confirmer » concluant : annoncée</w:t>
      </w:r>
      <w:r>
        <w:t xml:space="preserve"> </w:t>
      </w:r>
      <w:r>
        <w:rPr>
          <w:i/>
          <w:iCs/>
        </w:rPr>
        <w:t xml:space="preserve">avant</w:t>
      </w:r>
      <w:r>
        <w:t xml:space="preserve"> </w:t>
      </w:r>
      <w:r>
        <w:t xml:space="preserve">l’essai dans l’intervalle 13–20,5 h (médiane 16 h), la rupture est survenue à</w:t>
      </w:r>
      <w:r>
        <w:t xml:space="preserve"> </w:t>
      </w:r>
      <w:r>
        <w:rPr>
          <w:b/>
          <w:bCs/>
        </w:rPr>
        <w:t xml:space="preserve">13,1 h</w:t>
      </w:r>
      <w:r>
        <w:t xml:space="preserve">, soit à l’intérieur de la bande prédite (à sa borne inférieure). Run #21 fournit en outre un</w:t>
      </w:r>
      <w:r>
        <w:t xml:space="preserve"> </w:t>
      </w:r>
      <w:r>
        <w:rPr>
          <w:b/>
          <w:bCs/>
        </w:rPr>
        <w:t xml:space="preserve">second représentant de la morphologie graduelle</w:t>
      </w:r>
      <w:r>
        <w:t xml:space="preserve">, précisément ce que le critère de prédictibilité (au moins deux observations par morphologie) appelait.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 répétée. Ces travaux, encore préliminaires, seront validés et étendus dans la suite de la campagne.</w:t>
      </w:r>
    </w:p>
    <w:p>
      <w:r>
        <w:pict>
          <v:rect style="width:0;height:1.5pt" o:hralign="center" o:hrstd="t" o:hr="t"/>
        </w:pict>
      </w:r>
    </w:p>
    <w:bookmarkEnd w:id="159"/>
    <w:bookmarkEnd w:id="160"/>
    <w:bookmarkStart w:id="161"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1"/>
    <w:bookmarkEnd w:id="162"/>
    <w:bookmarkStart w:id="163"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3"/>
    <w:bookmarkStart w:id="164"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64"/>
    <w:bookmarkStart w:id="179" w:name="annexes"/>
    <w:p>
      <w:pPr>
        <w:pStyle w:val="Heading1"/>
      </w:pPr>
      <w:r>
        <w:t xml:space="preserve">ANNEXES</w:t>
      </w:r>
    </w:p>
    <w:bookmarkStart w:id="165"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65"/>
    <w:bookmarkStart w:id="166"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66"/>
    <w:bookmarkStart w:id="170"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68" name="Picture"/>
            <a:graphic>
              <a:graphicData uri="http://schemas.openxmlformats.org/drawingml/2006/picture">
                <pic:pic>
                  <pic:nvPicPr>
                    <pic:cNvPr descr="figures/fig_c1_cablage.png" id="169" name="Picture"/>
                    <pic:cNvPicPr>
                      <a:picLocks noChangeArrowheads="1" noChangeAspect="1"/>
                    </pic:cNvPicPr>
                  </pic:nvPicPr>
                  <pic:blipFill>
                    <a:blip r:embed="rId167"/>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70"/>
    <w:bookmarkStart w:id="171"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1"/>
    <w:bookmarkStart w:id="172"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72"/>
    <w:bookmarkStart w:id="176"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74" name="Picture"/>
            <a:graphic>
              <a:graphicData uri="http://schemas.openxmlformats.org/drawingml/2006/picture">
                <pic:pic>
                  <pic:nvPicPr>
                    <pic:cNvPr descr="figures/fig_f1_erd.png" id="175" name="Picture"/>
                    <pic:cNvPicPr>
                      <a:picLocks noChangeArrowheads="1" noChangeAspect="1"/>
                    </pic:cNvPicPr>
                  </pic:nvPicPr>
                  <pic:blipFill>
                    <a:blip r:embed="rId173"/>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76"/>
    <w:bookmarkStart w:id="177"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77"/>
    <w:bookmarkStart w:id="178"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(2024)</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Yan &amp; Yan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(2024)</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78"/>
    <w:bookmarkEnd w:id="179"/>
    <w:bookmarkStart w:id="180"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80"/>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67" Type="http://schemas.openxmlformats.org/officeDocument/2006/relationships/image" Target="media/rId167.png"/><Relationship Id="rId173" Type="http://schemas.openxmlformats.org/officeDocument/2006/relationships/image" Target="media/rId173.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6" Type="http://schemas.openxmlformats.org/officeDocument/2006/relationships/image" Target="media/rId146.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2026-06-24T17:56:20Z</dcterms:created>
  <dcterms:modified xsi:type="dcterms:W3CDTF">2026-06-24T17:56:20Z</dcterms:modified>
</cp:coreProperties>
</file>

<file path=docProps/custom.xml><?xml version="1.0" encoding="utf-8"?>
<Properties xmlns="http://schemas.openxmlformats.org/officeDocument/2006/custom-properties" xmlns:vt="http://schemas.openxmlformats.org/officeDocument/2006/docPropsVTypes"/>
</file>