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À compléter</w:t>
      </w:r>
      <w:r>
        <w:br/>
      </w:r>
      <w:r>
        <w:rPr>
          <w:b/>
          <w:bCs/>
        </w:rPr>
        <w:t xml:space="preserve">Sous l’encadrement professionnel de :</w:t>
      </w:r>
      <w:r>
        <w:t xml:space="preserve"> </w:t>
      </w:r>
      <w:r>
        <w:t xml:space="preserve">M. FEZEU (COTCO)</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notre</w:t>
      </w:r>
      <w:r>
        <w:t xml:space="preserve"> </w:t>
      </w:r>
      <w:r>
        <w:rPr>
          <w:b/>
          <w:bCs/>
        </w:rPr>
        <w:t xml:space="preserve">encadreur professionnel</w:t>
      </w:r>
      <w:r>
        <w:t xml:space="preserve"> </w:t>
      </w:r>
      <w:r>
        <w:t xml:space="preserve">au sein de la</w:t>
      </w:r>
      <w:r>
        <w:t xml:space="preserve"> </w:t>
      </w:r>
      <w:r>
        <w:rPr>
          <w:b/>
          <w:bCs/>
        </w:rPr>
        <w:t xml:space="preserve">Cameroon Oil Transportation Company (COTCO)</w:t>
      </w:r>
      <w:r>
        <w:t xml:space="preserve">, pour la qualité de son accompagnement, le partage d’expérience terrain et l’accès aux problématiques industrielles concrètes ayant nourri ce travail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un stage de fin d’études sanctionné par la rédaction d’un mémoire. Ce stage nous a conduit au sein 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constituait le cœur de notre mission, dans un contexte industriel où les outils de maintenance prédictive restaient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rPr>
          <w:i/>
          <w:iCs/>
        </w:rPr>
        <w:t xml:space="preserve">(Le résumé sera rédigé à l’issue de la campagne expérimentale, une fois les résultats consolidés.)</w:t>
      </w:r>
    </w:p>
    <w:p>
      <w:r>
        <w:br w:type="page"/>
      </w:r>
    </w:p>
    <w:bookmarkEnd w:id="21"/>
    <w:bookmarkStart w:id="22" w:name="abstract"/>
    <w:p>
      <w:pPr>
        <w:pStyle w:val="Heading1"/>
      </w:pPr>
      <w:r>
        <w:t xml:space="preserve">ABSTRACT</w:t>
      </w:r>
    </w:p>
    <w:p>
      <w:pPr>
        <w:pStyle w:val="FirstParagraph"/>
      </w:pPr>
      <w:r>
        <w:rPr>
          <w:i/>
          <w:iCs/>
        </w:rPr>
        <w:t xml:space="preserve">(The abstract will be written once the experimental campaign is complete and the results are finalised.)</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:2015</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2015).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:2018</w:t>
      </w:r>
      <w:r>
        <w:t xml:space="preserve"> </w:t>
      </w:r>
      <w:r>
        <w:t xml:space="preserve">définit la maintenance prédictive comme une « maintenance conditionnelle effectuée en suivant les prévisions extrapolées de l’analyse et de l’évaluation de paramètres significatifs de la dégradation du bien » (CEN, 2018). La norme</w:t>
      </w:r>
      <w:r>
        <w:t xml:space="preserve"> </w:t>
      </w:r>
      <w:r>
        <w:rPr>
          <w:b/>
          <w:bCs/>
        </w:rPr>
        <w:t xml:space="preserve">ISO 13381-1 :2015</w:t>
      </w:r>
      <w:r>
        <w:t xml:space="preserve"> </w:t>
      </w:r>
      <w:r>
        <w:t xml:space="preserve">précise quant à elle les principes du pronostic et de l’estimation de la durée de vie résiduelle (RUL) à partir des données de surveillance (ISO, 2015).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 (Cheng et Niu, 2018),</w:t>
      </w:r>
      <w:r>
        <w:t xml:space="preserve"> </w:t>
      </w:r>
      <w:r>
        <w:rPr>
          <w:b/>
          <w:bCs/>
        </w:rPr>
        <w:t xml:space="preserve">XGBoost</w:t>
      </w:r>
      <w:r>
        <w:t xml:space="preserve"> </w:t>
      </w:r>
      <w: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:2015</w:t>
      </w:r>
      <w:r>
        <w:t xml:space="preserve"> </w:t>
      </w:r>
      <w:r>
        <w:t xml:space="preserve">— Définitions et terminologie de la corrosion (ISO, 2015)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w:t>
      </w:r>
      <w:r>
        <w:t xml:space="preserve"> </w:t>
      </w:r>
      <w:r>
        <w:t xml:space="preserve">— Surveillance de la corrosion en service par méthodes électriques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service pétrolier (AMPP, 2023) ;</w:t>
      </w:r>
    </w:p>
    <w:p>
      <w:pPr>
        <w:pStyle w:val="Compact"/>
        <w:numPr>
          <w:ilvl w:val="0"/>
          <w:numId w:val="1005"/>
        </w:numPr>
      </w:pPr>
      <w:r>
        <w:rPr>
          <w:b/>
          <w:bCs/>
        </w:rPr>
        <w:t xml:space="preserve">NACE TM0190</w:t>
      </w:r>
      <w:r>
        <w:t xml:space="preserve"> </w:t>
      </w:r>
      <w:r>
        <w:t xml:space="preserve">— Méthodes d’essai pour sondes ER en service pétrolier (NACE, 2012)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2016a) ;</w:t>
      </w:r>
    </w:p>
    <w:p>
      <w:pPr>
        <w:pStyle w:val="Compact"/>
        <w:numPr>
          <w:ilvl w:val="0"/>
          <w:numId w:val="1005"/>
        </w:numPr>
      </w:pPr>
      <w:r>
        <w:rPr>
          <w:b/>
          <w:bCs/>
        </w:rPr>
        <w:t xml:space="preserve">API 580 / 581</w:t>
      </w:r>
      <w:r>
        <w:t xml:space="preserve"> </w:t>
      </w:r>
      <w:r>
        <w:t xml:space="preserve">— Inspection basée sur le risque (RBI) (API, 2016b ; API, 2016c) ;</w:t>
      </w:r>
    </w:p>
    <w:p>
      <w:pPr>
        <w:pStyle w:val="Compact"/>
        <w:numPr>
          <w:ilvl w:val="0"/>
          <w:numId w:val="1005"/>
        </w:numPr>
      </w:pPr>
      <w:r>
        <w:rPr>
          <w:b/>
          <w:bCs/>
        </w:rPr>
        <w:t xml:space="preserve">ISO 13381-1 :2015</w:t>
      </w:r>
      <w:r>
        <w:t xml:space="preserve"> </w:t>
      </w:r>
      <w:r>
        <w:t xml:space="preserve">— Maintenance — Pronostic — Lignes directrices générales (ISO, 2015) ;</w:t>
      </w:r>
    </w:p>
    <w:p>
      <w:pPr>
        <w:pStyle w:val="Compact"/>
        <w:numPr>
          <w:ilvl w:val="0"/>
          <w:numId w:val="1005"/>
        </w:numPr>
      </w:pPr>
      <w:r>
        <w:rPr>
          <w:b/>
          <w:bCs/>
        </w:rPr>
        <w:t xml:space="preserve">EN 13306 :2018</w:t>
      </w:r>
      <w:r>
        <w:t xml:space="preserve"> </w:t>
      </w:r>
      <w:r>
        <w:t xml:space="preserve">— Terminologie de la maintenance (CEN, 2018)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99/013 du 22 décembre 1999</w:t>
      </w:r>
      <w:r>
        <w:t xml:space="preserve"> </w:t>
      </w:r>
      <w:r>
        <w:t xml:space="preserve">portant Code Pétrolier, qui impose aux opérateurs de maintenir leurs installations dans un état de sécurité conforme aux normes internationales (République du Cameroun, 1999) ;</w:t>
      </w:r>
    </w:p>
    <w:p>
      <w:pPr>
        <w:pStyle w:val="Compact"/>
        <w:numPr>
          <w:ilvl w:val="0"/>
          <w:numId w:val="1006"/>
        </w:numPr>
      </w:pPr>
      <w:r>
        <w:rPr>
          <w:b/>
          <w:bCs/>
        </w:rPr>
        <w:t xml:space="preserve">Décret n° 2000/465 du 30 juin 2000</w:t>
      </w:r>
      <w:r>
        <w:t xml:space="preserve"> </w:t>
      </w:r>
      <w:r>
        <w:t xml:space="preserve">fixant les conditions d’exploitation des hydrocarbures, prévoyant des obligations de surveillance et de contrôle (République du Cameroun, 2000) ;</w:t>
      </w:r>
    </w:p>
    <w:p>
      <w:pPr>
        <w:pStyle w:val="Compact"/>
        <w:numPr>
          <w:ilvl w:val="0"/>
          <w:numId w:val="1006"/>
        </w:numPr>
      </w:pPr>
      <w:r>
        <w:rPr>
          <w:b/>
          <w:bCs/>
        </w:rPr>
        <w:t xml:space="preserve">Loi-cadre sur l’environnement</w:t>
      </w:r>
      <w:r>
        <w:t xml:space="preserve"> </w:t>
      </w:r>
      <w:r>
        <w:t xml:space="preserve">(loi n° 96/12)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 structurée</w:t>
      </w:r>
      <w:r>
        <w:t xml:space="preserve"> </w:t>
      </w:r>
      <w:r>
        <w:t xml:space="preserve">: les interventions correctives ne sont pas systématiquement tracées dans une GMAO, ce qui prive l’opérateur d’historiques exploitables pour le calcul de KPIs maintenance (MTBF, MTTR, disponibilité)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connexion via API REST entre l’application Streamlit (frontend ML) et un CMMS open-source (GLPI ou équivalent) pour la création automatique des ordres de travail, structurant la boucle décision → action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intégrées dans un système de gestion de maintenance assistée par ordinateur permettant la traçabilité des actions correctives.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2015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intégrée par API REST à un CMMS open-source</w:t>
      </w:r>
      <w:r>
        <w:t xml:space="preserve"> </w:t>
      </w:r>
      <w:r>
        <w:t xml:space="preserve">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Intégrer le système prédictif à un CMMS open-source via API REST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d’établir une connexion API REST vers un</w:t>
      </w:r>
      <w:r>
        <w:t xml:space="preserve"> </w:t>
      </w:r>
      <w:r>
        <w:rPr>
          <w:b/>
          <w:bCs/>
        </w:rPr>
        <w:t xml:space="preserve">CMMS open-source existant</w:t>
      </w:r>
      <w:r>
        <w:t xml:space="preserve"> </w:t>
      </w:r>
      <w:r>
        <w:t xml:space="preserve">(GLPI ou équivalent à préciser après matrice comparative) pour la création automatique d’ordres de travail à partir des alertes prédictives ; (iii) de définir le mapping prédiction ML → ticket CMMS (asset, sévérité, description, régime diagnostiqué) ; (iv) de calculer les KPIs maintenance (MTBF, MTTR, disponibilité, taux de fausses alertes) à partir des historiques CMMS. Cette approche démontre qu’un opérateur ou une PME peut structurer sa boucle décision → action</w:t>
      </w:r>
      <w:r>
        <w:t xml:space="preserve"> </w:t>
      </w:r>
      <w:r>
        <w:rPr>
          <w:b/>
          <w:bCs/>
        </w:rPr>
        <w:t xml:space="preserve">sans développer de GMAO ex nihilo et sans payer de licence propriétaire</w:t>
      </w:r>
      <w:r>
        <w:t xml:space="preserve"> </w:t>
      </w:r>
      <w:r>
        <w:t xml:space="preserve">(SAP PM, IBM Maximo).</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w:t>
      </w:r>
      <w:r>
        <w:t xml:space="preserve"> </w:t>
      </w:r>
      <w:r>
        <w:rPr>
          <w:b/>
          <w:bCs/>
        </w:rPr>
        <w:t xml:space="preserve">objectif de conception fixé a priori</w:t>
      </w:r>
      <w:r>
        <w:t xml:space="preserve">, non une exigence normative —,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intégrée par API REST à un CMMS open-source existant</w:t>
      </w:r>
      <w:r>
        <w:t xml:space="preserve"> </w:t>
      </w:r>
      <w:r>
        <w:t xml:space="preserve">(GLPI ou équivalent) peut-elle exploiter les alertes et les recommandations issues du système prédictif pour générer automatiquement les ordres de travail, tracer les interventions et calculer les KPIs de maintenance (MTBF, MTTR, disponibilité), avec une couverture fonctionnelle équivalente aux GMAO propriétaires (SAP PM, IBM Maximo) sans coût de licence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intégration à un CMMS open-source par API.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 d’intégration</w:t>
      </w:r>
      <w:r>
        <w:t xml:space="preserve"> </w:t>
      </w:r>
      <w:r>
        <w:rPr>
          <w:b/>
          <w:bCs/>
        </w:rPr>
        <w:t xml:space="preserve">Streamlit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Le recours à un CMMS open-source mature (GLPI ou équivalent) permet une</w:t>
      </w:r>
      <w:r>
        <w:t xml:space="preserve"> </w:t>
      </w:r>
      <w:r>
        <w:rPr>
          <w:b/>
          <w:bCs/>
        </w:rPr>
        <w:t xml:space="preserve">démocratisation effective de la maintenance assistée par ordinateur</w:t>
      </w:r>
      <w:r>
        <w:t xml:space="preserve"> </w:t>
      </w:r>
      <w:r>
        <w:t xml:space="preserve">sans développement</w:t>
      </w:r>
      <w:r>
        <w:t xml:space="preserve"> </w:t>
      </w:r>
      <w:r>
        <w:rPr>
          <w:i/>
          <w:iCs/>
        </w:rPr>
        <w:t xml:space="preserve">ex nihilo</w:t>
      </w:r>
      <w:r>
        <w:t xml:space="preserve"> </w:t>
      </w:r>
      <w:r>
        <w:t xml:space="preserve">— approche pragmatique d’intégration plutôt que de réinvention.</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intégration CMMS),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CMMS open-source retenu),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w:t>
      </w:r>
      <w:r>
        <w:rPr>
          <w:b/>
          <w:bCs/>
        </w:rPr>
        <w:t xml:space="preserve">architecture d’intégration Streamlit ↔ CMMS open-source par API REST</w:t>
      </w:r>
      <w:r>
        <w:t xml:space="preserve"> </w:t>
      </w:r>
      <w:r>
        <w:t xml:space="preserve">(mapping prédiction ML → ticket CMMS, KPIs maintenance),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Yan et Yan,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Yan et Yan (2024)</w:t>
      </w:r>
      <w:r>
        <w:t xml:space="preserve"> </w:t>
      </w:r>
      <w:r>
        <w:t xml:space="preserve">: XGBoost et AdaBoost obtiennent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:2015</w:t>
      </w:r>
      <w:r>
        <w:t xml:space="preserve"> </w:t>
      </w:r>
      <w:r>
        <w:t xml:space="preserve">définit le pronostic comme « l’estimation du temps avant défaillance et le risque d’existence ou d’apparition d’un ou plusieurs modes de défaillance » (ISO, 2015).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ML</w:t>
      </w:r>
      <w:r>
        <w:t xml:space="preserve"> </w:t>
      </w:r>
      <w:r>
        <w:rPr>
          <w:i/>
          <w:iCs/>
        </w:rPr>
        <w:t xml:space="preserve">run-to-failure</w:t>
      </w:r>
      <w:r>
        <w:t xml:space="preserve"> </w:t>
      </w:r>
      <w:r>
        <w:t xml:space="preserve">sont les mieux adaptées car elles exploitent l’intégralité du cycle de dégradation (état initial → rupture). C’est la voie retenue dans ce travail.</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bain-marie thermostaté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2015).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Murphy, 2021)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frontend modernes comme</w:t>
      </w:r>
      <w:r>
        <w:t xml:space="preserve"> </w:t>
      </w:r>
      <w:r>
        <w:rPr>
          <w:b/>
          <w:bCs/>
        </w:rPr>
        <w:t xml:space="preserve">Next.js</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7"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Architecture d’intégration au CMMS open-source par API REST</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w:t>
      </w:r>
      <w:r>
        <w:rPr>
          <w:b/>
          <w:bCs/>
        </w:rPr>
        <w:t xml:space="preserve">architecture d’intégration au CMMS open-source par API REST</w:t>
      </w:r>
      <w:r>
        <w:t xml:space="preserv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disponibilité de versions étanches en gaine inox.</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Ma et al., 2021 ; Wei et al., 2024), interprétabilité native par SHAP (Lundberg et Lee, 2017), régularisation L1/L2 limitant le sur-apprentissage. Limite acceptée : architecture point-par-point (pas de mémoire séquentielle native comme LSTM) — compensée par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ii.0.5.8.-cmms-glpi-open-source"/>
    <w:p>
      <w:pPr>
        <w:pStyle w:val="Heading3"/>
      </w:pPr>
      <w:r>
        <w:t xml:space="preserve">II.0.5.8. CMMS — GLPI (open-source)</w:t>
      </w:r>
    </w:p>
    <w:p>
      <w:pPr>
        <w:pStyle w:val="FirstParagraph"/>
      </w:pPr>
      <w:r>
        <w:t xml:space="preserve">Justification déjà détaillée en §II.7.2 (matrice comparative GLPI / OpenMaint / Snipe-IT / Fiix / MaintainX).</w:t>
      </w:r>
      <w:r>
        <w:t xml:space="preserve"> </w:t>
      </w:r>
      <w:r>
        <w:rPr>
          <w:b/>
          <w:bCs/>
        </w:rPr>
        <w:t xml:space="preserve">Choix retenu : GLPI</w:t>
      </w:r>
      <w:r>
        <w:t xml:space="preserve"> </w:t>
      </w:r>
      <w:r>
        <w:t xml:space="preserve">pour sa maturité, son API REST native, sa communauté francophone et sa compatibilité on-premise.</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HDPE)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trois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bain-marie thermostaté.</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 pont et le montage Kelvin, plus complexes à câbler et sensibles au mode commun de l’amplificateur dans notre configuration, ont été</w:t>
      </w:r>
      <w:r>
        <w:t xml:space="preserve"> </w:t>
      </w:r>
      <w:r>
        <w:rPr>
          <w:b/>
          <w:bCs/>
        </w:rPr>
        <w:t xml:space="preserve">écartés après essais</w:t>
      </w:r>
      <w:r>
        <w:t xml:space="preserve">. Dans le cadre de ce travail, nous retenons le</w:t>
      </w:r>
      <w:r>
        <w:t xml:space="preserve"> </w:t>
      </w:r>
      <w:r>
        <w:rPr>
          <w:b/>
          <w:bCs/>
        </w:rPr>
        <w:t xml:space="preserve">montage 2 fils à injection de courant</w:t>
      </w:r>
      <w:r>
        <w:t xml:space="preserve">, le plus simple et le plus stable avec les composants disponibles localement.</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4"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HDPE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Bain-marie thermostaté</w:t>
            </w:r>
          </w:p>
        </w:tc>
        <w:tc>
          <w:tcPr/>
          <w:p>
            <w:pPr>
              <w:pStyle w:val="Compact"/>
            </w:pPr>
            <w:r>
              <w:t xml:space="preserve">Contrôle de la température</w:t>
            </w:r>
          </w:p>
        </w:tc>
        <w:tc>
          <w:tcPr/>
          <w:p>
            <w:pPr>
              <w:pStyle w:val="Compact"/>
            </w:pPr>
            <w:r>
              <w:t xml:space="preserve">Chauffe-eau d’aquarium 25 W, plage 16–35 °C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bookmarkEnd w:id="82"/>
    <w:bookmarkStart w:id="83" w:name="ii.3.3.-ressources-documentaires"/>
    <w:p>
      <w:pPr>
        <w:pStyle w:val="Heading3"/>
      </w:pPr>
      <w:r>
        <w:t xml:space="preserve">II.3.3. Ressources documentaires</w:t>
      </w:r>
    </w:p>
    <w:p>
      <w:pPr>
        <w:pStyle w:val="TableCaption"/>
        <w:jc w:val="center"/>
      </w:pPr>
      <w:r>
        <w:rPr>
          <w:b/>
          <w:bCs/>
        </w:rPr>
        <w:t xml:space="preserve">Tableau II.5 — Normes et références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Référence</w:t>
            </w:r>
          </w:p>
        </w:tc>
        <w:tc>
          <w:tcPr/>
          <w:p>
            <w:pPr>
              <w:pStyle w:val="Compact"/>
            </w:pPr>
            <w:r>
              <w:t xml:space="preserve">Organisme</w:t>
            </w:r>
          </w:p>
        </w:tc>
        <w:tc>
          <w:tcPr/>
          <w:p>
            <w:pPr>
              <w:pStyle w:val="Compact"/>
            </w:pPr>
            <w:r>
              <w:t xml:space="preserve">Objet</w:t>
            </w:r>
          </w:p>
        </w:tc>
      </w:tr>
      <w:tr>
        <w:tc>
          <w:tcPr/>
          <w:p>
            <w:pPr>
              <w:pStyle w:val="Compact"/>
            </w:pPr>
            <w:r>
              <w:t xml:space="preserve">ISO 8044</w:t>
            </w:r>
          </w:p>
        </w:tc>
        <w:tc>
          <w:tcPr/>
          <w:p>
            <w:pPr>
              <w:pStyle w:val="Compact"/>
            </w:pPr>
            <w:r>
              <w:t xml:space="preserve">ISO</w:t>
            </w:r>
          </w:p>
        </w:tc>
        <w:tc>
          <w:tcPr/>
          <w:p>
            <w:pPr>
              <w:pStyle w:val="Compact"/>
            </w:pPr>
            <w:r>
              <w:t xml:space="preserve">Définitions corrosion</w:t>
            </w:r>
          </w:p>
        </w:tc>
      </w:tr>
      <w:tr>
        <w:tc>
          <w:tcPr/>
          <w:p>
            <w:pPr>
              <w:pStyle w:val="Compact"/>
            </w:pPr>
            <w:r>
              <w:t xml:space="preserve">ASTM G1</w:t>
            </w:r>
          </w:p>
        </w:tc>
        <w:tc>
          <w:tcPr/>
          <w:p>
            <w:pPr>
              <w:pStyle w:val="Compact"/>
            </w:pPr>
            <w:r>
              <w:t xml:space="preserve">ASTM</w:t>
            </w:r>
          </w:p>
        </w:tc>
        <w:tc>
          <w:tcPr/>
          <w:p>
            <w:pPr>
              <w:pStyle w:val="Compact"/>
            </w:pPr>
            <w:r>
              <w:t xml:space="preserve">Évaluation éprouvettes corrosion</w:t>
            </w:r>
          </w:p>
        </w:tc>
      </w:tr>
      <w:tr>
        <w:tc>
          <w:tcPr/>
          <w:p>
            <w:pPr>
              <w:pStyle w:val="Compact"/>
            </w:pPr>
            <w:r>
              <w:t xml:space="preserve">ASTM G31</w:t>
            </w:r>
          </w:p>
        </w:tc>
        <w:tc>
          <w:tcPr/>
          <w:p>
            <w:pPr>
              <w:pStyle w:val="Compact"/>
            </w:pPr>
            <w:r>
              <w:t xml:space="preserve">ASTM</w:t>
            </w:r>
          </w:p>
        </w:tc>
        <w:tc>
          <w:tcPr/>
          <w:p>
            <w:pPr>
              <w:pStyle w:val="Compact"/>
            </w:pPr>
            <w:r>
              <w:t xml:space="preserve">Essais immersion laboratoire</w:t>
            </w:r>
          </w:p>
        </w:tc>
      </w:tr>
      <w:tr>
        <w:tc>
          <w:tcPr/>
          <w:p>
            <w:pPr>
              <w:pStyle w:val="Compact"/>
            </w:pPr>
            <w:r>
              <w:t xml:space="preserve">ASTM G96</w:t>
            </w:r>
          </w:p>
        </w:tc>
        <w:tc>
          <w:tcPr/>
          <w:p>
            <w:pPr>
              <w:pStyle w:val="Compact"/>
            </w:pPr>
            <w:r>
              <w:t xml:space="preserve">ASTM</w:t>
            </w:r>
          </w:p>
        </w:tc>
        <w:tc>
          <w:tcPr/>
          <w:p>
            <w:pPr>
              <w:pStyle w:val="Compact"/>
            </w:pPr>
            <w:r>
              <w:t xml:space="preserve">Surveillance ER en service</w:t>
            </w:r>
          </w:p>
        </w:tc>
      </w:tr>
      <w:tr>
        <w:tc>
          <w:tcPr/>
          <w:p>
            <w:pPr>
              <w:pStyle w:val="Compact"/>
            </w:pPr>
            <w:r>
              <w:t xml:space="preserve">NACE SP0775</w:t>
            </w:r>
          </w:p>
        </w:tc>
        <w:tc>
          <w:tcPr/>
          <w:p>
            <w:pPr>
              <w:pStyle w:val="Compact"/>
            </w:pPr>
            <w:r>
              <w:t xml:space="preserve">AMPP</w:t>
            </w:r>
          </w:p>
        </w:tc>
        <w:tc>
          <w:tcPr/>
          <w:p>
            <w:pPr>
              <w:pStyle w:val="Compact"/>
            </w:pPr>
            <w:r>
              <w:t xml:space="preserve">Sondes/coupons O&amp;G</w:t>
            </w:r>
          </w:p>
        </w:tc>
      </w:tr>
      <w:tr>
        <w:tc>
          <w:tcPr/>
          <w:p>
            <w:pPr>
              <w:pStyle w:val="Compact"/>
            </w:pPr>
            <w:r>
              <w:t xml:space="preserve">NACE TM0190</w:t>
            </w:r>
          </w:p>
        </w:tc>
        <w:tc>
          <w:tcPr/>
          <w:p>
            <w:pPr>
              <w:pStyle w:val="Compact"/>
            </w:pPr>
            <w:r>
              <w:t xml:space="preserve">AMPP</w:t>
            </w:r>
          </w:p>
        </w:tc>
        <w:tc>
          <w:tcPr/>
          <w:p>
            <w:pPr>
              <w:pStyle w:val="Compact"/>
            </w:pPr>
            <w:r>
              <w:t xml:space="preserve">Sondes ER service pétrolier</w:t>
            </w:r>
          </w:p>
        </w:tc>
      </w:tr>
      <w:tr>
        <w:tc>
          <w:tcPr/>
          <w:p>
            <w:pPr>
              <w:pStyle w:val="Compact"/>
            </w:pPr>
            <w:r>
              <w:t xml:space="preserve">API 570</w:t>
            </w:r>
          </w:p>
        </w:tc>
        <w:tc>
          <w:tcPr/>
          <w:p>
            <w:pPr>
              <w:pStyle w:val="Compact"/>
            </w:pPr>
            <w:r>
              <w:t xml:space="preserve">API</w:t>
            </w:r>
          </w:p>
        </w:tc>
        <w:tc>
          <w:tcPr/>
          <w:p>
            <w:pPr>
              <w:pStyle w:val="Compact"/>
            </w:pPr>
            <w:r>
              <w:t xml:space="preserve">Inspection tuyauteries</w:t>
            </w:r>
          </w:p>
        </w:tc>
      </w:tr>
      <w:tr>
        <w:tc>
          <w:tcPr/>
          <w:p>
            <w:pPr>
              <w:pStyle w:val="Compact"/>
            </w:pPr>
            <w:r>
              <w:t xml:space="preserve">ISO 13381-1</w:t>
            </w:r>
          </w:p>
        </w:tc>
        <w:tc>
          <w:tcPr/>
          <w:p>
            <w:pPr>
              <w:pStyle w:val="Compact"/>
            </w:pPr>
            <w:r>
              <w:t xml:space="preserve">ISO</w:t>
            </w:r>
          </w:p>
        </w:tc>
        <w:tc>
          <w:tcPr/>
          <w:p>
            <w:pPr>
              <w:pStyle w:val="Compact"/>
            </w:pPr>
            <w:r>
              <w:t xml:space="preserve">Maintenance prévisionnelle, RUL</w:t>
            </w:r>
          </w:p>
        </w:tc>
      </w:tr>
      <w:tr>
        <w:tc>
          <w:tcPr/>
          <w:p>
            <w:pPr>
              <w:pStyle w:val="Compact"/>
            </w:pPr>
            <w:r>
              <w:t xml:space="preserve">EN 13306</w:t>
            </w:r>
          </w:p>
        </w:tc>
        <w:tc>
          <w:tcPr/>
          <w:p>
            <w:pPr>
              <w:pStyle w:val="Compact"/>
            </w:pPr>
            <w:r>
              <w:t xml:space="preserve">CEN</w:t>
            </w:r>
          </w:p>
        </w:tc>
        <w:tc>
          <w:tcPr/>
          <w:p>
            <w:pPr>
              <w:pStyle w:val="Compact"/>
            </w:pPr>
            <w:r>
              <w:t xml:space="preserve">Terminologie maintenance</w:t>
            </w:r>
          </w:p>
        </w:tc>
      </w:tr>
      <w:tr>
        <w:tc>
          <w:tcPr/>
          <w:p>
            <w:pPr>
              <w:pStyle w:val="Compact"/>
            </w:pPr>
            <w:r>
              <w:t xml:space="preserve">de Waard &amp; Milliams (1975)</w:t>
            </w:r>
          </w:p>
        </w:tc>
        <w:tc>
          <w:tcPr/>
          <w:p>
            <w:pPr>
              <w:pStyle w:val="Compact"/>
            </w:pPr>
            <w:r>
              <w:t xml:space="preserve">—</w:t>
            </w:r>
          </w:p>
        </w:tc>
        <w:tc>
          <w:tcPr/>
          <w:p>
            <w:pPr>
              <w:pStyle w:val="Compact"/>
            </w:pPr>
            <w:r>
              <w:t xml:space="preserve">Modèle CO₂ corrosion</w:t>
            </w:r>
          </w:p>
        </w:tc>
      </w:tr>
      <w:tr>
        <w:tc>
          <w:tcPr/>
          <w:p>
            <w:pPr>
              <w:pStyle w:val="Compact"/>
            </w:pPr>
            <w:r>
              <w:t xml:space="preserve">Chen &amp; Guestrin (2016)</w:t>
            </w:r>
          </w:p>
        </w:tc>
        <w:tc>
          <w:tcPr/>
          <w:p>
            <w:pPr>
              <w:pStyle w:val="Compact"/>
            </w:pPr>
            <w:r>
              <w:t xml:space="preserve">ACM</w:t>
            </w:r>
          </w:p>
        </w:tc>
        <w:tc>
          <w:tcPr/>
          <w:p>
            <w:pPr>
              <w:pStyle w:val="Compact"/>
            </w:pPr>
            <w:r>
              <w:t xml:space="preserve">Algorithme XGBoost</w:t>
            </w:r>
          </w:p>
        </w:tc>
      </w:tr>
      <w:tr>
        <w:tc>
          <w:tcPr/>
          <w:p>
            <w:pPr>
              <w:pStyle w:val="Compact"/>
            </w:pPr>
            <w:r>
              <w:t xml:space="preserve">Lundberg &amp; Lee (2017)</w:t>
            </w:r>
          </w:p>
        </w:tc>
        <w:tc>
          <w:tcPr/>
          <w:p>
            <w:pPr>
              <w:pStyle w:val="Compact"/>
            </w:pPr>
            <w:r>
              <w:t xml:space="preserve">NeurIPS</w:t>
            </w:r>
          </w:p>
        </w:tc>
        <w:tc>
          <w:tcPr/>
          <w:p>
            <w:pPr>
              <w:pStyle w:val="Compact"/>
            </w:pPr>
            <w:r>
              <w:t xml:space="preserve">Méthode SHAP</w:t>
            </w:r>
          </w:p>
        </w:tc>
      </w:tr>
      <w:tr>
        <w:tc>
          <w:tcPr/>
          <w:p>
            <w:pPr>
              <w:pStyle w:val="Compact"/>
            </w:pPr>
            <w:r>
              <w:t xml:space="preserve">Koch et al. (2016)</w:t>
            </w:r>
          </w:p>
        </w:tc>
        <w:tc>
          <w:tcPr/>
          <w:p>
            <w:pPr>
              <w:pStyle w:val="Compact"/>
            </w:pPr>
            <w:r>
              <w:t xml:space="preserve">NACE</w:t>
            </w:r>
          </w:p>
        </w:tc>
        <w:tc>
          <w:tcPr/>
          <w:p>
            <w:pPr>
              <w:pStyle w:val="Compact"/>
            </w:pPr>
            <w:r>
              <w:t xml:space="preserve">Coût mondial corrosion</w:t>
            </w:r>
          </w:p>
        </w:tc>
      </w:tr>
    </w:tbl>
    <w:p>
      <w:r>
        <w:pict>
          <v:rect style="width:0;height:1.5pt" o:hralign="center" o:hrstd="t" o:hr="t"/>
        </w:pict>
      </w:r>
    </w:p>
    <w:bookmarkEnd w:id="83"/>
    <w:bookmarkEnd w:id="84"/>
    <w:bookmarkStart w:id="93"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6" name="Picture"/>
            <a:graphic>
              <a:graphicData uri="http://schemas.openxmlformats.org/drawingml/2006/picture">
                <pic:pic>
                  <pic:nvPicPr>
                    <pic:cNvPr descr="figures/fig_ii4_pipeline.png" id="87" name="Picture"/>
                    <pic:cNvPicPr>
                      <a:picLocks noChangeArrowheads="1" noChangeAspect="1"/>
                    </pic:cNvPicPr>
                  </pic:nvPicPr>
                  <pic:blipFill>
                    <a:blip r:embed="rId85"/>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8"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8"/>
    <w:bookmarkStart w:id="89"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9"/>
    <w:bookmarkStart w:id="90"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90"/>
    <w:bookmarkStart w:id="91"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II.6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p>
      <w:pPr>
        <w:pStyle w:val="FirstParagraph"/>
      </w:pPr>
      <w:r>
        <w:t xml:space="preserve">La cible visée étant la</w:t>
      </w:r>
      <w:r>
        <w:t xml:space="preserve"> </w:t>
      </w:r>
      <w:r>
        <w:rPr>
          <w:b/>
          <w:bCs/>
        </w:rPr>
        <w:t xml:space="preserve">vitesse de corrosion stable</w:t>
      </w:r>
      <w:r>
        <w:t xml:space="preserve"> </w:t>
      </w:r>
      <w:r>
        <w:t xml:space="preserve">(et non l’emballement terminal, qui relève de la défaillance — §III.4.1), les valeurs de</w:t>
      </w:r>
      <w:r>
        <w:t xml:space="preserve"> </w:t>
      </w:r>
      <w:r>
        <w:rPr>
          <w:i/>
          <w:iCs/>
        </w:rPr>
        <w:t xml:space="preserve">CR</w:t>
      </w:r>
      <w:r>
        <w:t xml:space="preserve"> </w:t>
      </w:r>
      <w:r>
        <w:t xml:space="preserve">de la phase de pré-rupture, fortement non stationnaires, sont</w:t>
      </w:r>
      <w:r>
        <w:t xml:space="preserve"> </w:t>
      </w:r>
      <w:r>
        <w:rPr>
          <w:b/>
          <w:bCs/>
        </w:rPr>
        <w:t xml:space="preserve">écrêtées à 2 000 µm/an</w:t>
      </w:r>
      <w:r>
        <w:t xml:space="preserve">. Ce plafond est une</w:t>
      </w:r>
      <w:r>
        <w:t xml:space="preserve"> </w:t>
      </w:r>
      <w:r>
        <w:rPr>
          <w:b/>
          <w:bCs/>
        </w:rPr>
        <w:t xml:space="preserve">convention de prétraitement</w:t>
      </w:r>
      <w:r>
        <w:t xml:space="preserve"> </w:t>
      </w:r>
      <w:r>
        <w:t xml:space="preserve">documentée, destinée à empêcher les pics aberrants de cette phase de biaiser l’apprentissage du régime stationnaire ; il n’affecte pas la plage de fonctionnement nominale.</w:t>
      </w:r>
    </w:p>
    <w:bookmarkEnd w:id="91"/>
    <w:bookmarkStart w:id="92" w:name="ii.4.5.-calcul-du-rul"/>
    <w:p>
      <w:pPr>
        <w:pStyle w:val="Heading3"/>
      </w:pPr>
      <w:r>
        <w:t xml:space="preserve">II.4.5. Calcul du RUL</w:t>
      </w:r>
    </w:p>
    <w:p>
      <w:pPr>
        <w:pStyle w:val="FirstParagraph"/>
      </w:pPr>
      <w:r>
        <w:t xml:space="preserve">Le critère de fin de vie est fixé à</w:t>
      </w:r>
      <w:r>
        <w:t xml:space="preserve"> </w:t>
      </w:r>
      <w:r>
        <w:rPr>
          <w:i/>
          <w:iCs/>
        </w:rPr>
        <w:t xml:space="preserve">r</w:t>
      </w:r>
      <w:r>
        <w:t xml:space="preserve">_critique = 0,15 ×</w:t>
      </w:r>
      <w:r>
        <w:t xml:space="preserve"> </w:t>
      </w:r>
      <w:r>
        <w:rPr>
          <w:i/>
          <w:iCs/>
        </w:rPr>
        <w:t xml:space="preserve">r</w:t>
      </w:r>
      <w:r>
        <w:t xml:space="preserve">(0), soit un rayon résiduel de 15 % (≈ 98 % de section perdue) — proxy d’une section quasi nulle annonçant la rupture mécanique imminente. Cette valeur est une</w:t>
      </w:r>
      <w:r>
        <w:t xml:space="preserve"> </w:t>
      </w:r>
      <w:r>
        <w:rPr>
          <w:b/>
          <w:bCs/>
        </w:rPr>
        <w:t xml:space="preserve">convention de laboratoire</w:t>
      </w:r>
      <w:r>
        <w:t xml:space="preserve"> </w:t>
      </w:r>
      <w:r>
        <w:t xml:space="preserve">: la norme</w:t>
      </w:r>
      <w:r>
        <w:t xml:space="preserve"> </w:t>
      </w:r>
      <w:r>
        <w:rPr>
          <w:b/>
          <w:bCs/>
        </w:rPr>
        <w:t xml:space="preserve">ISO 13381-1</w:t>
      </w:r>
      <w:r>
        <w:t xml:space="preserve"> </w:t>
      </w:r>
      <w:r>
        <w:t xml:space="preserve">définit le pronostic par rapport à un « seuil de santé prédéfini » sans en imposer la valeur numérique (ISO, 2015) ; le choix de 0,15 est</w:t>
      </w:r>
      <w:r>
        <w:t xml:space="preserve"> </w:t>
      </w:r>
      <w:r>
        <w:rPr>
          <w:b/>
          <w:bCs/>
        </w:rPr>
        <w:t xml:space="preserve">provisoire</w:t>
      </w:r>
      <w:r>
        <w:t xml:space="preserve">, à recaler sur un critère mécanique (contrainte à rupture du fil) en conditions réelles. Pour les</w:t>
      </w:r>
      <w:r>
        <w:t xml:space="preserve"> </w:t>
      </w:r>
      <w:r>
        <w:rPr>
          <w:b/>
          <w:bCs/>
        </w:rPr>
        <w:t xml:space="preserve">runs RTF complets</w:t>
      </w:r>
      <w:r>
        <w:t xml:space="preserve"> </w:t>
      </w:r>
      <w:r>
        <w:t xml:space="preserve">(rupture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2"/>
    <w:bookmarkEnd w:id="93"/>
    <w:bookmarkStart w:id="99" w:name="Xa8014f60c555bd98b3c58e7b198d9c87054b6ca"/>
    <w:p>
      <w:pPr>
        <w:pStyle w:val="Heading2"/>
      </w:pPr>
      <w:r>
        <w:t xml:space="preserve">II.5. Méthodologie d’entraînement du modèle XGBoost</w:t>
      </w:r>
    </w:p>
    <w:bookmarkStart w:id="94"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Plusieurs stratégies de validation existent pour un modèle prédictif : la séparation simple</w:t>
      </w:r>
      <w:r>
        <w:t xml:space="preserve"> </w:t>
      </w:r>
      <w:r>
        <w:rPr>
          <w:i/>
          <w:iCs/>
        </w:rPr>
        <w:t xml:space="preserve">train/test</w:t>
      </w:r>
      <w:r>
        <w:t xml:space="preserve">, la validation croisée</w:t>
      </w:r>
      <w:r>
        <w:t xml:space="preserve"> </w:t>
      </w:r>
      <w:r>
        <w:rPr>
          <w:i/>
          <w:iCs/>
        </w:rPr>
        <w:t xml:space="preserve">k-fold</w:t>
      </w:r>
      <w:r>
        <w:t xml:space="preserve"> </w:t>
      </w:r>
      <w:r>
        <w:t xml:space="preserve">classique, la validation croisée temporelle</w:t>
      </w:r>
      <w:r>
        <w:t xml:space="preserve"> </w:t>
      </w:r>
      <w:r>
        <w:rPr>
          <w:i/>
          <w:iCs/>
        </w:rPr>
        <w:t xml:space="preserve">walk-forward</w:t>
      </w:r>
      <w:r>
        <w:t xml:space="preserve"> </w:t>
      </w:r>
      <w:r>
        <w:t xml:space="preserve">(</w:t>
      </w:r>
      <w:r>
        <w:rPr>
          <w:rStyle w:val="VerbatimChar"/>
        </w:rPr>
        <w:t xml:space="preserve">TimeSeriesSplit</w:t>
      </w:r>
      <w:r>
        <w:t xml:space="preserve">), et la validation</w:t>
      </w:r>
      <w:r>
        <w:t xml:space="preserve"> </w:t>
      </w:r>
      <w:r>
        <w:rPr>
          <w:i/>
          <w:iCs/>
        </w:rPr>
        <w:t xml:space="preserve">leave-one-group-out</w:t>
      </w:r>
      <w:r>
        <w:t xml:space="preserve">. Le choix dépend de la question posée.</w:t>
      </w:r>
    </w:p>
    <w:p>
      <w:pPr>
        <w:pStyle w:val="BodyText"/>
      </w:pPr>
      <w:r>
        <w:t xml:space="preserve">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à l’intérieur d’un même essai : chaque fold entraîne sur le passé et teste sur le futur, jamais l’inverse (Bergmeir et Benítez, 2012). Elle évite toute fuite temporelle mais ne renseigne que sur la prédiction</w:t>
      </w:r>
      <w:r>
        <w:t xml:space="preserve"> </w:t>
      </w:r>
      <w:r>
        <w:rPr>
          <w:i/>
          <w:iCs/>
        </w:rPr>
        <w:t xml:space="preserve">au sein</w:t>
      </w:r>
      <w:r>
        <w:t xml:space="preserve"> </w:t>
      </w:r>
      <w:r>
        <w:t xml:space="preserve">d’un run déjà observé.</w:t>
      </w:r>
    </w:p>
    <w:p>
      <w:pPr>
        <w:pStyle w:val="BodyText"/>
      </w:pPr>
      <w:r>
        <w:t xml:space="preserve">Or l’objectif industriel est la</w:t>
      </w:r>
      <w:r>
        <w:t xml:space="preserve"> </w:t>
      </w:r>
      <w:r>
        <w:rPr>
          <w:b/>
          <w:bCs/>
        </w:rPr>
        <w:t xml:space="preserve">généralisation à un essai nouveau, jamais vu</w:t>
      </w:r>
      <w:r>
        <w:t xml:space="preserve">. Dans le cadre de ce travail,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w:t>
      </w:r>
      <w:r>
        <w:t xml:space="preserve">: à chaque itération, un run complet est retiré de l’entraînement et sert exclusivement de test. Cette stratégie, plus exigeante, mesure la capacité réelle du modèle à prédire un essai indépendant — et constitue le cœur de la démonstration du Chapitre III (la fiabilité de cette généralisation dépend de la couverture des conditions, notamment thermiques, par les runs d’entraînement).</w:t>
      </w:r>
    </w:p>
    <w:bookmarkEnd w:id="94"/>
    <w:bookmarkStart w:id="95" w:name="ii.5.2.-hyperparamètres-xgboost"/>
    <w:p>
      <w:pPr>
        <w:pStyle w:val="Heading3"/>
      </w:pPr>
      <w:r>
        <w:t xml:space="preserve">II.5.2. Hyperparamètres XGBoost</w:t>
      </w:r>
    </w:p>
    <w:p>
      <w:pPr>
        <w:pStyle w:val="TableCaption"/>
        <w:jc w:val="center"/>
      </w:pPr>
      <w:r>
        <w:rPr>
          <w:b/>
          <w:bCs/>
        </w:rPr>
        <w:t xml:space="preserve">Tableau II.7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5"/>
    <w:bookmarkStart w:id="96"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6"/>
    <w:bookmarkStart w:id="97"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7"/>
    <w:bookmarkStart w:id="98"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Le diagnostic d’un régime peut s’appuyer sur diverses approches : règles métier explicites, classification supervisée (XGBoost classifieur) ou détection non-supervisée d’anomalies (Isolation Forest). Dans le cadre de ce travail, nous retenons une</w:t>
      </w:r>
      <w:r>
        <w:t xml:space="preserve"> </w:t>
      </w:r>
      <w:r>
        <w:rPr>
          <w:b/>
          <w:bCs/>
        </w:rPr>
        <w:t xml:space="preserve">approche par règles métier explicables</w:t>
      </w:r>
      <w:r>
        <w:t xml:space="preserve">, simple à valider, transparente pour le jury et les utilisateurs industriels — les approches ML de classification étant envisagées en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w:t>
      </w:r>
      <w:r>
        <w:t xml:space="preserve"> </w:t>
      </w:r>
      <w:r>
        <w:rPr>
          <w:b/>
          <w:bCs/>
        </w:rPr>
        <w:t xml:space="preserve">calibrés sur les distributions observées</w:t>
      </w:r>
      <w:r>
        <w:t xml:space="preserve"> </w:t>
      </w:r>
      <w:r>
        <w:t xml:space="preserve">dans les runs de référence, conformément au principe de « seuil de santé prédéfini » de l’</w:t>
      </w:r>
      <w:r>
        <w:rPr>
          <w:b/>
          <w:bCs/>
        </w:rPr>
        <w:t xml:space="preserve">ISO 13381-1</w:t>
      </w:r>
      <w:r>
        <w:t xml:space="preserve"> </w:t>
      </w:r>
      <w:r>
        <w:t xml:space="preserve">(ISO, 2015). Ils constituent à ce stade une</w:t>
      </w:r>
      <w:r>
        <w:t xml:space="preserve"> </w:t>
      </w:r>
      <w:r>
        <w:rPr>
          <w:b/>
          <w:bCs/>
        </w:rPr>
        <w:t xml:space="preserve">convention de laboratoire provisoire</w:t>
      </w:r>
      <w:r>
        <w:t xml:space="preserve">, à consolider sur un volume d’essais accru. Le seuil de pré-rupture (</w:t>
      </w:r>
      <w:r>
        <w:rPr>
          <w:i/>
          <w:iCs/>
        </w:rPr>
        <w:t xml:space="preserve">RUL</w:t>
      </w:r>
      <w:r>
        <w:t xml:space="preserve"> </w:t>
      </w:r>
      <w:r>
        <w:t xml:space="preserve">&lt; 12 h) est un</w:t>
      </w:r>
      <w:r>
        <w:t xml:space="preserve"> </w:t>
      </w:r>
      <w:r>
        <w:rPr>
          <w:b/>
          <w:bCs/>
        </w:rPr>
        <w:t xml:space="preserve">objectif de conception</w:t>
      </w:r>
      <w:r>
        <w:t xml:space="preserve"> </w:t>
      </w:r>
      <w:r>
        <w:t xml:space="preserve">— l’horizon d’anticipation visé pour déclencher une intervention —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8"/>
    <w:bookmarkEnd w:id="99"/>
    <w:bookmarkStart w:id="104" w:name="X8f2c3d1b22491317b619a97563f1a03b47db684"/>
    <w:p>
      <w:pPr>
        <w:pStyle w:val="Heading2"/>
      </w:pPr>
      <w:r>
        <w:t xml:space="preserve">II.6. Protocole expérimental run-to-failure</w:t>
      </w:r>
    </w:p>
    <w:bookmarkStart w:id="100" w:name="ii.6.1.-justification-du-protocole-rtf"/>
    <w:p>
      <w:pPr>
        <w:pStyle w:val="Heading3"/>
      </w:pPr>
      <w:r>
        <w:t xml:space="preserve">II.6.1. Justification du protocole RTF</w:t>
      </w:r>
    </w:p>
    <w:p>
      <w:pPr>
        <w:pStyle w:val="FirstParagraph"/>
      </w:pPr>
      <w:r>
        <w:t xml:space="preserve">Plusieurs protocoles permettent d’étudier la corrosion d’un métal : les</w:t>
      </w:r>
      <w:r>
        <w:t xml:space="preserve"> </w:t>
      </w:r>
      <w:r>
        <w:rPr>
          <w:b/>
          <w:bCs/>
        </w:rPr>
        <w:t xml:space="preserve">essais électrochimiques</w:t>
      </w:r>
      <w:r>
        <w:t xml:space="preserve"> </w:t>
      </w:r>
      <w:r>
        <w:t xml:space="preserve">(polarisation, spectroscopie d’impédance EIS), la</w:t>
      </w:r>
      <w:r>
        <w:t xml:space="preserve"> </w:t>
      </w:r>
      <w:r>
        <w:rPr>
          <w:b/>
          <w:bCs/>
        </w:rPr>
        <w:t xml:space="preserve">perte de masse</w:t>
      </w:r>
      <w:r>
        <w:t xml:space="preserve"> </w:t>
      </w:r>
      <w:r>
        <w:t xml:space="preserve">par immersion sur durée fixe, et les essais</w:t>
      </w:r>
      <w:r>
        <w:t xml:space="preserve"> </w:t>
      </w:r>
      <w:r>
        <w:rPr>
          <w:b/>
          <w:bCs/>
        </w:rPr>
        <w:t xml:space="preserve">run-to-failure (RTF)</w:t>
      </w:r>
      <w:r>
        <w:t xml:space="preserve"> </w:t>
      </w:r>
      <w:r>
        <w:t xml:space="preserve">où l’échantillon est suivi en continu jusqu’à sa rupture. Les essais électrochimiques fournissent des grandeurs instantanées mais nécessitent un instrument coûteux ; la perte de masse est simple mais ne donne qu’une vitesse moyenne, sans dynamique temporelle ni événement de défaillance.</w:t>
      </w:r>
    </w:p>
    <w:p>
      <w:pPr>
        <w:pStyle w:val="BodyText"/>
      </w:pPr>
      <w:r>
        <w:t xml:space="preserve">Dans le cadre de ce travail, nous retenons le protocole</w:t>
      </w:r>
      <w:r>
        <w:t xml:space="preserve"> </w:t>
      </w:r>
      <w:r>
        <w:rPr>
          <w:b/>
          <w:bCs/>
        </w:rPr>
        <w:t xml:space="preserve">run-to-failure (RTF)</w:t>
      </w:r>
      <w:r>
        <w:t xml:space="preserve">, car il est le seul à constituer un jeu d’apprentissage couvrant l’intégralité du cycle de dégradation — de l’état initial jusqu’à la rupture — et à fournir un</w:t>
      </w:r>
      <w:r>
        <w:t xml:space="preserve"> </w:t>
      </w:r>
      <w:r>
        <w:rPr>
          <w:b/>
          <w:bCs/>
        </w:rPr>
        <w:t xml:space="preserve">événement de défaillance réellement observé</w:t>
      </w:r>
      <w:r>
        <w:t xml:space="preserve">, indispensable à l’apprentissage de la prédiction de durée de vie résiduelle (RUL). Ce choix est conforme à l’esprit de la norme</w:t>
      </w:r>
      <w:r>
        <w:t xml:space="preserve"> </w:t>
      </w:r>
      <w:r>
        <w:rPr>
          <w:b/>
          <w:bCs/>
        </w:rPr>
        <w:t xml:space="preserve">ISO 13381-1 :2015</w:t>
      </w:r>
      <w:r>
        <w:t xml:space="preserve"> </w:t>
      </w:r>
      <w:r>
        <w:t xml:space="preserve">sur la maintenance prévisionnelle (ISO, 2015 ; Akash, 2024).</w:t>
      </w:r>
    </w:p>
    <w:bookmarkEnd w:id="100"/>
    <w:bookmarkStart w:id="101"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bain-marie thermostaté,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1"/>
    <w:bookmarkStart w:id="102"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w:t>
      </w:r>
      <w:r>
        <w:t xml:space="preserve"> </w:t>
      </w:r>
      <w:r>
        <w:t xml:space="preserve">: nettoyage du récipient, découpe d’un fil de fer neuf, nettoyage, séchage,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mise en route du bain-marie thermostaté et stabilisation à la consigne</w:t>
      </w:r>
      <w:r>
        <w:t xml:space="preserve"> </w:t>
      </w:r>
      <w:r>
        <w:rPr>
          <w:b/>
          <w:bCs/>
        </w:rPr>
        <w:t xml:space="preserve">avant</w:t>
      </w:r>
      <w:r>
        <w:t xml:space="preserve"> </w:t>
      </w:r>
      <w:r>
        <w:t xml:space="preserve">immersion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bain avant immersion ; (ii) l’</w:t>
      </w:r>
      <w:r>
        <w:rPr>
          <w:b/>
          <w:bCs/>
        </w:rPr>
        <w:t xml:space="preserve">emploi d’acide frais immergé sans délai</w:t>
      </w:r>
      <w:r>
        <w:t xml:space="preserve">, l’exposition prolongée de l’acide à l’air abaissant sa concentration par volatilisation du HCl.</w:t>
      </w:r>
    </w:p>
    <w:bookmarkEnd w:id="102"/>
    <w:bookmarkStart w:id="103"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rPr>
          <w:b/>
          <w:bCs/>
        </w:rPr>
        <w:t xml:space="preserve">Provenance et statut de ces seuils (important).</w:t>
      </w:r>
      <w:r>
        <w:t xml:space="preserve"> </w:t>
      </w:r>
      <w:r>
        <w:t xml:space="preserve">Les valeurs de</w:t>
      </w:r>
      <w:r>
        <w:t xml:space="preserve"> </w:t>
      </w:r>
      <w:r>
        <w:rPr>
          <w:i/>
          <w:iCs/>
        </w:rPr>
        <w:t xml:space="preserve">CR</w:t>
      </w:r>
      <w:r>
        <w:t xml:space="preserve"> </w:t>
      </w:r>
      <w:r>
        <w:t xml:space="preserve">ci-dessus constituent un</w:t>
      </w:r>
      <w:r>
        <w:t xml:space="preserve"> </w:t>
      </w:r>
      <w:r>
        <w:rPr>
          <w:b/>
          <w:bCs/>
        </w:rPr>
        <w:t xml:space="preserve">cadre cible industriel illustratif</w:t>
      </w:r>
      <w:r>
        <w:t xml:space="preserve">, destiné à un acier de pipeline ; elles ne sont</w:t>
      </w:r>
      <w:r>
        <w:t xml:space="preserve"> </w:t>
      </w:r>
      <w:r>
        <w:rPr>
          <w:b/>
          <w:bCs/>
        </w:rPr>
        <w:t xml:space="preserve">ni des bandes normatives NACE, ni les seuils opérationnels du prototype</w:t>
      </w:r>
      <w:r>
        <w:t xml:space="preserve">. À titre de référence normative, la norme</w:t>
      </w:r>
      <w:r>
        <w:t xml:space="preserve"> </w:t>
      </w:r>
      <w:r>
        <w:rPr>
          <w:b/>
          <w:bCs/>
        </w:rPr>
        <w:t xml:space="preserve">NACE/AMPP SP0775</w:t>
      </w:r>
      <w:r>
        <w:t xml:space="preserve"> </w:t>
      </w:r>
      <w:r>
        <w:t xml:space="preserve">classe la sévérité de corrosion de l’acier au carbone en bandes faible / modérée / élevée / sévère aux alentours de 0,025 / 0,12 / 0,25 mm/an (AMPP, 2023) — c’est sur ces bandes qu’un déploiement réel devra être recalibré. Le</w:t>
      </w:r>
      <w:r>
        <w:t xml:space="preserve"> </w:t>
      </w:r>
      <w:r>
        <w:rPr>
          <w:b/>
          <w:bCs/>
        </w:rPr>
        <w:t xml:space="preserve">prototype de laboratoire</w:t>
      </w:r>
      <w:r>
        <w:t xml:space="preserv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w:t>
      </w:r>
      <w:r>
        <w:t xml:space="preserve"> </w:t>
      </w:r>
      <w:r>
        <w:rPr>
          <w:b/>
          <w:bCs/>
        </w:rPr>
        <w:t xml:space="preserve">section perdue (%)</w:t>
      </w:r>
      <w:r>
        <w:t xml:space="preserve"> </w:t>
      </w:r>
      <w:r>
        <w:t xml:space="preserve">et le</w:t>
      </w:r>
      <w:r>
        <w:t xml:space="preserve"> </w:t>
      </w:r>
      <w:r>
        <w:rPr>
          <w:b/>
          <w:bCs/>
        </w:rPr>
        <w:t xml:space="preserve">RUL (h)</w:t>
      </w:r>
      <w:r>
        <w:t xml:space="preserve"> </w:t>
      </w:r>
      <w:r>
        <w:t xml:space="preserve">(§III.4.3), grandeurs intrinsèques indépendantes de l’échelle de</w:t>
      </w:r>
      <w:r>
        <w:t xml:space="preserve"> </w:t>
      </w:r>
      <w:r>
        <w:rPr>
          <w:i/>
          <w:iCs/>
        </w:rPr>
        <w:t xml:space="preserve">CR</w:t>
      </w:r>
      <w:r>
        <w:t xml:space="preserve">. Ces seuils opérationnels sont</w:t>
      </w:r>
      <w:r>
        <w:t xml:space="preserve"> </w:t>
      </w:r>
      <w:r>
        <w:rPr>
          <w:b/>
          <w:bCs/>
        </w:rPr>
        <w:t xml:space="preserve">provisoires</w:t>
      </w:r>
      <w:r>
        <w:t xml:space="preserve">, calibrés sur les essais de référence et à consolider (§III.6.4).</w:t>
      </w:r>
    </w:p>
    <w:p>
      <w:r>
        <w:pict>
          <v:rect style="width:0;height:1.5pt" o:hralign="center" o:hrstd="t" o:hr="t"/>
        </w:pict>
      </w:r>
    </w:p>
    <w:bookmarkEnd w:id="103"/>
    <w:bookmarkEnd w:id="104"/>
    <w:bookmarkStart w:id="114" w:name="X358e7e995ad73683a6412031f4f03c34e5efee7"/>
    <w:p>
      <w:pPr>
        <w:pStyle w:val="Heading2"/>
      </w:pPr>
      <w:r>
        <w:t xml:space="preserve">II.7. Architecture d’intégration au CMMS open-source par API REST (OS4)</w:t>
      </w:r>
    </w:p>
    <w:bookmarkStart w:id="105" w:name="Xe49dc64037f9edcd58a9084f4edb98caa6e231e"/>
    <w:p>
      <w:pPr>
        <w:pStyle w:val="Heading3"/>
      </w:pPr>
      <w:r>
        <w:t xml:space="preserve">II.7.1. Choix d’architecture : intégration plutôt que développement</w:t>
      </w:r>
      <w:r>
        <w:t xml:space="preserve"> </w:t>
      </w:r>
      <w:r>
        <w:rPr>
          <w:i/>
          <w:iCs/>
        </w:rPr>
        <w:t xml:space="preserve">ex nihilo</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une GMAO complète</w:t>
      </w:r>
      <w:r>
        <w:rPr>
          <w:b/>
          <w:bCs/>
        </w:rPr>
        <w:t xml:space="preserve"> </w:t>
      </w:r>
      <w:r>
        <w:rPr>
          <w:b/>
          <w:bCs/>
          <w:i/>
          <w:iCs/>
        </w:rPr>
        <w:t xml:space="preserve">ex nihilo</w:t>
      </w:r>
      <w:r>
        <w:t xml:space="preserve"> </w:t>
      </w:r>
      <w:r>
        <w:t xml:space="preserve">(stack Supabase + Next.js + Vercel) couvrant gestion d’actifs, ordres de travail, KPIs maintenance ;</w:t>
      </w:r>
    </w:p>
    <w:p>
      <w:pPr>
        <w:pStyle w:val="Compact"/>
        <w:numPr>
          <w:ilvl w:val="0"/>
          <w:numId w:val="1028"/>
        </w:numPr>
      </w:pPr>
      <w:r>
        <w:rPr>
          <w:b/>
          <w:bCs/>
        </w:rPr>
        <w:t xml:space="preserve">(B) Réutiliser un CMMS open-source mature</w:t>
      </w:r>
      <w:r>
        <w:t xml:space="preserve"> </w:t>
      </w:r>
      <w:r>
        <w:t xml:space="preserve">et y connecter, par API REST, l’application web Streamlit servant de frontend ML et de dashboard temps réel.</w:t>
      </w:r>
    </w:p>
    <w:p>
      <w:pPr>
        <w:pStyle w:val="FirstParagraph"/>
      </w:pPr>
      <w:r>
        <w:t xml:space="preserve">L’approche</w:t>
      </w:r>
      <w:r>
        <w:t xml:space="preserve"> </w:t>
      </w:r>
      <w:r>
        <w:rPr>
          <w:b/>
          <w:bCs/>
        </w:rPr>
        <w:t xml:space="preserve">(B) a été retenue</w:t>
      </w:r>
      <w:r>
        <w:t xml:space="preserve"> </w:t>
      </w:r>
      <w:r>
        <w:t xml:space="preserve">pour les raisons suivantes :</w:t>
      </w:r>
    </w:p>
    <w:p>
      <w:pPr>
        <w:pStyle w:val="Compact"/>
        <w:numPr>
          <w:ilvl w:val="0"/>
          <w:numId w:val="1029"/>
        </w:numPr>
      </w:pPr>
      <w:r>
        <w:rPr>
          <w:b/>
          <w:bCs/>
        </w:rPr>
        <w:t xml:space="preserve">Maturité fonctionnelle</w:t>
      </w:r>
      <w:r>
        <w:t xml:space="preserve"> </w:t>
      </w:r>
      <w:r>
        <w:t xml:space="preserve">: un CMMS open-source mature (GLPI compte plus de 20 ans de développement, plus de 200 contributeurs, des modules Tickets / Problems / Changes natifs) couvre dès l’installation un périmètre fonctionnel qui demanderait plusieurs mois de développement</w:t>
      </w:r>
      <w:r>
        <w:t xml:space="preserve"> </w:t>
      </w:r>
      <w:r>
        <w:rPr>
          <w:i/>
          <w:iCs/>
        </w:rPr>
        <w:t xml:space="preserve">ex nihilo</w:t>
      </w:r>
      <w:r>
        <w:t xml:space="preserve"> </w:t>
      </w:r>
      <w:r>
        <w:t xml:space="preserve">;</w:t>
      </w:r>
    </w:p>
    <w:p>
      <w:pPr>
        <w:pStyle w:val="Compact"/>
        <w:numPr>
          <w:ilvl w:val="0"/>
          <w:numId w:val="1029"/>
        </w:numPr>
      </w:pPr>
      <w:r>
        <w:rPr>
          <w:b/>
          <w:bCs/>
        </w:rPr>
        <w:t xml:space="preserve">Pragmatisme industriel</w:t>
      </w:r>
      <w:r>
        <w:t xml:space="preserve"> </w:t>
      </w:r>
      <w:r>
        <w:t xml:space="preserve">: démontrer une approche d’intégration est plus pertinent pour un mémoire de Master en Maintenance Industrielle qu’un développement</w:t>
      </w:r>
      <w:r>
        <w:t xml:space="preserve"> </w:t>
      </w:r>
      <w:r>
        <w:rPr>
          <w:i/>
          <w:iCs/>
        </w:rPr>
        <w:t xml:space="preserve">not-invented-here</w:t>
      </w:r>
      <w:r>
        <w:t xml:space="preserve"> </w:t>
      </w:r>
      <w:r>
        <w:t xml:space="preserve">— c’est précisément ce que ferait un ingénieur en entreprise face à une contrainte budgétaire ;</w:t>
      </w:r>
    </w:p>
    <w:p>
      <w:pPr>
        <w:pStyle w:val="Compact"/>
        <w:numPr>
          <w:ilvl w:val="0"/>
          <w:numId w:val="1029"/>
        </w:numPr>
      </w:pPr>
      <w:r>
        <w:rPr>
          <w:b/>
          <w:bCs/>
        </w:rPr>
        <w:t xml:space="preserve">Transposabilité</w:t>
      </w:r>
      <w:r>
        <w:t xml:space="preserve"> </w:t>
      </w:r>
      <w:r>
        <w:t xml:space="preserve">: l’architecture d’intégration (Streamlit ↔ REST API ↔ CMMS) est reproductible quel que soit le CMMS retenu par l’opérateur (GLPI chez l’un, OpenMaint chez l’autre, Snipe-IT chez un troisième) ;</w:t>
      </w:r>
    </w:p>
    <w:p>
      <w:pPr>
        <w:pStyle w:val="Compact"/>
        <w:numPr>
          <w:ilvl w:val="0"/>
          <w:numId w:val="1029"/>
        </w:numPr>
      </w:pPr>
      <w:r>
        <w:rPr>
          <w:b/>
          <w:bCs/>
        </w:rPr>
        <w:t xml:space="preserve">Compatibilité COTCO</w:t>
      </w:r>
      <w:r>
        <w:t xml:space="preserve"> </w:t>
      </w:r>
      <w:r>
        <w:t xml:space="preserve">: un CMMS auto-hébergeable (on-premise) est compatible avec les contraintes de sécurité industrielle (réseau OT isolé, pas de cloud public) — ce qui n’est pas le cas de Supabase + Vercel.</w:t>
      </w:r>
    </w:p>
    <w:bookmarkEnd w:id="105"/>
    <w:bookmarkStart w:id="106" w:name="X873e9712944516e59d3f156fb9139b734617e3b"/>
    <w:p>
      <w:pPr>
        <w:pStyle w:val="Heading3"/>
      </w:pPr>
      <w:r>
        <w:t xml:space="preserve">II.7.2. Matrice comparative des CMMS open-source candidats</w:t>
      </w:r>
    </w:p>
    <w:p>
      <w:pPr>
        <w:pStyle w:val="TableCaption"/>
        <w:jc w:val="center"/>
      </w:pPr>
      <w:r>
        <w:rPr>
          <w:b/>
          <w:bCs/>
        </w:rPr>
        <w:t xml:space="preserve">Tableau II.11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 native, OAuth2</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rPr>
                <w:b/>
                <w:bCs/>
              </w:rPr>
              <w:t xml:space="preserve">Retenu (priorité)</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Choix retenu : GLPI</w:t>
      </w:r>
      <w:r>
        <w:t xml:space="preserve"> </w:t>
      </w:r>
      <w:r>
        <w:t xml:space="preserve">— meilleure couverture fonctionnelle, API REST native documentée, communauté francophone active, déployable on-premise.</w:t>
      </w:r>
    </w:p>
    <w:bookmarkEnd w:id="106"/>
    <w:bookmarkStart w:id="107" w:name="X0a8739849a0b901515e810b8ddb928a83aa71ab"/>
    <w:p>
      <w:pPr>
        <w:pStyle w:val="Heading3"/>
      </w:pPr>
      <w:r>
        <w:t xml:space="preserve">II.7.3. Stack technologique de la chaîne intégrée</w:t>
      </w:r>
    </w:p>
    <w:p>
      <w:pPr>
        <w:pStyle w:val="TableCaption"/>
        <w:jc w:val="center"/>
      </w:pPr>
      <w:r>
        <w:rPr>
          <w:b/>
          <w:bCs/>
        </w:rPr>
        <w:t xml:space="preserve">Tableau II.12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w:t>
            </w:r>
          </w:p>
        </w:tc>
        <w:tc>
          <w:tcPr/>
          <w:p>
            <w:pPr>
              <w:pStyle w:val="Compact"/>
            </w:pPr>
            <w:r>
              <w:t xml:space="preserve">SQLite (intégré Streamlit)</w:t>
            </w:r>
          </w:p>
        </w:tc>
        <w:tc>
          <w:tcPr/>
          <w:p>
            <w:pPr>
              <w:pStyle w:val="Compact"/>
            </w:pPr>
            <w:r>
              <w:t xml:space="preserve">Persistance time-series + sorties ML</w:t>
            </w:r>
          </w:p>
        </w:tc>
        <w:tc>
          <w:tcPr/>
          <w:p>
            <w:pPr>
              <w:pStyle w:val="Compact"/>
            </w:pPr>
            <w:r>
              <w:t xml:space="preserve">Gratuit</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CMMS open-source</w:t>
            </w:r>
          </w:p>
        </w:tc>
        <w:tc>
          <w:tcPr/>
          <w:p>
            <w:pPr>
              <w:pStyle w:val="Compact"/>
            </w:pPr>
            <w:r>
              <w:rPr>
                <w:b/>
                <w:bCs/>
              </w:rPr>
              <w:t xml:space="preserve">GLPI</w:t>
            </w:r>
            <w:r>
              <w:t xml:space="preserve"> </w:t>
            </w:r>
            <w:r>
              <w:t xml:space="preserve">(PHP/MariaDB)</w:t>
            </w:r>
          </w:p>
        </w:tc>
        <w:tc>
          <w:tcPr/>
          <w:p>
            <w:pPr>
              <w:pStyle w:val="Compact"/>
            </w:pPr>
            <w:r>
              <w:t xml:space="preserve">Tickets, OT, KPIs maintenance</w:t>
            </w:r>
          </w:p>
        </w:tc>
        <w:tc>
          <w:tcPr/>
          <w:p>
            <w:pPr>
              <w:pStyle w:val="Compact"/>
            </w:pPr>
            <w:r>
              <w:t xml:space="preserve">Gratuit (auto-hébergé)</w:t>
            </w:r>
          </w:p>
        </w:tc>
      </w:tr>
      <w:tr>
        <w:tc>
          <w:tcPr/>
          <w:p>
            <w:pPr>
              <w:pStyle w:val="Compact"/>
            </w:pPr>
            <w:r>
              <w:t xml:space="preserve">Couche d’intégration</w:t>
            </w:r>
          </w:p>
        </w:tc>
        <w:tc>
          <w:tcPr/>
          <w:p>
            <w:pPr>
              <w:pStyle w:val="Compact"/>
            </w:pPr>
            <w:r>
              <w:rPr>
                <w:b/>
                <w:bCs/>
              </w:rPr>
              <w:t xml:space="preserve">API REST GLPI</w:t>
            </w:r>
            <w:r>
              <w:t xml:space="preserve"> </w:t>
            </w:r>
            <w:r>
              <w:t xml:space="preserve">(HTTP/JSON)</w:t>
            </w:r>
          </w:p>
        </w:tc>
        <w:tc>
          <w:tcPr/>
          <w:p>
            <w:pPr>
              <w:pStyle w:val="Compact"/>
            </w:pPr>
            <w:r>
              <w:t xml:space="preserve">Création automatique de tickets</w:t>
            </w:r>
          </w:p>
        </w:tc>
        <w:tc>
          <w:tcPr/>
          <w:p>
            <w:pPr>
              <w:pStyle w:val="Compact"/>
            </w:pPr>
            <w:r>
              <w:t xml:space="preserve">Gratuit</w:t>
            </w:r>
          </w:p>
        </w:tc>
      </w:tr>
      <w:tr>
        <w:tc>
          <w:tcPr/>
          <w:p>
            <w:pPr>
              <w:pStyle w:val="Compact"/>
            </w:pPr>
            <w:r>
              <w:t xml:space="preserve">Communication ESP32 → Streamlit</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GLPI Project (2024) ; XGBoost Documentation (Chen et Guestrin, 2016).</w:t>
      </w:r>
    </w:p>
    <w:bookmarkEnd w:id="107"/>
    <w:bookmarkStart w:id="111" w:name="X3074847b1602fc8740aedbd5f3227b4dd48acd3"/>
    <w:p>
      <w:pPr>
        <w:pStyle w:val="Heading3"/>
      </w:pPr>
      <w:r>
        <w:t xml:space="preserve">II.7.4. Architecture de la boucle complète intégrée</w:t>
      </w:r>
    </w:p>
    <w:p>
      <w:pPr>
        <w:pStyle w:val="CaptionedFigure"/>
        <w:jc w:val="center"/>
      </w:pPr>
      <w:r>
        <w:drawing>
          <wp:inline>
            <wp:extent cx="4460240" cy="5723041"/>
            <wp:effectExtent b="0" l="0" r="0" t="0"/>
            <wp:docPr descr="Figure II.1 — Architecture de la boucle intégrée Sonde ER → Supabase → Streamlit → CMMS open-source" title="" id="109" name="Picture"/>
            <a:graphic>
              <a:graphicData uri="http://schemas.openxmlformats.org/drawingml/2006/picture">
                <pic:pic>
                  <pic:nvPicPr>
                    <pic:cNvPr descr="figures/fig_ii1_architecture.png" id="110" name="Picture"/>
                    <pic:cNvPicPr>
                      <a:picLocks noChangeArrowheads="1" noChangeAspect="1"/>
                    </pic:cNvPicPr>
                  </pic:nvPicPr>
                  <pic:blipFill>
                    <a:blip r:embed="rId108"/>
                    <a:stretch>
                      <a:fillRect/>
                    </a:stretch>
                  </pic:blipFill>
                  <pic:spPr bwMode="auto">
                    <a:xfrm>
                      <a:off x="0" y="0"/>
                      <a:ext cx="4460240" cy="5723041"/>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 CMMS open-source</w:t>
      </w:r>
    </w:p>
    <w:bookmarkEnd w:id="111"/>
    <w:bookmarkStart w:id="112" w:name="X7b4697db37a967a1cc93fab82402694227ed967"/>
    <w:p>
      <w:pPr>
        <w:pStyle w:val="Heading3"/>
      </w:pPr>
      <w:r>
        <w:t xml:space="preserve">II.7.5. Mapping prédiction ML → ticket CMMS</w:t>
      </w:r>
    </w:p>
    <w:p>
      <w:pPr>
        <w:pStyle w:val="FirstParagraph"/>
      </w:pPr>
      <w:r>
        <w:t xml:space="preserve">Le tableau ci-dessous décrit le mapping entre les sorties du pipeline ML et les champs d’un ticket GLPI créé automatiquement :</w:t>
      </w:r>
    </w:p>
    <w:p>
      <w:pPr>
        <w:pStyle w:val="TableCaption"/>
        <w:jc w:val="center"/>
      </w:pPr>
      <w:r>
        <w:rPr>
          <w:b/>
          <w:bCs/>
        </w:rPr>
        <w:t xml:space="preserve">Tableau II.13 — Mapping des champs prédiction ML → ticket GLPI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ticket GLPI</w:t>
            </w:r>
          </w:p>
        </w:tc>
        <w:tc>
          <w:tcPr/>
          <w:p>
            <w:pPr>
              <w:pStyle w:val="Compact"/>
            </w:pPr>
            <w:r>
              <w:t xml:space="preserve">Source dans la prédiction ML</w:t>
            </w:r>
          </w:p>
        </w:tc>
        <w:tc>
          <w:tcPr/>
          <w:p>
            <w:pPr>
              <w:pStyle w:val="Compact"/>
            </w:pPr>
            <w:r>
              <w:t xml:space="preserve">Exemple</w:t>
            </w:r>
          </w:p>
        </w:tc>
      </w:tr>
      <w:tr>
        <w:tc>
          <w:tcPr/>
          <w:p>
            <w:pPr>
              <w:pStyle w:val="Compact"/>
            </w:pPr>
            <w:r>
              <w:rPr>
                <w:rStyle w:val="VerbatimChar"/>
              </w:rPr>
              <w:t xml:space="preserve">name</w:t>
            </w:r>
            <w:r>
              <w:t xml:space="preserve"> </w:t>
            </w:r>
            <w:r>
              <w:t xml:space="preserve">(titre)</w:t>
            </w:r>
          </w:p>
        </w:tc>
        <w:tc>
          <w:tcPr/>
          <w:p>
            <w:pPr>
              <w:pStyle w:val="Compact"/>
            </w:pPr>
            <w:r>
              <w:t xml:space="preserve">Concaténation</w:t>
            </w:r>
            <w:r>
              <w:t xml:space="preserve"> </w:t>
            </w:r>
            <w:r>
              <w:rPr>
                <w:rStyle w:val="VerbatimChar"/>
              </w:rPr>
              <w:t xml:space="preserve">asset.nom</w:t>
            </w:r>
            <w:r>
              <w:t xml:space="preserve"> </w:t>
            </w:r>
            <w:r>
              <w:t xml:space="preserve">+ diagnostic</w:t>
            </w:r>
          </w:p>
        </w:tc>
        <w:tc>
          <w:tcPr/>
          <w:p>
            <w:pPr>
              <w:pStyle w:val="Compact"/>
            </w:pPr>
            <w:r>
              <w:t xml:space="preserve">“Pipeline-Komé-Sect-12 — Corrosion accélérée détectée”</w:t>
            </w:r>
          </w:p>
        </w:tc>
      </w:tr>
      <w:tr>
        <w:tc>
          <w:tcPr/>
          <w:p>
            <w:pPr>
              <w:pStyle w:val="Compact"/>
            </w:pPr>
            <w:r>
              <w:rPr>
                <w:rStyle w:val="VerbatimChar"/>
              </w:rPr>
              <w:t xml:space="preserve">urgency</w:t>
            </w:r>
          </w:p>
        </w:tc>
        <w:tc>
          <w:tcPr/>
          <w:p>
            <w:pPr>
              <w:pStyle w:val="Compact"/>
            </w:pPr>
            <w:r>
              <w:t xml:space="preserve">Niveau d’alerte (vert=1, orange=3, rouge=5)</w:t>
            </w:r>
          </w:p>
        </w:tc>
        <w:tc>
          <w:tcPr/>
          <w:p>
            <w:pPr>
              <w:pStyle w:val="Compact"/>
            </w:pPr>
            <w:r>
              <w:t xml:space="preserve">5</w:t>
            </w:r>
          </w:p>
        </w:tc>
      </w:tr>
      <w:tr>
        <w:tc>
          <w:tcPr/>
          <w:p>
            <w:pPr>
              <w:pStyle w:val="Compact"/>
            </w:pPr>
            <w:r>
              <w:rPr>
                <w:rStyle w:val="VerbatimChar"/>
              </w:rP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rPr>
                <w:rStyle w:val="VerbatimChar"/>
              </w:rPr>
              <w:t xml:space="preserve">priority</w:t>
            </w:r>
          </w:p>
        </w:tc>
        <w:tc>
          <w:tcPr/>
          <w:p>
            <w:pPr>
              <w:pStyle w:val="Compact"/>
            </w:pPr>
            <w:r>
              <w:t xml:space="preserve">Calcul GLPI = f(urgency, impact)</w:t>
            </w:r>
          </w:p>
        </w:tc>
        <w:tc>
          <w:tcPr/>
          <w:p>
            <w:pPr>
              <w:pStyle w:val="Compact"/>
            </w:pPr>
            <w:r>
              <w:t xml:space="preserve">“Très haute”</w:t>
            </w:r>
          </w:p>
        </w:tc>
      </w:tr>
      <w:tr>
        <w:tc>
          <w:tcPr/>
          <w:p>
            <w:pPr>
              <w:pStyle w:val="Compact"/>
            </w:pPr>
            <w:r>
              <w:rPr>
                <w:rStyle w:val="VerbatimChar"/>
              </w:rPr>
              <w:t xml:space="preserve">content</w:t>
            </w:r>
            <w:r>
              <w:t xml:space="preserve"> </w:t>
            </w: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rPr>
                <w:rStyle w:val="VerbatimChar"/>
              </w:rPr>
              <w:t xml:space="preserve">entities_id</w:t>
            </w:r>
          </w:p>
        </w:tc>
        <w:tc>
          <w:tcPr/>
          <w:p>
            <w:pPr>
              <w:pStyle w:val="Compact"/>
            </w:pPr>
            <w:r>
              <w:t xml:space="preserve">Asset surveillé (entité GLPI)</w:t>
            </w:r>
          </w:p>
        </w:tc>
        <w:tc>
          <w:tcPr/>
          <w:p>
            <w:pPr>
              <w:pStyle w:val="Compact"/>
            </w:pPr>
            <w:r>
              <w:t xml:space="preserve">ID de la section pipeline</w:t>
            </w:r>
          </w:p>
        </w:tc>
      </w:tr>
      <w:tr>
        <w:tc>
          <w:tcPr/>
          <w:p>
            <w:pPr>
              <w:pStyle w:val="Compact"/>
            </w:pPr>
            <w:r>
              <w:rPr>
                <w:rStyle w:val="VerbatimChar"/>
              </w:rPr>
              <w:t xml:space="preserve">itilcategories_id</w:t>
            </w:r>
          </w:p>
        </w:tc>
        <w:tc>
          <w:tcPr/>
          <w:p>
            <w:pPr>
              <w:pStyle w:val="Compact"/>
            </w:pPr>
            <w:r>
              <w:t xml:space="preserve">Catégorie « Corrosion »</w:t>
            </w:r>
          </w:p>
        </w:tc>
        <w:tc>
          <w:tcPr/>
          <w:p>
            <w:pPr>
              <w:pStyle w:val="Compact"/>
            </w:pPr>
            <w:r>
              <w:t xml:space="preserve">ID GLPI catégorie</w:t>
            </w:r>
          </w:p>
        </w:tc>
      </w:tr>
      <w:tr>
        <w:tc>
          <w:tcPr/>
          <w:p>
            <w:pPr>
              <w:pStyle w:val="Compact"/>
            </w:pPr>
            <w:r>
              <w:rPr>
                <w:rStyle w:val="VerbatimChar"/>
              </w:rPr>
              <w:t xml:space="preserve">_users_id_assign</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L’appel API se fait depuis l’application Streamlit en Python via la librairie</w:t>
      </w:r>
      <w:r>
        <w:t xml:space="preserve"> </w:t>
      </w:r>
      <w:r>
        <w:rPr>
          <w:rStyle w:val="VerbatimChar"/>
        </w:rPr>
        <w:t xml:space="preserve">requests</w:t>
      </w:r>
      <w:r>
        <w:t xml:space="preserve"> </w:t>
      </w:r>
      <w:r>
        <w:t xml:space="preserve">:</w:t>
      </w:r>
    </w:p>
    <w:p>
      <w:pPr>
        <w:pStyle w:val="SourceCode"/>
      </w:pPr>
      <w:r>
        <w:rPr>
          <w:rStyle w:val="NormalTok"/>
        </w:rPr>
        <w:t xml:space="preserve">ticket </w:t>
      </w:r>
      <w:r>
        <w:rPr>
          <w:rStyle w:val="OperatorTok"/>
        </w:rPr>
        <w:t xml:space="preserve">=</w:t>
      </w:r>
      <w:r>
        <w:rPr>
          <w:rStyle w:val="NormalTok"/>
        </w:rPr>
        <w:t xml:space="preserve"> {</w:t>
      </w:r>
      <w:r>
        <w:br/>
      </w:r>
      <w:r>
        <w:rPr>
          <w:rStyle w:val="NormalTok"/>
        </w:rPr>
        <w:t xml:space="preserve">    </w:t>
      </w:r>
      <w:r>
        <w:rPr>
          <w:rStyle w:val="StringTok"/>
        </w:rPr>
        <w:t xml:space="preserve">"input"</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NormalTok"/>
        </w:rPr>
        <w:t xml:space="preserve">nom</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"urgency"</w:t>
      </w:r>
      <w:r>
        <w:rPr>
          <w:rStyle w:val="NormalTok"/>
        </w:rPr>
        <w:t xml:space="preserve">: niveau_to_urgency[alerte.niveau],</w:t>
      </w:r>
      <w:r>
        <w:br/>
      </w:r>
      <w:r>
        <w:rPr>
          <w:rStyle w:val="NormalTok"/>
        </w:rPr>
        <w:t xml:space="preserve">        </w:t>
      </w:r>
      <w:r>
        <w:rPr>
          <w:rStyle w:val="StringTok"/>
        </w:rPr>
        <w:t xml:space="preserve">"content"</w:t>
      </w:r>
      <w:r>
        <w:rPr>
          <w:rStyle w:val="NormalTok"/>
        </w:rPr>
        <w:t xml:space="preserve">: template_description.</w:t>
      </w:r>
      <w:r>
        <w:rPr>
          <w:rStyle w:val="BuiltInTok"/>
        </w:rPr>
        <w:t xml:space="preserve">format</w:t>
      </w:r>
      <w:r>
        <w:rPr>
          <w:rStyle w:val="NormalTok"/>
        </w:rPr>
        <w:t xml:space="preserve">(</w:t>
      </w:r>
      <w:r>
        <w:rPr>
          <w:rStyle w:val="OperatorTok"/>
        </w:rPr>
        <w:t xml:space="preserve">**</w:t>
      </w:r>
      <w:r>
        <w:rPr>
          <w:rStyle w:val="NormalTok"/>
        </w:rPr>
        <w:t xml:space="preserve">prediction),</w:t>
      </w:r>
      <w:r>
        <w:br/>
      </w:r>
      <w:r>
        <w:rPr>
          <w:rStyle w:val="NormalTok"/>
        </w:rPr>
        <w:t xml:space="preserve">        </w:t>
      </w:r>
      <w:r>
        <w:rPr>
          <w:rStyle w:val="StringTok"/>
        </w:rPr>
        <w:t xml:space="preserve">"itilcategories_id"</w:t>
      </w:r>
      <w:r>
        <w:rPr>
          <w:rStyle w:val="NormalTok"/>
        </w:rPr>
        <w:t xml:space="preserve">: GLPI_CAT_CORROSION,</w:t>
      </w:r>
      <w:r>
        <w:br/>
      </w:r>
      <w:r>
        <w:rPr>
          <w:rStyle w:val="NormalTok"/>
        </w:rPr>
        <w:t xml:space="preserve">    }</w:t>
      </w:r>
      <w:r>
        <w:br/>
      </w:r>
      <w:r>
        <w:rPr>
          <w:rStyle w:val="NormalTok"/>
        </w:rPr>
        <w:t xml:space="preserve">}</w:t>
      </w:r>
      <w:r>
        <w:br/>
      </w:r>
      <w:r>
        <w:rPr>
          <w:rStyle w:val="NormalTok"/>
        </w:rPr>
        <w:t xml:space="preserve">requests.post(</w:t>
      </w:r>
      <w:r>
        <w:rPr>
          <w:rStyle w:val="SpecialStringTok"/>
        </w:rPr>
        <w:t xml:space="preserve">f"</w:t>
      </w:r>
      <w:r>
        <w:rPr>
          <w:rStyle w:val="SpecialCharTok"/>
        </w:rPr>
        <w:t xml:space="preserve">{</w:t>
      </w:r>
      <w:r>
        <w:rPr>
          <w:rStyle w:val="NormalTok"/>
        </w:rPr>
        <w:t xml:space="preserve">GLPI_URL</w:t>
      </w:r>
      <w:r>
        <w:rPr>
          <w:rStyle w:val="SpecialCharTok"/>
        </w:rPr>
        <w:t xml:space="preserve">}</w:t>
      </w:r>
      <w:r>
        <w:rPr>
          <w:rStyle w:val="SpecialStringTok"/>
        </w:rPr>
        <w:t xml:space="preserve">/apirest.php/Ticket"</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"Session-Token"</w:t>
      </w:r>
      <w:r>
        <w:rPr>
          <w:rStyle w:val="NormalTok"/>
        </w:rPr>
        <w:t xml:space="preserve">: session_token},</w:t>
      </w:r>
      <w:r>
        <w:br/>
      </w:r>
      <w:r>
        <w:rPr>
          <w:rStyle w:val="NormalTok"/>
        </w:rPr>
        <w:t xml:space="preserve">              json</w:t>
      </w:r>
      <w:r>
        <w:rPr>
          <w:rStyle w:val="OperatorTok"/>
        </w:rPr>
        <w:t xml:space="preserve">=</w:t>
      </w:r>
      <w:r>
        <w:rPr>
          <w:rStyle w:val="NormalTok"/>
        </w:rPr>
        <w:t xml:space="preserve">ticket)</w:t>
      </w:r>
    </w:p>
    <w:bookmarkEnd w:id="112"/>
    <w:bookmarkStart w:id="113" w:name="X6daa42d570212a4ddf8cec02ed6ecb7bd6e7228"/>
    <w:p>
      <w:pPr>
        <w:pStyle w:val="Heading3"/>
      </w:pPr>
      <w:r>
        <w:t xml:space="preserve">II.7.6. KPIs maintenance calculés (côté CMMS)</w:t>
      </w:r>
    </w:p>
    <w:p>
      <w:pPr>
        <w:pStyle w:val="FirstParagraph"/>
      </w:pPr>
      <w:r>
        <w:t xml:space="preserve">GLPI fournit nativement ou par requête SQL/plugin les KPIs maintenance suivants, alimentés par l’historique des tickets et des interventions :</w:t>
      </w:r>
    </w:p>
    <w:p>
      <w:pPr>
        <w:pStyle w:val="TableCaption"/>
        <w:jc w:val="center"/>
      </w:pPr>
      <w:r>
        <w:rPr>
          <w:b/>
          <w:bCs/>
        </w:rPr>
        <w:t xml:space="preserve">Tableau II.14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GLPI</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tickets corrosion / nb tickets</w:t>
            </w:r>
          </w:p>
        </w:tc>
        <w:tc>
          <w:tcPr/>
          <w:p>
            <w:pPr>
              <w:pStyle w:val="Compact"/>
            </w:pPr>
            <w:r>
              <w:t xml:space="preserve">Table</w:t>
            </w:r>
            <w:r>
              <w:t xml:space="preserve"> </w:t>
            </w:r>
            <w:r>
              <w:rPr>
                <w:rStyle w:val="VerbatimChar"/>
              </w:rPr>
              <w:t xml:space="preserve">glpi_tickets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(close_date − open_date) / nb tickets</w:t>
            </w:r>
          </w:p>
        </w:tc>
        <w:tc>
          <w:tcPr/>
          <w:p>
            <w:pPr>
              <w:pStyle w:val="Compact"/>
            </w:pPr>
            <w:r>
              <w:t xml:space="preserve">Table</w:t>
            </w:r>
            <w:r>
              <w:t xml:space="preserve"> </w:t>
            </w:r>
            <w:r>
              <w:rPr>
                <w:rStyle w:val="VerbatimChar"/>
              </w:rPr>
              <w:t xml:space="preserve">glpi_tickets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GLPI</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w:t>
            </w:r>
            <w:r>
              <w:t xml:space="preserve"> </w:t>
            </w:r>
            <w:r>
              <w:rPr>
                <w:rStyle w:val="VerbatimChar"/>
              </w:rPr>
              <w:t xml:space="preserve">solutiontype</w:t>
            </w:r>
            <w:r>
              <w:t xml:space="preserve"> </w:t>
            </w:r>
            <w:r>
              <w:t xml:space="preserve">GLPI</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tickets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status</w:t>
            </w:r>
            <w:r>
              <w:t xml:space="preserve"> </w:t>
            </w:r>
            <w:r>
              <w:t xml:space="preserve">+</w:t>
            </w:r>
            <w:r>
              <w:t xml:space="preserve"> </w:t>
            </w:r>
            <w:r>
              <w:rPr>
                <w:rStyle w:val="VerbatimChar"/>
              </w:rPr>
              <w:t xml:space="preserve">solution</w:t>
            </w:r>
          </w:p>
        </w:tc>
        <w:tc>
          <w:tcPr/>
          <w:p>
            <w:pPr>
              <w:pStyle w:val="Compact"/>
            </w:pPr>
            <w:r>
              <w:t xml:space="preserve">&lt; 15 %</w:t>
            </w:r>
          </w:p>
        </w:tc>
      </w:tr>
    </w:tbl>
    <w:p>
      <w:pPr>
        <w:pStyle w:val="BlockText"/>
      </w:pPr>
      <w:r>
        <w:rPr>
          <w:i/>
          <w:iCs/>
        </w:rPr>
        <w:t xml:space="preserve">La colonne « Cible » liste des</w:t>
      </w:r>
      <w:r>
        <w:rPr>
          <w:i/>
          <w:iCs/>
        </w:rPr>
        <w:t xml:space="preserve"> </w:t>
      </w:r>
      <w:r>
        <w:rPr>
          <w:b/>
          <w:bCs/>
          <w:i/>
          <w:iCs/>
        </w:rPr>
        <w:t xml:space="preserve">objectifs de conception</w:t>
      </w:r>
      <w:r>
        <w:rPr>
          <w:i/>
          <w:iCs/>
        </w:rPr>
        <w:t xml:space="preserve"> </w:t>
      </w:r>
      <w:r>
        <w:rPr>
          <w:i/>
          <w:iCs/>
        </w:rPr>
        <w:t xml:space="preserve">(valeurs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3"/>
    <w:bookmarkEnd w:id="114"/>
    <w:bookmarkStart w:id="115" w:name="X0fcd5b5066ea3b0aa0fe0eb42347356d14c3aaf"/>
    <w:p>
      <w:pPr>
        <w:pStyle w:val="Heading2"/>
      </w:pPr>
      <w:r>
        <w:t xml:space="preserve">II.8. Tableau synoptique de la démarche méthodologique</w:t>
      </w:r>
    </w:p>
    <w:p>
      <w:pPr>
        <w:pStyle w:val="TableCaption"/>
        <w:jc w:val="center"/>
      </w:pPr>
      <w:r>
        <w:rPr>
          <w:b/>
          <w:bCs/>
        </w:rPr>
        <w:t xml:space="preserve">Tableau II.15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Intégration au CMMS open-source par API REST</w:t>
            </w:r>
          </w:p>
        </w:tc>
        <w:tc>
          <w:tcPr/>
          <w:p>
            <w:pPr>
              <w:pStyle w:val="Compact"/>
            </w:pPr>
            <w:r>
              <w:t xml:space="preserve">(i) Application Streamlit (frontend ML + dashboard) ; (ii) Matrice comparative GLPI/OpenMaint/Snipe-IT ; (iii) Mapping prédiction ML → ticket CMMS ; (iv) API REST</w:t>
            </w:r>
            <w:r>
              <w:t xml:space="preserve"> </w:t>
            </w:r>
            <w:r>
              <w:rPr>
                <w:rStyle w:val="VerbatimChar"/>
              </w:rPr>
              <w:t xml:space="preserve">/Ticket</w:t>
            </w:r>
            <w:r>
              <w:t xml:space="preserve"> </w:t>
            </w:r>
            <w:r>
              <w:t xml:space="preserve">(POST automatique) ; (v) Calcul KPIs (MTBF, MTTR, η inhibition)</w:t>
            </w:r>
          </w:p>
        </w:tc>
        <w:tc>
          <w:tcPr/>
          <w:p>
            <w:pPr>
              <w:pStyle w:val="Compact"/>
            </w:pPr>
            <w:r>
              <w:t xml:space="preserve">Streamlit + Streamlit Community Cloud ;</w:t>
            </w:r>
            <w:r>
              <w:t xml:space="preserve"> </w:t>
            </w:r>
            <w:r>
              <w:rPr>
                <w:b/>
                <w:bCs/>
              </w:rPr>
              <w:t xml:space="preserve">GLPI</w:t>
            </w:r>
            <w:r>
              <w:t xml:space="preserve"> </w:t>
            </w:r>
            <w:r>
              <w:t xml:space="preserve">(PHP/MariaDB, auto-hébergé) ; API REST GLPI ; Python</w:t>
            </w:r>
            <w:r>
              <w:t xml:space="preserve"> </w:t>
            </w:r>
            <w:r>
              <w:rPr>
                <w:rStyle w:val="VerbatimChar"/>
              </w:rPr>
              <w:t xml:space="preserve">requests</w:t>
            </w:r>
            <w:r>
              <w:t xml:space="preserve"> </w:t>
            </w:r>
            <w:r>
              <w:t xml:space="preserve">; ISO 14224 codes anomalie</w:t>
            </w:r>
          </w:p>
        </w:tc>
        <w:tc>
          <w:tcPr/>
          <w:p>
            <w:pPr>
              <w:pStyle w:val="Compact"/>
            </w:pPr>
            <w:r>
              <w:t xml:space="preserve">Boucle Sonde→ML→Ticket CMMS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5"/>
    <w:bookmarkStart w:id="116"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CMMS GLPI)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w:t>
      </w:r>
      <w:r>
        <w:rPr>
          <w:b/>
          <w:bCs/>
        </w:rPr>
        <w:t xml:space="preserve">architecture d’intégration Streamlit ↔ CMMS open-source par API REST</w:t>
      </w:r>
      <w:r>
        <w:t xml:space="preserve"> </w:t>
      </w:r>
      <w:r>
        <w:t xml:space="preserve">(matrice comparative GLPI / OpenMaint / Snipe-IT, mapping prédiction ML → ticket, KPIs maintenance côté CMMS) a été spécifiée.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6"/>
    <w:bookmarkEnd w:id="117"/>
    <w:bookmarkStart w:id="162"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8"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8"/>
    <w:bookmarkStart w:id="122"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9"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9"/>
    <w:bookmarkStart w:id="120"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20"/>
    <w:bookmarkStart w:id="121"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1"/>
    <w:bookmarkEnd w:id="122"/>
    <w:bookmarkStart w:id="131"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6"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4" name="Picture"/>
            <a:graphic>
              <a:graphicData uri="http://schemas.openxmlformats.org/drawingml/2006/picture">
                <pic:pic>
                  <pic:nvPicPr>
                    <pic:cNvPr descr="figures/fig_iii2_runs.png" id="125" name="Picture"/>
                    <pic:cNvPicPr>
                      <a:picLocks noChangeArrowheads="1" noChangeAspect="1"/>
                    </pic:cNvPicPr>
                  </pic:nvPicPr>
                  <pic:blipFill>
                    <a:blip r:embed="rId123"/>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6"/>
    <w:bookmarkStart w:id="130"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8" name="Picture"/>
            <a:graphic>
              <a:graphicData uri="http://schemas.openxmlformats.org/drawingml/2006/picture">
                <pic:pic>
                  <pic:nvPicPr>
                    <pic:cNvPr descr="figures/fig_iii2_synthese.png" id="129" name="Picture"/>
                    <pic:cNvPicPr>
                      <a:picLocks noChangeArrowheads="1" noChangeAspect="1"/>
                    </pic:cNvPicPr>
                  </pic:nvPicPr>
                  <pic:blipFill>
                    <a:blip r:embed="rId127"/>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30"/>
    <w:bookmarkEnd w:id="131"/>
    <w:bookmarkStart w:id="144"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5"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3" name="Picture"/>
            <a:graphic>
              <a:graphicData uri="http://schemas.openxmlformats.org/drawingml/2006/picture">
                <pic:pic>
                  <pic:nvPicPr>
                    <pic:cNvPr descr="figures/fig_iii3_r2_runs.png" id="134" name="Picture"/>
                    <pic:cNvPicPr>
                      <a:picLocks noChangeArrowheads="1" noChangeAspect="1"/>
                    </pic:cNvPicPr>
                  </pic:nvPicPr>
                  <pic:blipFill>
                    <a:blip r:embed="rId132"/>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5"/>
    <w:bookmarkStart w:id="139" w:name="X903b94baae8f5cf6777ee1b001b3e11b86dfcfb"/>
    <w:p>
      <w:pPr>
        <w:pStyle w:val="Heading3"/>
      </w:pPr>
      <w:r>
        <w:t xml:space="preserve">III.3.2.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III.5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 Le sous-échantillonnage corrige le</w:t>
      </w:r>
      <w:r>
        <w:t xml:space="preserve"> </w:t>
      </w:r>
      <w:r>
        <w:rPr>
          <w:b/>
          <w:bCs/>
        </w:rPr>
        <w:t xml:space="preserve">déséquilibre ≈ 4,5:1</w:t>
      </w:r>
      <w:r>
        <w:t xml:space="preserve"> </w:t>
      </w:r>
      <w:r>
        <w:t xml:space="preserve">entre auxiliaires volumineux et série de test, qui sinon « noie » cette dernière —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5 — Effet de la couverture des conditions sur la fiabilité" title="" id="137" name="Picture"/>
            <a:graphic>
              <a:graphicData uri="http://schemas.openxmlformats.org/drawingml/2006/picture">
                <pic:pic>
                  <pic:nvPicPr>
                    <pic:cNvPr descr="figures/fig_iii3_r2_plage.png" id="138" name="Picture"/>
                    <pic:cNvPicPr>
                      <a:picLocks noChangeArrowheads="1" noChangeAspect="1"/>
                    </pic:cNvPicPr>
                  </pic:nvPicPr>
                  <pic:blipFill>
                    <a:blip r:embed="rId136"/>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III.5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p>
      <w:pPr>
        <w:pStyle w:val="BodyText"/>
      </w:pPr>
      <w:r>
        <w:t xml:space="preserve">Cette couverture comporte une seconde dimension, qualitative : la</w:t>
      </w:r>
      <w:r>
        <w:t xml:space="preserve"> </w:t>
      </w:r>
      <w:r>
        <w:rPr>
          <w:b/>
          <w:bCs/>
        </w:rPr>
        <w:t xml:space="preserve">morphologie de la dégradation</w:t>
      </w:r>
      <w:r>
        <w:t xml:space="preserve">.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w:t>
      </w:r>
      <w:r>
        <w:t xml:space="preserve"> </w:t>
      </w:r>
      <w:r>
        <w:rPr>
          <w:b/>
          <w:bCs/>
        </w:rPr>
        <w:t xml:space="preserve">graduelle</w:t>
      </w:r>
      <w:r>
        <w:t xml:space="preserve">, précoce (Run #1), et une dégradation par</w:t>
      </w:r>
      <w:r>
        <w:t xml:space="preserve"> </w:t>
      </w:r>
      <w:r>
        <w:rPr>
          <w:b/>
          <w:bCs/>
        </w:rPr>
        <w:t xml:space="preserve">induction puis emballement</w:t>
      </w:r>
      <w:r>
        <w:t xml:space="preserve"> </w:t>
      </w:r>
      <w:r>
        <w:t xml:space="preserve">(Run #12, Run #16). L’essai Run #21 (§III.6), de type graduel, l’illustre : son ajout à l’entraînement n’améliore pas la prédiction des deux essais de test — lesquels relèvent de la morphologie</w:t>
      </w:r>
      <w:r>
        <w:t xml:space="preserve"> </w:t>
      </w:r>
      <w:r>
        <w:rPr>
          <w:i/>
          <w:iCs/>
        </w:rPr>
        <w:t xml:space="preserve">induction-emballement</w:t>
      </w:r>
      <w:r>
        <w:t xml:space="preserve"> </w:t>
      </w:r>
      <w:r>
        <w:t xml:space="preserve">— et la dégrade même légèrement (R² moyen de +0,29 à +0,18). Loin d’infirmer le modèle, ce résultat en confirme le mécanisme : enrichir l’entraînement n’est profitable que si l’essai ajouté</w:t>
      </w:r>
      <w:r>
        <w:t xml:space="preserve"> </w:t>
      </w:r>
      <w:r>
        <w:rPr>
          <w:b/>
          <w:bCs/>
        </w:rPr>
        <w:t xml:space="preserve">partage la morphologie</w:t>
      </w:r>
      <w:r>
        <w:t xml:space="preserve"> </w:t>
      </w:r>
      <w:r>
        <w:t xml:space="preserve">de l’essai à prédire — transposition, au registre de la forme de corrosion, du constat établi pour la couverture thermique. La métrique demeure néanmoins bruitée au vu du faible effectif d’essais ; seule la répétition au sein de chaque morphologie (§III.6) permettra de la stabiliser.</w:t>
      </w:r>
    </w:p>
    <w:bookmarkEnd w:id="139"/>
    <w:bookmarkStart w:id="143" w:name="iii.3.3.-variables-dinfluence"/>
    <w:p>
      <w:pPr>
        <w:pStyle w:val="Heading3"/>
      </w:pPr>
      <w:r>
        <w:t xml:space="preserve">III.3.3. Variables d’influence</w:t>
      </w:r>
    </w:p>
    <w:p>
      <w:pPr>
        <w:pStyle w:val="FirstParagraph"/>
      </w:pPr>
      <w:r>
        <w:t xml:space="preserve">La figure III.6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6 — Importance des variables explicatives (XGBoost)" title="" id="141" name="Picture"/>
            <a:graphic>
              <a:graphicData uri="http://schemas.openxmlformats.org/drawingml/2006/picture">
                <pic:pic>
                  <pic:nvPicPr>
                    <pic:cNvPr descr="figures/fig_iii3_features.png" id="142" name="Picture"/>
                    <pic:cNvPicPr>
                      <a:picLocks noChangeArrowheads="1" noChangeAspect="1"/>
                    </pic:cNvPicPr>
                  </pic:nvPicPr>
                  <pic:blipFill>
                    <a:blip r:embed="rId140"/>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III.6 — Importance des variables explicatives (XGBoost)</w:t>
      </w:r>
    </w:p>
    <w:p>
      <w:r>
        <w:pict>
          <v:rect style="width:0;height:1.5pt" o:hralign="center" o:hrstd="t" o:hr="t"/>
        </w:pict>
      </w:r>
    </w:p>
    <w:bookmarkEnd w:id="143"/>
    <w:bookmarkEnd w:id="144"/>
    <w:bookmarkStart w:id="151" w:name="Xf0fc160310e0f571bbb288514d761cb1ca3a8a9"/>
    <w:p>
      <w:pPr>
        <w:pStyle w:val="Heading2"/>
      </w:pPr>
      <w:r>
        <w:t xml:space="preserve">III.4. Diagnostic des régimes et facteurs de variabilité (OS3)</w:t>
      </w:r>
    </w:p>
    <w:bookmarkStart w:id="145"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bookmarkEnd w:id="145"/>
    <w:bookmarkStart w:id="149"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 Cette démarche relève du</w:t>
      </w:r>
      <w:r>
        <w:t xml:space="preserve"> </w:t>
      </w:r>
      <w:r>
        <w:rPr>
          <w:b/>
          <w:bCs/>
        </w:rPr>
        <w:t xml:space="preserve">contrôle des variables</w:t>
      </w:r>
      <w:r>
        <w:t xml:space="preserve"> </w:t>
      </w:r>
      <w:r>
        <w:t xml:space="preserve">propre au plan d’expériences (Montgomery, 2017) : en ne laissant dériver qu’un seul facteur à la fois, chaque contre-exemple en isole l’effet — ce qui fonde la stratégie de « vitrine 30 °C » (conditions maîtrisées et répétées) opposée aux contre-exemples.</w:t>
      </w:r>
    </w:p>
    <w:p>
      <w:pPr>
        <w:pStyle w:val="BodyText"/>
      </w:pPr>
      <w:r>
        <w:t xml:space="preserve">La figure III.7 confronte la courbe d’un essai propre (Run #16) à celles de ces deux contre-exemples.</w:t>
      </w:r>
    </w:p>
    <w:p>
      <w:pPr>
        <w:pStyle w:val="CaptionedFigure"/>
        <w:jc w:val="center"/>
      </w:pPr>
      <w:r>
        <w:drawing>
          <wp:inline>
            <wp:extent cx="4739005" cy="2499070"/>
            <wp:effectExtent b="0" l="0" r="0" t="0"/>
            <wp:docPr descr="Figure III.7 — Vitrine 30 °C vs contre-exemples" title="" id="147" name="Picture"/>
            <a:graphic>
              <a:graphicData uri="http://schemas.openxmlformats.org/drawingml/2006/picture">
                <pic:pic>
                  <pic:nvPicPr>
                    <pic:cNvPr descr="figures/fig_iii4_contrexemples.png" id="148" name="Picture"/>
                    <pic:cNvPicPr>
                      <a:picLocks noChangeArrowheads="1" noChangeAspect="1"/>
                    </pic:cNvPicPr>
                  </pic:nvPicPr>
                  <pic:blipFill>
                    <a:blip r:embed="rId146"/>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III.7 — Vitrine 30 °C vs contre-exemples</w:t>
      </w:r>
    </w:p>
    <w:p>
      <w:pPr>
        <w:pStyle w:val="TableCaption"/>
        <w:jc w:val="center"/>
      </w:pPr>
      <w:r>
        <w:rPr>
          <w:b/>
          <w:bCs/>
        </w:rPr>
        <w:t xml:space="preserve">Tableau III.3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49"/>
    <w:bookmarkStart w:id="150"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0"/>
    <w:bookmarkEnd w:id="151"/>
    <w:bookmarkStart w:id="154" w:name="X2fcd0cac7e9704048ca337c06389a4788eb8bc7"/>
    <w:p>
      <w:pPr>
        <w:pStyle w:val="Heading2"/>
      </w:pPr>
      <w:r>
        <w:t xml:space="preserve">III.5. Intégration au CMMS open-source — démonstration (OS4)</w:t>
      </w:r>
    </w:p>
    <w:p>
      <w:pPr>
        <w:pStyle w:val="FirstParagraph"/>
      </w:pPr>
      <w:r>
        <w:t xml:space="preserve">La boucle décision → action peut être structurée de deux manières : développer une GMAO</w:t>
      </w:r>
      <w:r>
        <w:t xml:space="preserve"> </w:t>
      </w:r>
      <w:r>
        <w:rPr>
          <w:i/>
          <w:iCs/>
        </w:rPr>
        <w:t xml:space="preserve">ex nihilo</w:t>
      </w:r>
      <w:r>
        <w:t xml:space="preserve">, ou intégrer un CMMS open-source existant (§II.7.1). Conformément au choix retenu, cette section présente l’état de l’intégration à ce stade.</w:t>
      </w:r>
    </w:p>
    <w:bookmarkStart w:id="152"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r>
        <w:t xml:space="preserve"> </w:t>
      </w:r>
      <w:r>
        <w:rPr>
          <w:i/>
          <w:iCs/>
        </w:rPr>
        <w:t xml:space="preserve">[Captures d’écran de l’écran de supervision à insérer.]</w:t>
      </w:r>
    </w:p>
    <w:bookmarkEnd w:id="152"/>
    <w:bookmarkStart w:id="153" w:name="iii.5.2.-mapping-alerte-ticket-et-kpis"/>
    <w:p>
      <w:pPr>
        <w:pStyle w:val="Heading3"/>
      </w:pPr>
      <w:r>
        <w:t xml:space="preserve">III.5.2. Mapping alerte → ticket et KPIs</w:t>
      </w:r>
    </w:p>
    <w:p>
      <w:pPr>
        <w:pStyle w:val="FirstParagraph"/>
      </w:pPr>
      <w:r>
        <w:t xml:space="preserve">Le mapping entre une prédiction et un ticket CMMS (GLPI) a été spécifié (§II.7.5) : une alerte rouge génère un ordre de travail enrichi (CR, RUL, régime diagnostiqué, top-3 SHAP). Les KPIs de maintenance (MTBF, MTTR, disponibilité, taux de fausses alertes) sont calculables côté CMMS à partir de l’historique des interventions.</w:t>
      </w:r>
    </w:p>
    <w:p>
      <w:pPr>
        <w:pStyle w:val="BlockText"/>
      </w:pPr>
      <w:r>
        <w:rPr>
          <w:b/>
          <w:bCs/>
        </w:rPr>
        <w:t xml:space="preserve">État d’avancement.</w:t>
      </w:r>
      <w:r>
        <w:t xml:space="preserve"> </w:t>
      </w:r>
      <w:r>
        <w:t xml:space="preserve">L’écran de supervision est opérationnel ; la connexion automatisée au CMMS GLPI et le calcul des KPIs sur un historique significatif sont en cours de finalisation. Les KPIs n’auront de valeur statistique que sur un volume d’essais et d’interventions plus important — ils constituent à ce stade une démonstration de la chaîne de calcul.</w:t>
      </w:r>
    </w:p>
    <w:p>
      <w:r>
        <w:pict>
          <v:rect style="width:0;height:1.5pt" o:hralign="center" o:hrstd="t" o:hr="t"/>
        </w:pict>
      </w:r>
    </w:p>
    <w:bookmarkEnd w:id="153"/>
    <w:bookmarkEnd w:id="154"/>
    <w:bookmarkStart w:id="160" w:name="iii.6.-discussions"/>
    <w:p>
      <w:pPr>
        <w:pStyle w:val="Heading2"/>
      </w:pPr>
      <w:r>
        <w:t xml:space="preserve">III.6. Discussions</w:t>
      </w:r>
    </w:p>
    <w:bookmarkStart w:id="155"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55"/>
    <w:bookmarkStart w:id="156"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Yan et Yan,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56"/>
    <w:bookmarkStart w:id="157" w:name="X214b26120ab300992a552aa7f141acb6973da35"/>
    <w:p>
      <w:pPr>
        <w:pStyle w:val="Heading3"/>
      </w:pPr>
      <w:r>
        <w:t xml:space="preserve">III.6.3. Apport de l’intégration au CMMS open-source</w:t>
      </w:r>
    </w:p>
    <w:p>
      <w:pPr>
        <w:pStyle w:val="FirstParagraph"/>
      </w:pPr>
      <w:r>
        <w:t xml:space="preserve">L’intégration à un CMMS open-source (GLPI) plutôt qu’un développement</w:t>
      </w:r>
      <w:r>
        <w:t xml:space="preserve"> </w:t>
      </w:r>
      <w:r>
        <w:rPr>
          <w:i/>
          <w:iCs/>
        </w:rPr>
        <w:t xml:space="preserve">ex nihilo</w:t>
      </w:r>
      <w:r>
        <w:t xml:space="preserve"> </w:t>
      </w:r>
      <w:r>
        <w:t xml:space="preserve">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57"/>
    <w:bookmarkStart w:id="158"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 Par ailleurs, en HCl concentré, l’</w:t>
      </w:r>
      <w:r>
        <w:rPr>
          <w:b/>
          <w:bCs/>
        </w:rPr>
        <w:t xml:space="preserve">électrolyte conducteur shunte partiellement la mesure ER</w:t>
      </w:r>
      <w:r>
        <w:t xml:space="preserve"> </w:t>
      </w:r>
      <w:r>
        <w:t xml:space="preserve">(un courant parasite circule dans la solution en parallèle du fil), ce qui plafonne la résistance mesurable et peut masquer la rupture des fils épais ; ce phénomène physique impose l’emploi d’un</w:t>
      </w:r>
      <w:r>
        <w:t xml:space="preserve"> </w:t>
      </w:r>
      <w:r>
        <w:rPr>
          <w:b/>
          <w:bCs/>
        </w:rPr>
        <w:t xml:space="preserve">fil fin</w:t>
      </w:r>
      <w:r>
        <w:t xml:space="preserve"> </w:t>
      </w:r>
      <w:r>
        <w:t xml:space="preserve">(Ø ≈ 1,15 mm), qui rompt sous le plafond de mesure et rend l’événement de défaillance observable.</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58"/>
    <w:bookmarkStart w:id="159"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L’essai Run #21 a depuis fourni un premier test « prédire puis confirmer » concluant : annoncée</w:t>
      </w:r>
      <w:r>
        <w:t xml:space="preserve"> </w:t>
      </w:r>
      <w:r>
        <w:rPr>
          <w:i/>
          <w:iCs/>
        </w:rPr>
        <w:t xml:space="preserve">avant</w:t>
      </w:r>
      <w:r>
        <w:t xml:space="preserve"> </w:t>
      </w:r>
      <w:r>
        <w:t xml:space="preserve">l’essai dans l’intervalle 13–20,5 h (médiane 16 h), la rupture est survenue à</w:t>
      </w:r>
      <w:r>
        <w:t xml:space="preserve"> </w:t>
      </w:r>
      <w:r>
        <w:rPr>
          <w:b/>
          <w:bCs/>
        </w:rPr>
        <w:t xml:space="preserve">13,1 h</w:t>
      </w:r>
      <w:r>
        <w:t xml:space="preserve">, soit à l’intérieur de la bande prédite (à sa borne inférieure). Run #21 fournit en outre un</w:t>
      </w:r>
      <w:r>
        <w:t xml:space="preserve"> </w:t>
      </w:r>
      <w:r>
        <w:rPr>
          <w:b/>
          <w:bCs/>
        </w:rPr>
        <w:t xml:space="preserve">second représentant de la morphologie graduelle</w:t>
      </w:r>
      <w:r>
        <w:t xml:space="preserve">, précisément ce que le critère de prédictibilité (au moins deux observations par morphologie) appelait. Il importe enfin de souligner que le jumeau numérique et le modèle XGBoost (§III.3) répondent à deux questions distinctes — le premier estime la</w:t>
      </w:r>
      <w:r>
        <w:t xml:space="preserve"> </w:t>
      </w:r>
      <w:r>
        <w:rPr>
          <w:b/>
          <w:bCs/>
        </w:rPr>
        <w:t xml:space="preserve">durée de vie</w:t>
      </w:r>
      <w:r>
        <w:t xml:space="preserve"> </w:t>
      </w:r>
      <w:r>
        <w:t xml:space="preserve">(l’instant de rupture), le second le</w:t>
      </w:r>
      <w:r>
        <w:t xml:space="preserve"> </w:t>
      </w:r>
      <w:r>
        <w:rPr>
          <w:b/>
          <w:bCs/>
        </w:rPr>
        <w:t xml:space="preserve">taux de corrosion instantané</w:t>
      </w:r>
      <w:r>
        <w:t xml:space="preserve"> </w:t>
      </w:r>
      <w:r>
        <w:t xml:space="preserve">— et convergent vers un même enseignement : une prédiction n’est fiable qu’au sein d’une morphologie déjà observée et répétée. Ces travaux, encore préliminaires, seront validés et étendus dans la suite de la campagne.</w:t>
      </w:r>
    </w:p>
    <w:p>
      <w:r>
        <w:pict>
          <v:rect style="width:0;height:1.5pt" o:hralign="center" o:hrstd="t" o:hr="t"/>
        </w:pict>
      </w:r>
    </w:p>
    <w:bookmarkEnd w:id="159"/>
    <w:bookmarkEnd w:id="160"/>
    <w:bookmarkStart w:id="161"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est opérationnel et le mapping vers le CMMS spécifié, la finalisation de l’automatisation étant en cours.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61"/>
    <w:bookmarkEnd w:id="162"/>
    <w:bookmarkStart w:id="163" w:name="conclusion-générale"/>
    <w:p>
      <w:pPr>
        <w:pStyle w:val="Heading1"/>
      </w:pPr>
      <w:r>
        <w:t xml:space="preserve">CONCLUSION GÉNÉRALE</w:t>
      </w:r>
    </w:p>
    <w:p>
      <w:pPr>
        <w:pStyle w:val="FirstParagraph"/>
      </w:pPr>
      <w:r>
        <w:rPr>
          <w:i/>
          <w:iCs/>
        </w:rPr>
        <w:t xml:space="preserve">(La conclusion générale sera rédigée à l’issue de la campagne expérimentale.)</w:t>
      </w:r>
    </w:p>
    <w:p>
      <w:r>
        <w:br w:type="page"/>
      </w:r>
    </w:p>
    <w:bookmarkEnd w:id="163"/>
    <w:bookmarkStart w:id="164"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SP0775-2023 — Preparation, Installation, Analysis, and Interpretation of Corrosion Coupons in Oilfield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(2016a).</w:t>
      </w:r>
      <w:r>
        <w:t xml:space="preserve"> </w:t>
      </w:r>
      <w:r>
        <w:rPr>
          <w:i/>
          <w:iCs/>
        </w:rPr>
        <w:t xml:space="preserve">API 570 — Piping Inspection Code: In-service Inspection, Rating, Repair, and Alteration of Piping Systems</w:t>
      </w:r>
      <w:r>
        <w:t xml:space="preserve"> </w:t>
      </w:r>
      <w:r>
        <w:t xml:space="preserve">(4th ed.). American Petroleum Institute.</w:t>
      </w:r>
    </w:p>
    <w:p>
      <w:pPr>
        <w:numPr>
          <w:ilvl w:val="0"/>
          <w:numId w:val="1032"/>
        </w:numPr>
      </w:pPr>
      <w:r>
        <w:t xml:space="preserve">API. (2016b).</w:t>
      </w:r>
      <w:r>
        <w:t xml:space="preserve"> </w:t>
      </w:r>
      <w:r>
        <w:rPr>
          <w:i/>
          <w:iCs/>
        </w:rPr>
        <w:t xml:space="preserve">API 580 — Risk-Based Inspection</w:t>
      </w:r>
      <w:r>
        <w:t xml:space="preserve"> </w:t>
      </w:r>
      <w:r>
        <w:t xml:space="preserve">(3rd ed.). American Petroleum Institute.</w:t>
      </w:r>
    </w:p>
    <w:p>
      <w:pPr>
        <w:numPr>
          <w:ilvl w:val="0"/>
          <w:numId w:val="1032"/>
        </w:numPr>
      </w:pPr>
      <w:r>
        <w:t xml:space="preserve">API. (2016c).</w:t>
      </w:r>
      <w:r>
        <w:t xml:space="preserve"> </w:t>
      </w:r>
      <w:r>
        <w:rPr>
          <w:i/>
          <w:iCs/>
        </w:rPr>
        <w:t xml:space="preserve">API 581 — Risk-Based Inspection Methodology</w:t>
      </w:r>
      <w:r>
        <w:t xml:space="preserve"> </w:t>
      </w:r>
      <w:r>
        <w:t xml:space="preserve">(3rd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(1999).</w:t>
      </w:r>
      <w:r>
        <w:t xml:space="preserve"> </w:t>
      </w:r>
      <w:r>
        <w:rPr>
          <w:i/>
          <w:iCs/>
        </w:rPr>
        <w:t xml:space="preserve">Loi n° 99/013 du 22 décembre 1999 portant Code Pétrolier</w:t>
      </w:r>
      <w:r>
        <w:t xml:space="preserve">.</w:t>
      </w:r>
    </w:p>
    <w:p>
      <w:pPr>
        <w:numPr>
          <w:ilvl w:val="0"/>
          <w:numId w:val="1032"/>
        </w:numPr>
      </w:pPr>
      <w:r>
        <w:t xml:space="preserve">Cameroun, République du. (2000).</w:t>
      </w:r>
      <w:r>
        <w:t xml:space="preserve"> </w:t>
      </w:r>
      <w:r>
        <w:rPr>
          <w:i/>
          <w:iCs/>
        </w:rPr>
        <w:t xml:space="preserve">Décret n° 2000/465 du 30 juin 2000 fixant les conditions d’exploitation des hydrocarbures</w:t>
      </w:r>
      <w:r>
        <w:t xml:space="preserve">.</w:t>
      </w:r>
    </w:p>
    <w:p>
      <w:pPr>
        <w:numPr>
          <w:ilvl w:val="0"/>
          <w:numId w:val="1032"/>
        </w:numPr>
      </w:pPr>
      <w:r>
        <w:t xml:space="preserve">CEN (Comité européen de normalisation). (2018).</w:t>
      </w:r>
      <w:r>
        <w:t xml:space="preserve"> </w:t>
      </w:r>
      <w:r>
        <w:rPr>
          <w:i/>
          <w:iCs/>
        </w:rPr>
        <w:t xml:space="preserve">EN 13306:2018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Cheng, Y. F., &amp; Niu, L. (2018). Predicting corrosion rates of steel pipelines using machine learning.</w:t>
      </w:r>
      <w:r>
        <w:t xml:space="preserve"> </w:t>
      </w:r>
      <w:r>
        <w:rPr>
          <w:i/>
          <w:iCs/>
        </w:rPr>
        <w:t xml:space="preserve">Corrosion Science</w:t>
      </w:r>
      <w:r>
        <w:t xml:space="preserve">, 145, 170–182.</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Heydari, M., &amp; Talebpour, A. (2024). Synthesis of Gemini-type imidazoline quaternary ammonium salt using by-product fatty acid as corrosion inhibitor for Q235 steel.</w:t>
      </w:r>
      <w:r>
        <w:t xml:space="preserve"> </w:t>
      </w:r>
      <w:r>
        <w:rPr>
          <w:i/>
          <w:iCs/>
        </w:rPr>
        <w:t xml:space="preserve">Scientific Reports</w:t>
      </w:r>
      <w:r>
        <w:t xml:space="preserve">, 14, article 64671.</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https://doi.org/10.1016/j.ijpvp.2024.105400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(2015a).</w:t>
      </w:r>
      <w:r>
        <w:t xml:space="preserve"> </w:t>
      </w:r>
      <w:r>
        <w:rPr>
          <w:i/>
          <w:iCs/>
        </w:rPr>
        <w:t xml:space="preserve">ISO 8044:2015 — Corrosion of metals and alloys — Basic terms and definitions</w:t>
      </w:r>
      <w:r>
        <w:t xml:space="preserve">.</w:t>
      </w:r>
    </w:p>
    <w:p>
      <w:pPr>
        <w:numPr>
          <w:ilvl w:val="0"/>
          <w:numId w:val="1032"/>
        </w:numPr>
      </w:pPr>
      <w:r>
        <w:t xml:space="preserve">ISO. (2015b).</w:t>
      </w:r>
      <w:r>
        <w:t xml:space="preserve"> </w:t>
      </w:r>
      <w:r>
        <w:rPr>
          <w:i/>
          <w:iCs/>
        </w:rPr>
        <w:t xml:space="preserve">ISO 13381-1:2015 — Condition monitoring and diagnostics of machines — Prognostics — Part 1: General guidelines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Liu, J., et al.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257, 110548.</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 B. T., &amp; Luo, J. L. (2016). Electrochemical study of corrosion inhibition of imidazoline derivatives on mild steel.</w:t>
      </w:r>
      <w:r>
        <w:t xml:space="preserve"> </w:t>
      </w:r>
      <w:r>
        <w:rPr>
          <w:i/>
          <w:iCs/>
        </w:rPr>
        <w:t xml:space="preserve">Corrosion Science</w:t>
      </w:r>
      <w:r>
        <w:t xml:space="preserve">, 105, 1–10.</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 Z., Zhao, Y., &amp; Wang, L. (2021). Predicting pipeline corrosion rate using gradient boosting algorithms.</w:t>
      </w:r>
      <w:r>
        <w:t xml:space="preserve"> </w:t>
      </w:r>
      <w:r>
        <w:rPr>
          <w:i/>
          <w:iCs/>
        </w:rPr>
        <w:t xml:space="preserve">International Journal of Pressure Vessels and Piping</w:t>
      </w:r>
      <w:r>
        <w:t xml:space="preserve">, 192, 104396.</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Mayer, A., et al. (2023). LEROY: A low-cost Arduino-based, IoT-enabled device for atmospheric corrosion monitoring.</w:t>
      </w:r>
      <w:r>
        <w:t xml:space="preserve"> </w:t>
      </w:r>
      <w:r>
        <w:rPr>
          <w:i/>
          <w:iCs/>
        </w:rPr>
        <w:t xml:space="preserve">Sensors</w:t>
      </w:r>
      <w:r>
        <w:t xml:space="preserve">. https://www.mdpi.com/1424-8220/</w:t>
      </w:r>
    </w:p>
    <w:p>
      <w:pPr>
        <w:numPr>
          <w:ilvl w:val="0"/>
          <w:numId w:val="1032"/>
        </w:numPr>
      </w:pPr>
      <w:r>
        <w:t xml:space="preserve">NACE International. (2012).</w:t>
      </w:r>
      <w:r>
        <w:t xml:space="preserve"> </w:t>
      </w:r>
      <w:r>
        <w:rPr>
          <w:i/>
          <w:iCs/>
        </w:rPr>
        <w:t xml:space="preserve">TM0190-2012 — Impressed Current Test Method for Screening Corrosion Inhibitors for Oilfield Applications</w:t>
      </w:r>
      <w:r>
        <w:t xml:space="preserve">.</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Y., et al. (2025). Prediction of internal corrosion rate for gas pipeline: A new method based on transformer architecture.</w:t>
      </w:r>
      <w:r>
        <w:t xml:space="preserve"> </w:t>
      </w:r>
      <w:r>
        <w:rPr>
          <w:i/>
          <w:iCs/>
        </w:rPr>
        <w:t xml:space="preserve">Computers &amp; Chemical Engineering</w:t>
      </w:r>
      <w:r>
        <w:t xml:space="preserve">, 192, 108600.</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Xu, D., Xia, Y., &amp; Wang, X. (2020). Deep learning for corrosion rate prediction in oil and gas pipelines.</w:t>
      </w:r>
      <w:r>
        <w:t xml:space="preserve"> </w:t>
      </w:r>
      <w:r>
        <w:rPr>
          <w:i/>
          <w:iCs/>
        </w:rPr>
        <w:t xml:space="preserve">Corrosion</w:t>
      </w:r>
      <w:r>
        <w:t xml:space="preserve">, 76(8), 789–798.</w:t>
      </w:r>
    </w:p>
    <w:p>
      <w:pPr>
        <w:numPr>
          <w:ilvl w:val="0"/>
          <w:numId w:val="1032"/>
        </w:numPr>
      </w:pPr>
      <w:r>
        <w:t xml:space="preserve">Yan, J., &amp; Yan, X.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 1109–1119.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 A., &amp; Lee, J. (2024). Cyber-physical systems architecture for self-aware machines in industry 4.0 environment: A CMMS perspective.</w:t>
      </w:r>
      <w:r>
        <w:t xml:space="preserve"> </w:t>
      </w:r>
      <w:r>
        <w:rPr>
          <w:i/>
          <w:iCs/>
        </w:rPr>
        <w:t xml:space="preserve">Journal of Manufacturing Systems</w:t>
      </w:r>
      <w:r>
        <w:t xml:space="preserve">, 72, 234–248.</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Murphy, K. (2021).</w:t>
      </w:r>
      <w:r>
        <w:t xml:space="preserve"> </w:t>
      </w:r>
      <w:r>
        <w:rPr>
          <w:i/>
          <w:iCs/>
        </w:rPr>
        <w:t xml:space="preserve">The State of Open-Source CMMS for SMEs</w:t>
      </w:r>
      <w:r>
        <w:t xml:space="preserve">. Maintenance World Journal, 18(3), 45–53.</w:t>
      </w:r>
    </w:p>
    <w:p>
      <w:pPr>
        <w:numPr>
          <w:ilvl w:val="0"/>
          <w:numId w:val="1032"/>
        </w:numPr>
      </w:pPr>
      <w:r>
        <w:t xml:space="preserve">Next.js. (2024).</w:t>
      </w:r>
      <w:r>
        <w:t xml:space="preserve"> </w:t>
      </w:r>
      <w:r>
        <w:rPr>
          <w:i/>
          <w:iCs/>
        </w:rPr>
        <w:t xml:space="preserve">Next.js — The React Framework for the Web</w:t>
      </w:r>
      <w:r>
        <w:t xml:space="preserve">. Vercel Inc. https://nextjs.org/</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Vercel. (2024).</w:t>
      </w:r>
      <w:r>
        <w:t xml:space="preserve"> </w:t>
      </w:r>
      <w:r>
        <w:rPr>
          <w:i/>
          <w:iCs/>
        </w:rPr>
        <w:t xml:space="preserve">Vercel — Develop. Preview. Ship.</w:t>
      </w:r>
      <w:r>
        <w:t xml:space="preserve"> </w:t>
      </w:r>
      <w:r>
        <w:t xml:space="preserve">https://vercel.com/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2"/>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2"/>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64"/>
    <w:bookmarkStart w:id="179" w:name="annexes"/>
    <w:p>
      <w:pPr>
        <w:pStyle w:val="Heading1"/>
      </w:pPr>
      <w:r>
        <w:t xml:space="preserve">ANNEXES</w:t>
      </w:r>
    </w:p>
    <w:bookmarkStart w:id="165"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65"/>
    <w:bookmarkStart w:id="166"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66"/>
    <w:bookmarkStart w:id="170"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HDPE" title="" id="168" name="Picture"/>
            <a:graphic>
              <a:graphicData uri="http://schemas.openxmlformats.org/drawingml/2006/picture">
                <pic:pic>
                  <pic:nvPicPr>
                    <pic:cNvPr descr="figures/fig_c1_cablage.png" id="169" name="Picture"/>
                    <pic:cNvPicPr>
                      <a:picLocks noChangeArrowheads="1" noChangeAspect="1"/>
                    </pic:cNvPicPr>
                  </pic:nvPicPr>
                  <pic:blipFill>
                    <a:blip r:embed="rId167"/>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HDPE</w:t>
      </w:r>
    </w:p>
    <w:bookmarkEnd w:id="170"/>
    <w:bookmarkStart w:id="171"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71"/>
    <w:bookmarkStart w:id="172"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s’appuie sur un</w:t>
      </w:r>
      <w:r>
        <w:t xml:space="preserve"> </w:t>
      </w:r>
      <w:r>
        <w:rPr>
          <w:b/>
          <w:bCs/>
        </w:rPr>
        <w:t xml:space="preserve">bain-marie thermostaté</w:t>
      </w:r>
      <w:r>
        <w:t xml:space="preserve"> </w:t>
      </w:r>
      <w:r>
        <w:t xml:space="preserve">isolant la cellule de corrosion des fluctuations de la température ambiante :</w:t>
      </w:r>
    </w:p>
    <w:p>
      <w:pPr>
        <w:pStyle w:val="Compact"/>
        <w:numPr>
          <w:ilvl w:val="0"/>
          <w:numId w:val="1034"/>
        </w:numPr>
      </w:pPr>
      <w:r>
        <w:rPr>
          <w:b/>
          <w:bCs/>
        </w:rPr>
        <w:t xml:space="preserve">Chauffe-eau d’aquarium</w:t>
      </w:r>
      <w:r>
        <w:t xml:space="preserve"> </w:t>
      </w:r>
      <w:r>
        <w:t xml:space="preserve">à thermostat intégré, puissance 25 W, plage de consigne 16–35 °C ;</w:t>
      </w:r>
    </w:p>
    <w:p>
      <w:pPr>
        <w:pStyle w:val="Compact"/>
        <w:numPr>
          <w:ilvl w:val="0"/>
          <w:numId w:val="1034"/>
        </w:numPr>
      </w:pPr>
      <w:r>
        <w:rPr>
          <w:b/>
          <w:bCs/>
        </w:rPr>
        <w:t xml:space="preserve">Bain d’eau</w:t>
      </w:r>
      <w:r>
        <w:t xml:space="preserve"> </w:t>
      </w:r>
      <w:r>
        <w:t xml:space="preserve">(4–5 L) jouant le rôle d’inertie thermique stabilisatrice ; la cellule de corrosion (HCl) y est immergée, sans contact direct entre la résistance chauffante et l’acide ;</w:t>
      </w:r>
    </w:p>
    <w:p>
      <w:pPr>
        <w:pStyle w:val="Compact"/>
        <w:numPr>
          <w:ilvl w:val="0"/>
          <w:numId w:val="1034"/>
        </w:numPr>
      </w:pPr>
      <w:r>
        <w:rPr>
          <w:b/>
          <w:bCs/>
        </w:rPr>
        <w:t xml:space="preserve">Contrôle</w:t>
      </w:r>
      <w:r>
        <w:t xml:space="preserve"> </w:t>
      </w:r>
      <w:r>
        <w:t xml:space="preserve">: stabilisation à la consigne</w:t>
      </w:r>
      <w:r>
        <w:t xml:space="preserve"> </w:t>
      </w:r>
      <w:r>
        <w:rPr>
          <w:b/>
          <w:bCs/>
        </w:rPr>
        <w:t xml:space="preserve">avant</w:t>
      </w:r>
      <w:r>
        <w:t xml:space="preserve"> </w:t>
      </w:r>
      <w:r>
        <w:t xml:space="preserve">immersion du fil ; suivi de la température réelle du milieu par le capteur DS18B20 du dispositif de mesure ;</w:t>
      </w:r>
    </w:p>
    <w:p>
      <w:pPr>
        <w:pStyle w:val="Compact"/>
        <w:numPr>
          <w:ilvl w:val="0"/>
          <w:numId w:val="1034"/>
        </w:numPr>
      </w:pPr>
      <w:r>
        <w:rPr>
          <w:b/>
          <w:bCs/>
        </w:rPr>
        <w:t xml:space="preserve">Limite</w:t>
      </w:r>
      <w:r>
        <w:t xml:space="preserve"> </w:t>
      </w:r>
      <w:r>
        <w:t xml:space="preserve">: à consigne élevée (≥ 32 °C), la puissance de 25 W impose de couvrir le bain pour limiter les pertes et atteindre la consigne au-dessus de la température ambiante de Douala (≈ 28–29 °C).</w:t>
      </w:r>
    </w:p>
    <w:bookmarkEnd w:id="172"/>
    <w:bookmarkStart w:id="176"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74" name="Picture"/>
            <a:graphic>
              <a:graphicData uri="http://schemas.openxmlformats.org/drawingml/2006/picture">
                <pic:pic>
                  <pic:nvPicPr>
                    <pic:cNvPr descr="figures/fig_f1_erd.png" id="175" name="Picture"/>
                    <pic:cNvPicPr>
                      <a:picLocks noChangeArrowheads="1" noChangeAspect="1"/>
                    </pic:cNvPicPr>
                  </pic:nvPicPr>
                  <pic:blipFill>
                    <a:blip r:embed="rId173"/>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76"/>
    <w:bookmarkStart w:id="177"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gmao/nextjs/app/</w:t>
            </w:r>
          </w:p>
        </w:tc>
        <w:tc>
          <w:tcPr/>
          <w:p>
            <w:pPr>
              <w:pStyle w:val="Compact"/>
            </w:pPr>
            <w:r>
              <w:t xml:space="preserve">Application web Next.js (frontend GMAO)</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177"/>
    <w:bookmarkStart w:id="178"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w:t>
      </w:r>
      <w:r>
        <w:t xml:space="preserve"> </w:t>
      </w:r>
      <w:r>
        <w:rPr>
          <w:b/>
          <w:bCs/>
        </w:rPr>
        <w:t xml:space="preserve">traçabilité intégrale</w:t>
      </w:r>
      <w:r>
        <w:t xml:space="preserve"> </w:t>
      </w:r>
      <w:r>
        <w:t xml:space="preserve">— toute donnée, tout seuil, toute méthode et toute décision d’orientation doit découler d’une source identifiable —, le présent tableau récapitule la provenance de chaque élément structurant du mémoire. Quatre types de source sont distingués :</w:t>
      </w:r>
      <w:r>
        <w:t xml:space="preserve"> </w:t>
      </w:r>
      <w:r>
        <w:rPr>
          <w:b/>
          <w:bCs/>
        </w:rPr>
        <w:t xml:space="preserve">(N)</w:t>
      </w:r>
      <w:r>
        <w:t xml:space="preserve"> </w:t>
      </w:r>
      <w:r>
        <w:t xml:space="preserve">norme ou standard ;</w:t>
      </w:r>
      <w:r>
        <w:t xml:space="preserve"> </w:t>
      </w:r>
      <w:r>
        <w:rPr>
          <w:b/>
          <w:bCs/>
        </w:rPr>
        <w:t xml:space="preserve">(R)</w:t>
      </w:r>
      <w:r>
        <w:t xml:space="preserve"> </w:t>
      </w:r>
      <w:r>
        <w:t xml:space="preserve">référence scientifique ;</w:t>
      </w:r>
      <w:r>
        <w:t xml:space="preserve"> </w:t>
      </w:r>
      <w:r>
        <w:rPr>
          <w:b/>
          <w:bCs/>
        </w:rPr>
        <w:t xml:space="preserve">(P)</w:t>
      </w:r>
      <w:r>
        <w:t xml:space="preserve"> </w:t>
      </w:r>
      <w:r>
        <w:t xml:space="preserve">loi physique ;</w:t>
      </w:r>
      <w:r>
        <w:t xml:space="preserve"> </w:t>
      </w:r>
      <w:r>
        <w:rPr>
          <w:b/>
          <w:bCs/>
        </w:rPr>
        <w:t xml:space="preserve">(E)</w:t>
      </w:r>
      <w:r>
        <w:t xml:space="preserve"> </w:t>
      </w:r>
      <w:r>
        <w:t xml:space="preserve">provenance expérimentale documentée. Les éléments dépourvus d’ancrage normatif disponible sont explicitement marqués</w:t>
      </w:r>
      <w:r>
        <w:t xml:space="preserve"> </w:t>
      </w:r>
      <w:r>
        <w:rPr>
          <w:b/>
          <w:bCs/>
        </w:rPr>
        <w:t xml:space="preserve">« convention / objectif de laboratoire — provisoire »</w:t>
      </w:r>
      <w:r>
        <w:t xml:space="preserve"> </w:t>
      </w:r>
      <w:r>
        <w:t xml:space="preserve">: conformément au principe de rigueur retenu, aucun seuil n’est présenté comme normatif s’il ne l’est pas, et tout choix de valeur sans norme est assumé comme provisoire, à recaler en conditions réelles.</w:t>
      </w:r>
    </w:p>
    <w:p>
      <w:pPr>
        <w:pStyle w:val="BodyText"/>
      </w:pPr>
      <w:r>
        <w:rPr>
          <w:b/>
          <w:bCs/>
        </w:rPr>
        <w:t xml:space="preserve">H.1 — Données, grandeurs et lois physiques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Valeur / formule</w:t>
            </w:r>
          </w:p>
        </w:tc>
        <w:tc>
          <w:tcPr/>
          <w:p>
            <w:pPr>
              <w:pStyle w:val="Compact"/>
            </w:pPr>
            <w:r>
              <w:t xml:space="preserve">Type</w:t>
            </w:r>
          </w:p>
        </w:tc>
        <w:tc>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rPr>
          <w:b/>
          <w:bCs/>
        </w:rPr>
        <w:t xml:space="preserve">H.2 — Méthodes d’apprentissage et de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Choix</w:t>
            </w:r>
          </w:p>
        </w:tc>
        <w:tc>
          <w:tcPr/>
          <w:p>
            <w:pPr>
              <w:pStyle w:val="Compact"/>
            </w:pPr>
            <w:r>
              <w:t xml:space="preserve">Type</w:t>
            </w:r>
          </w:p>
        </w:tc>
        <w:tc>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rPr>
          <w:b/>
          <w:bCs/>
        </w:rPr>
        <w:t xml:space="preserve">H.3 — Seuils et conventions (statut explicite)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Seuil / valeur</w:t>
            </w:r>
          </w:p>
        </w:tc>
        <w:tc>
          <w:tcPr/>
          <w:p>
            <w:pPr>
              <w:pStyle w:val="Compact"/>
            </w:pPr>
            <w:r>
              <w:t xml:space="preserve">Valeur</w:t>
            </w:r>
          </w:p>
        </w:tc>
        <w:tc>
          <w:tcPr/>
          <w:p>
            <w:pPr>
              <w:pStyle w:val="Compact"/>
            </w:pPr>
            <w:r>
              <w:t xml:space="preserve">Statut</w:t>
            </w:r>
          </w:p>
        </w:tc>
        <w:tc>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w:t>
            </w:r>
            <w:r>
              <w:t xml:space="preserve"> </w:t>
            </w:r>
            <w:r>
              <w:rPr>
                <w:b/>
                <w:bCs/>
              </w:rPr>
              <w:t xml:space="preserve">provisoire</w:t>
            </w:r>
          </w:p>
        </w:tc>
        <w:tc>
          <w:tcPr/>
          <w:p>
            <w:pPr>
              <w:pStyle w:val="Compact"/>
            </w:pPr>
            <w:r>
              <w:t xml:space="preserve">principe ISO 13381-1 (ISO, 2015)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w:t>
            </w:r>
            <w:r>
              <w:t xml:space="preserve"> </w:t>
            </w:r>
            <w:r>
              <w:rPr>
                <w:b/>
                <w:bCs/>
              </w:rPr>
              <w:t xml:space="preserve">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w:t>
            </w:r>
            <w:r>
              <w:t xml:space="preserve"> </w:t>
            </w:r>
            <w:r>
              <w:rPr>
                <w:b/>
                <w:bCs/>
              </w:rPr>
              <w:t xml:space="preserve">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w:t>
            </w:r>
            <w:r>
              <w:t xml:space="preserve"> </w:t>
            </w:r>
            <w:r>
              <w:rPr>
                <w:b/>
                <w:bCs/>
              </w:rPr>
              <w:t xml:space="preserve">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rPr>
                <w:b/>
                <w:bCs/>
              </w:rPr>
              <w:t xml:space="preserve">objectifs de conception</w:t>
            </w:r>
          </w:p>
        </w:tc>
        <w:tc>
          <w:tcPr/>
          <w:p>
            <w:pPr>
              <w:pStyle w:val="Compact"/>
            </w:pPr>
            <w:r>
              <w:t xml:space="preserve">valeurs usuelles, non normatives</w:t>
            </w:r>
          </w:p>
        </w:tc>
      </w:tr>
    </w:tbl>
    <w:p>
      <w:pPr>
        <w:pStyle w:val="BodyText"/>
      </w:pPr>
      <w:r>
        <w:rPr>
          <w:b/>
          <w:bCs/>
        </w:rPr>
        <w:t xml:space="preserve">H.4 — Décisions d’orientation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Décision</w:t>
            </w:r>
          </w:p>
        </w:tc>
        <w:tc>
          <w:tcPr/>
          <w:p>
            <w:pPr>
              <w:pStyle w:val="Compact"/>
            </w:pPr>
            <w:r>
              <w:t xml:space="preserve">Justification</w:t>
            </w:r>
          </w:p>
        </w:tc>
        <w:tc>
          <w:tcPr/>
          <w:p>
            <w:pPr>
              <w:pStyle w:val="Compact"/>
            </w:pPr>
            <w:r>
              <w:t xml:space="preserve">Type</w:t>
            </w:r>
          </w:p>
        </w:tc>
        <w:tc>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(2024)</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Yan &amp; Yan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2015)</w:t>
            </w:r>
          </w:p>
        </w:tc>
      </w:tr>
      <w:tr>
        <w:tc>
          <w:tcPr/>
          <w:p>
            <w:pPr>
              <w:pStyle w:val="Compact"/>
            </w:pPr>
            <w:r>
              <w:t xml:space="preserve">Intégration CMMS open-source (vs ex nihilo)</w:t>
            </w:r>
          </w:p>
        </w:tc>
        <w:tc>
          <w:tcPr/>
          <w:p>
            <w:pPr>
              <w:pStyle w:val="Compact"/>
            </w:pPr>
            <w:r>
              <w:t xml:space="preserve">maturité, transposabilité, on-premise</w:t>
            </w:r>
          </w:p>
        </w:tc>
        <w:tc>
          <w:tcPr/>
          <w:p>
            <w:pPr>
              <w:pStyle w:val="Compact"/>
            </w:pPr>
            <w:r>
              <w:t xml:space="preserve">N · R</w:t>
            </w:r>
          </w:p>
        </w:tc>
        <w:tc>
          <w:tcPr/>
          <w:p>
            <w:pPr>
              <w:pStyle w:val="Compact"/>
            </w:pPr>
            <w:r>
              <w:t xml:space="preserve">ISO 14224 (ISO, 2016) ; GLPI Project (2024) ; Bagheri et al. (2024)</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178"/>
    <w:bookmarkEnd w:id="179"/>
    <w:bookmarkStart w:id="180"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180"/>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67" Type="http://schemas.openxmlformats.org/officeDocument/2006/relationships/image" Target="media/rId167.png"/><Relationship Id="rId173" Type="http://schemas.openxmlformats.org/officeDocument/2006/relationships/image" Target="media/rId173.png"/><Relationship Id="rId108" Type="http://schemas.openxmlformats.org/officeDocument/2006/relationships/image" Target="media/rId108.png"/><Relationship Id="rId76" Type="http://schemas.openxmlformats.org/officeDocument/2006/relationships/image" Target="media/rId76.png"/><Relationship Id="rId85" Type="http://schemas.openxmlformats.org/officeDocument/2006/relationships/image" Target="media/rId85.png"/><Relationship Id="rId123" Type="http://schemas.openxmlformats.org/officeDocument/2006/relationships/image" Target="media/rId123.png"/><Relationship Id="rId127" Type="http://schemas.openxmlformats.org/officeDocument/2006/relationships/image" Target="media/rId127.png"/><Relationship Id="rId140" Type="http://schemas.openxmlformats.org/officeDocument/2006/relationships/image" Target="media/rId140.png"/><Relationship Id="rId136" Type="http://schemas.openxmlformats.org/officeDocument/2006/relationships/image" Target="media/rId136.png"/><Relationship Id="rId132" Type="http://schemas.openxmlformats.org/officeDocument/2006/relationships/image" Target="media/rId132.png"/><Relationship Id="rId146" Type="http://schemas.openxmlformats.org/officeDocument/2006/relationships/image" Target="media/rId146.png"/><Relationship Id="rId71" Type="http://schemas.openxmlformats.org/officeDocument/2006/relationships/image" Target="media/rId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2026-06-23T19:23:20Z</dcterms:created>
  <dcterms:modified xsi:type="dcterms:W3CDTF">2026-06-23T19:23:20Z</dcterms:modified>
</cp:coreProperties>
</file>

<file path=docProps/custom.xml><?xml version="1.0" encoding="utf-8"?>
<Properties xmlns="http://schemas.openxmlformats.org/officeDocument/2006/custom-properties" xmlns:vt="http://schemas.openxmlformats.org/officeDocument/2006/docPropsVTypes"/>
</file>