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Système intégré de maintenance prédictive de la corrosion par apprentissage automatique : transition Industrie 3.0 → 4.0 par sonde ER instrumentée IoT, prédiction XGBoost CR/RUL et intégration à un CMMS open-source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age-de-titre"/>
    <w:p>
      <w:pPr>
        <w:pStyle w:val="Heading1"/>
      </w:pPr>
      <w:r>
        <w:t xml:space="preserve">PAGE DE TITRE</w:t>
      </w:r>
    </w:p>
    <w:p>
      <w:pPr>
        <w:pStyle w:val="FirstParagraph"/>
      </w:pPr>
      <w:r>
        <w:rPr>
          <w:b/>
          <w:bCs/>
        </w:rPr>
        <w:t xml:space="preserve">RÉPUBLIQUE DU CAMEROUN</w:t>
      </w:r>
      <w:r>
        <w:t xml:space="preserve"> </w:t>
      </w:r>
      <w:r>
        <w:rPr>
          <w:i/>
          <w:iCs/>
        </w:rPr>
        <w:t xml:space="preserve">Paix — Travail — Patrie</w:t>
      </w:r>
    </w:p>
    <w:p>
      <w:pPr>
        <w:pStyle w:val="BodyText"/>
      </w:pPr>
      <w:r>
        <w:rPr>
          <w:b/>
          <w:bCs/>
        </w:rPr>
        <w:t xml:space="preserve">REPUBLIC OF CAMEROON</w:t>
      </w:r>
      <w:r>
        <w:t xml:space="preserve"> </w:t>
      </w:r>
      <w:r>
        <w:rPr>
          <w:i/>
          <w:iCs/>
        </w:rPr>
        <w:t xml:space="preserve">Peace — Work — Fatherland</w:t>
      </w:r>
    </w:p>
    <w:p>
      <w:r>
        <w:pict>
          <v:rect style="width:0;height:1.5pt" o:hralign="center" o:hrstd="t" o:hr="t"/>
        </w:pict>
      </w:r>
    </w:p>
    <w:p>
      <w:pPr>
        <w:pStyle w:val="FirstParagraph"/>
      </w:pPr>
      <w:r>
        <w:rPr>
          <w:b/>
          <w:bCs/>
        </w:rPr>
        <w:t xml:space="preserve">MINISTÈRE DE L’ENSEIGNEMENT SUPÉRIEUR</w:t>
      </w:r>
    </w:p>
    <w:p>
      <w:pPr>
        <w:pStyle w:val="BodyText"/>
      </w:pPr>
      <w:r>
        <w:rPr>
          <w:b/>
          <w:bCs/>
        </w:rPr>
        <w:t xml:space="preserve">ÉCOLE SUPÉRIEURE TECHNIQUE LASALLE</w:t>
      </w:r>
      <w:r>
        <w:t xml:space="preserve"> </w:t>
      </w:r>
      <w:r>
        <w:rPr>
          <w:i/>
          <w:iCs/>
        </w:rPr>
        <w:t xml:space="preserve">(ESTL)</w:t>
      </w:r>
    </w:p>
    <w:p>
      <w:pPr>
        <w:pStyle w:val="BodyText"/>
      </w:pPr>
      <w:r>
        <w:rPr>
          <w:b/>
          <w:bCs/>
        </w:rPr>
        <w:t xml:space="preserve">Département de Génie Industriel et Maintenance</w:t>
      </w:r>
    </w:p>
    <w:p>
      <w:r>
        <w:pict>
          <v:rect style="width:0;height:1.5pt" o:hralign="center" o:hrstd="t" o:hr="t"/>
        </w:pict>
      </w:r>
    </w:p>
    <w:p>
      <w:pPr>
        <w:pStyle w:val="FirstParagraph"/>
      </w:pPr>
      <w:r>
        <w:rPr>
          <w:b/>
          <w:bCs/>
        </w:rPr>
        <w:t xml:space="preserve">Mémoire rédigé en vue de l’obtention d’un Master Professionnel</w:t>
      </w:r>
    </w:p>
    <w:p>
      <w:pPr>
        <w:pStyle w:val="BodyText"/>
      </w:pPr>
      <w:r>
        <w:rPr>
          <w:b/>
          <w:bCs/>
        </w:rPr>
        <w:t xml:space="preserve">OPTION : MAINTENANCE INDUSTRIELLE</w:t>
      </w:r>
    </w:p>
    <w:p>
      <w:r>
        <w:pict>
          <v:rect style="width:0;height:1.5pt" o:hralign="center" o:hrstd="t" o:hr="t"/>
        </w:pict>
      </w:r>
    </w:p>
    <w:p>
      <w:pPr>
        <w:pStyle w:val="FirstParagraph"/>
      </w:pPr>
      <w:r>
        <w:rPr>
          <w:b/>
          <w:bCs/>
        </w:rPr>
        <w:t xml:space="preserve">Thème :</w:t>
      </w:r>
    </w:p>
    <w:p>
      <w:pPr>
        <w:pStyle w:val="BodyText"/>
      </w:pPr>
      <w:r>
        <w:rPr>
          <w:b/>
          <w:bCs/>
        </w:rPr>
        <w:t xml:space="preserve">SYSTÈME INTÉGRÉ DE MAINTENANCE PRÉDICTIVE DE LA CORROSION PAR APPRENTISSAGE AUTOMATIQUE : TRANSITION INDUSTRIE 3.0 → 4.0 PAR SONDE ER INSTRUMENTÉE IoT, PRÉDICTION DU TAUX DE CORROSION ET DE LA DURÉE DE VIE RÉSIDUELLE PAR XGBoost, ET INTÉGRATION À UN CMMS OPEN-SOURCE</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Rédigé par :</w:t>
            </w:r>
          </w:p>
        </w:tc>
        <w:tc>
          <w:tcPr/>
          <w:p>
            <w:pPr>
              <w:pStyle w:val="Compact"/>
            </w:pPr>
            <w:r>
              <w:t xml:space="preserve">BATOUMBI IKOND Ricky Parfait</w:t>
            </w:r>
          </w:p>
        </w:tc>
      </w:tr>
      <w:tr>
        <w:tc>
          <w:tcPr/>
          <w:p>
            <w:pPr>
              <w:pStyle w:val="Compact"/>
            </w:pPr>
            <w:r>
              <w:rPr>
                <w:b/>
                <w:bCs/>
              </w:rPr>
              <w:t xml:space="preserve">Matricule :</w:t>
            </w:r>
          </w:p>
        </w:tc>
        <w:tc>
          <w:tcPr/>
          <w:p>
            <w:pPr>
              <w:pStyle w:val="Compact"/>
            </w:pPr>
            <w:r>
              <w:t xml:space="preserve">À compléter</w:t>
            </w:r>
          </w:p>
        </w:tc>
      </w:tr>
      <w:tr>
        <w:tc>
          <w:tcPr/>
          <w:p>
            <w:pPr>
              <w:pStyle w:val="Compact"/>
            </w:pPr>
            <w:r>
              <w:rPr>
                <w:b/>
                <w:bCs/>
              </w:rPr>
              <w:t xml:space="preserve">Sous encadrement académique de :</w:t>
            </w:r>
          </w:p>
        </w:tc>
        <w:tc>
          <w:tcPr/>
          <w:p>
            <w:pPr>
              <w:pStyle w:val="Compact"/>
            </w:pPr>
            <w:r>
              <w:t xml:space="preserve">À compléter</w:t>
            </w:r>
          </w:p>
        </w:tc>
      </w:tr>
      <w:tr>
        <w:tc>
          <w:tcPr/>
          <w:p>
            <w:pPr>
              <w:pStyle w:val="Compact"/>
            </w:pPr>
            <w:r>
              <w:rPr>
                <w:b/>
                <w:bCs/>
              </w:rPr>
              <w:t xml:space="preserve">Sous l’encadrement professionnel de :</w:t>
            </w:r>
          </w:p>
        </w:tc>
        <w:tc>
          <w:tcPr/>
          <w:p>
            <w:pPr>
              <w:pStyle w:val="Compact"/>
            </w:pPr>
            <w:r>
              <w:t xml:space="preserve">À compléter (COTCO)</w:t>
            </w:r>
          </w:p>
        </w:tc>
      </w:tr>
      <w:tr>
        <w:tc>
          <w:tcPr/>
          <w:p>
            <w:pPr>
              <w:pStyle w:val="Compact"/>
            </w:pPr>
            <w:r>
              <w:rPr>
                <w:b/>
                <w:bCs/>
              </w:rPr>
              <w:t xml:space="preserve">Sous la supervision de :</w:t>
            </w:r>
          </w:p>
        </w:tc>
        <w:tc>
          <w:tcPr/>
          <w:p>
            <w:pPr>
              <w:pStyle w:val="Compact"/>
            </w:pPr>
            <w:r>
              <w:t xml:space="preserve">À compléter</w:t>
            </w:r>
          </w:p>
        </w:tc>
      </w:tr>
      <w:tr>
        <w:tc>
          <w:tcPr/>
          <w:p>
            <w:pPr>
              <w:pStyle w:val="Compact"/>
            </w:pPr>
            <w:r>
              <w:rPr>
                <w:b/>
                <w:bCs/>
              </w:rPr>
              <w:t xml:space="preserve">Année académique :</w:t>
            </w:r>
          </w:p>
        </w:tc>
        <w:tc>
          <w:tcPr/>
          <w:p>
            <w:pPr>
              <w:pStyle w:val="Compact"/>
            </w:pPr>
            <w:r>
              <w:t xml:space="preserve">2025 — 2026</w:t>
            </w:r>
          </w:p>
        </w:tc>
      </w:tr>
    </w:tbl>
    <w:bookmarkEnd w:id="9"/>
    <w:bookmarkStart w:id="10" w:name="dédicace"/>
    <w:p>
      <w:pPr>
        <w:pStyle w:val="Heading1"/>
      </w:pPr>
      <w:r>
        <w:t xml:space="preserve">DÉDICACE</w:t>
      </w:r>
    </w:p>
    <w:p>
      <w:pPr>
        <w:pStyle w:val="FirstParagraph"/>
      </w:pPr>
      <w:r>
        <w:rPr>
          <w:i/>
          <w:iCs/>
        </w:rPr>
        <w:t xml:space="preserve">À mes chers parents,</w:t>
      </w:r>
    </w:p>
    <w:p>
      <w:pPr>
        <w:pStyle w:val="BodyText"/>
      </w:pPr>
      <w:r>
        <w:rPr>
          <w:i/>
          <w:iCs/>
        </w:rPr>
        <w:t xml:space="preserve">pour leur soutien sans faille tout au long de ce parcours.</w:t>
      </w:r>
    </w:p>
    <w:bookmarkEnd w:id="10"/>
    <w:bookmarkStart w:id="11" w:name="remerciements"/>
    <w:p>
      <w:pPr>
        <w:pStyle w:val="Heading1"/>
      </w:pPr>
      <w:r>
        <w:t xml:space="preserve">REMERCIEMENTS</w:t>
      </w:r>
    </w:p>
    <w:p>
      <w:pPr>
        <w:pStyle w:val="FirstParagraph"/>
      </w:pPr>
      <w:r>
        <w:t xml:space="preserve">Au terme de notre formation pour l’obtention du Master II en Maintenance Industrielle, nous tenons à exprimer notre sincère reconnaissance à l’ensemble du corps professoral de l’École Supérieure Technique La Salle, qui par la qualité de leur enseignement et de leur encadrement, nous a permis de terminer avec succès cette formation en ingénierie. En l’occurrence :</w:t>
      </w:r>
    </w:p>
    <w:p>
      <w:pPr>
        <w:pStyle w:val="Compact"/>
        <w:numPr>
          <w:ilvl w:val="0"/>
          <w:numId w:val="1001"/>
        </w:numPr>
      </w:pPr>
      <w:r>
        <w:t xml:space="preserve">À notre</w:t>
      </w:r>
      <w:r>
        <w:t xml:space="preserve"> </w:t>
      </w:r>
      <w:r>
        <w:rPr>
          <w:b/>
          <w:bCs/>
        </w:rPr>
        <w:t xml:space="preserve">encadreur académique</w:t>
      </w:r>
      <w:r>
        <w:t xml:space="preserve">, pour ses conseils éclairés, sa rigueur scientifique et sa disponibilité tout au long de la rédaction de ce mémoire ;</w:t>
      </w:r>
    </w:p>
    <w:p>
      <w:pPr>
        <w:pStyle w:val="Compact"/>
        <w:numPr>
          <w:ilvl w:val="0"/>
          <w:numId w:val="1001"/>
        </w:numPr>
      </w:pPr>
      <w:r>
        <w:t xml:space="preserve">À notre</w:t>
      </w:r>
      <w:r>
        <w:t xml:space="preserve"> </w:t>
      </w:r>
      <w:r>
        <w:rPr>
          <w:b/>
          <w:bCs/>
        </w:rPr>
        <w:t xml:space="preserve">superviseur</w:t>
      </w:r>
      <w:r>
        <w:t xml:space="preserve">, pour son approche méthodologique et la qualité de ses remarques structurantes ;</w:t>
      </w:r>
    </w:p>
    <w:p>
      <w:pPr>
        <w:pStyle w:val="Compact"/>
        <w:numPr>
          <w:ilvl w:val="0"/>
          <w:numId w:val="1001"/>
        </w:numPr>
      </w:pPr>
      <w:r>
        <w:t xml:space="preserve">À notre</w:t>
      </w:r>
      <w:r>
        <w:t xml:space="preserve"> </w:t>
      </w:r>
      <w:r>
        <w:rPr>
          <w:b/>
          <w:bCs/>
        </w:rPr>
        <w:t xml:space="preserve">encadreur professionnel</w:t>
      </w:r>
      <w:r>
        <w:t xml:space="preserve"> </w:t>
      </w:r>
      <w:r>
        <w:t xml:space="preserve">au sein de la</w:t>
      </w:r>
      <w:r>
        <w:t xml:space="preserve"> </w:t>
      </w:r>
      <w:r>
        <w:rPr>
          <w:b/>
          <w:bCs/>
        </w:rPr>
        <w:t xml:space="preserve">Cameroon Oil Transportation Company (COTCO)</w:t>
      </w:r>
      <w:r>
        <w:t xml:space="preserve">, pour la qualité de son accompagnement, le partage d’expérience terrain et l’accès aux problématiques industrielles concrètes ayant nourri ce travail ;</w:t>
      </w:r>
    </w:p>
    <w:p>
      <w:pPr>
        <w:pStyle w:val="Compact"/>
        <w:numPr>
          <w:ilvl w:val="0"/>
          <w:numId w:val="1001"/>
        </w:numPr>
      </w:pPr>
      <w:r>
        <w:t xml:space="preserve">À l’ensemble du</w:t>
      </w:r>
      <w:r>
        <w:t xml:space="preserve"> </w:t>
      </w:r>
      <w:r>
        <w:rPr>
          <w:b/>
          <w:bCs/>
        </w:rPr>
        <w:t xml:space="preserve">corps enseignant du Département de Génie Industriel et Maintenance</w:t>
      </w:r>
      <w:r>
        <w:t xml:space="preserve"> </w:t>
      </w:r>
      <w:r>
        <w:t xml:space="preserve">pour la formation théorique et pratique de qualité ;</w:t>
      </w:r>
    </w:p>
    <w:p>
      <w:pPr>
        <w:pStyle w:val="Compact"/>
        <w:numPr>
          <w:ilvl w:val="0"/>
          <w:numId w:val="1001"/>
        </w:numPr>
      </w:pPr>
      <w:r>
        <w:t xml:space="preserve">À mes</w:t>
      </w:r>
      <w:r>
        <w:t xml:space="preserve"> </w:t>
      </w:r>
      <w:r>
        <w:rPr>
          <w:b/>
          <w:bCs/>
        </w:rPr>
        <w:t xml:space="preserve">camarades de promotion</w:t>
      </w:r>
      <w:r>
        <w:t xml:space="preserve"> </w:t>
      </w:r>
      <w:r>
        <w:t xml:space="preserve">pour les échanges intellectuels stimulants ;</w:t>
      </w:r>
    </w:p>
    <w:p>
      <w:pPr>
        <w:pStyle w:val="Compact"/>
        <w:numPr>
          <w:ilvl w:val="0"/>
          <w:numId w:val="1001"/>
        </w:numPr>
      </w:pPr>
      <w:r>
        <w:t xml:space="preserve">À mes</w:t>
      </w:r>
      <w:r>
        <w:t xml:space="preserve"> </w:t>
      </w:r>
      <w:r>
        <w:rPr>
          <w:b/>
          <w:bCs/>
        </w:rPr>
        <w:t xml:space="preserve">parents</w:t>
      </w:r>
      <w:r>
        <w:t xml:space="preserve"> </w:t>
      </w:r>
      <w:r>
        <w:t xml:space="preserve">pour leur soutien moral et matériel constant.</w:t>
      </w:r>
    </w:p>
    <w:p>
      <w:pPr>
        <w:pStyle w:val="FirstParagraph"/>
      </w:pPr>
      <w:r>
        <w:t xml:space="preserve">Que tous ceux qui, de près ou de loin, ont contribué à la réussite de ce mémoire et dont les noms n’ont pu être cités, trouvent ici l’expression de mes sincères remerciements.</w:t>
      </w:r>
    </w:p>
    <w:bookmarkEnd w:id="11"/>
    <w:bookmarkStart w:id="12" w:name="résumé"/>
    <w:p>
      <w:pPr>
        <w:pStyle w:val="Heading1"/>
      </w:pPr>
      <w:r>
        <w:t xml:space="preserve">RÉSUMÉ</w:t>
      </w:r>
    </w:p>
    <w:p>
      <w:pPr>
        <w:pStyle w:val="FirstParagraph"/>
      </w:pPr>
      <w:r>
        <w:t xml:space="preserve">La corrosion représente un coût annuel mondial de 2,5 billions de dollars US, soit environ 3,4 % du PIB mondial (Koch et al., 2016). Dans le secteur Oil &amp; Gas, elle constitue la première cause de dégradation des pipelines et des installations de surface. Au Cameroun, la</w:t>
      </w:r>
      <w:r>
        <w:t xml:space="preserve"> </w:t>
      </w:r>
      <w:r>
        <w:rPr>
          <w:b/>
          <w:bCs/>
        </w:rPr>
        <w:t xml:space="preserve">Cameroon Oil Transportation Company (COTCO)</w:t>
      </w:r>
      <w:r>
        <w:t xml:space="preserve"> </w:t>
      </w:r>
      <w:r>
        <w:t xml:space="preserve">exploite depuis 2003 le pipeline Tchad-Cameroun (1 070 km au total, dont 903 km en territoire camerounais), infrastructure stratégique dont l’intégrité conditionne la sécurité environnementale et économique du pays. COTCO dispose déjà d’une</w:t>
      </w:r>
      <w:r>
        <w:t xml:space="preserve"> </w:t>
      </w:r>
      <w:r>
        <w:rPr>
          <w:b/>
          <w:bCs/>
        </w:rPr>
        <w:t xml:space="preserve">surveillance corrosion par sondes ER commerciales</w:t>
      </w:r>
      <w:r>
        <w:t xml:space="preserve"> </w:t>
      </w:r>
      <w:r>
        <w:t xml:space="preserve">(Cosasco, Emerson Roxar) câblées vers le DCS, mais l’exploitation des données reste à un niveau</w:t>
      </w:r>
      <w:r>
        <w:t xml:space="preserve"> </w:t>
      </w:r>
      <w:r>
        <w:rPr>
          <w:b/>
          <w:bCs/>
        </w:rPr>
        <w:t xml:space="preserve">Industrie 3.0</w:t>
      </w:r>
      <w:r>
        <w:t xml:space="preserve"> </w:t>
      </w:r>
      <w:r>
        <w:t xml:space="preserve">: analyse silotée par l’ingénieur corrosion, alertes par seuils fixes, ajustement manuel des doses d’inhibiteur, maintenance des sondes selon calendrier — sans pronostic ni corrélation multi-variables.</w:t>
      </w:r>
    </w:p>
    <w:p>
      <w:pPr>
        <w:pStyle w:val="BodyText"/>
      </w:pPr>
      <w:r>
        <w:t xml:space="preserve">Ce mémoire fait l’hypothèse qu’</w:t>
      </w:r>
      <w:r>
        <w:rPr>
          <w:b/>
          <w:bCs/>
        </w:rPr>
        <w:t xml:space="preserve">à partir des données historiques qu’une entreprise possède déjà</w:t>
      </w:r>
      <w:r>
        <w:t xml:space="preserve"> </w:t>
      </w:r>
      <w:r>
        <w:t xml:space="preserve">(cas COTCO), il est possible d’évoluer vers une</w:t>
      </w:r>
      <w:r>
        <w:t xml:space="preserve"> </w:t>
      </w:r>
      <w:r>
        <w:rPr>
          <w:b/>
          <w:bCs/>
        </w:rPr>
        <w:t xml:space="preserve">couche prédictive supérieure (Industrie 4.0)</w:t>
      </w:r>
      <w:r>
        <w:t xml:space="preserve">. À cette fin, nous proposons un</w:t>
      </w:r>
      <w:r>
        <w:t xml:space="preserve"> </w:t>
      </w:r>
      <w:r>
        <w:rPr>
          <w:b/>
          <w:bCs/>
        </w:rPr>
        <w:t xml:space="preserve">prototype maison fonctionnel doublement transposable</w:t>
      </w:r>
      <w:r>
        <w:t xml:space="preserve"> </w:t>
      </w:r>
      <w:r>
        <w:t xml:space="preserve">: (a) en industrie, en branchant la chaîne ML sur les sondes ER commerciales existantes (saut I3.0 → I4.0 purement logiciel, sans remplacement matériel) ; (b) en autonomie, comme système clé-en-main pour les PME industrielles africaines à budget réduit. Le prototype couvre la chaîne complète</w:t>
      </w:r>
      <w:r>
        <w:t xml:space="preserve"> </w:t>
      </w:r>
      <w:r>
        <w:rPr>
          <w:b/>
          <w:bCs/>
        </w:rPr>
        <w:t xml:space="preserve">détection → diagnostic → pronostic → décision → action</w:t>
      </w:r>
      <w:r>
        <w:t xml:space="preserve"> </w:t>
      </w:r>
      <w:r>
        <w:t xml:space="preserve">définie par la norme ISO 13381-1, articulée autour de quatre composants : (1) une</w:t>
      </w:r>
      <w:r>
        <w:t xml:space="preserve"> </w:t>
      </w:r>
      <w:r>
        <w:rPr>
          <w:b/>
          <w:bCs/>
        </w:rPr>
        <w:t xml:space="preserve">sonde ER (Electrical Resistance)</w:t>
      </w:r>
      <w:r>
        <w:t xml:space="preserve"> </w:t>
      </w:r>
      <w:r>
        <w:t xml:space="preserve">basée sur un fil de fer monté en pont de Wheatstone, instrumentée par un amplificateur HX711 24 bits ; (2) un</w:t>
      </w:r>
      <w:r>
        <w:t xml:space="preserve"> </w:t>
      </w:r>
      <w:r>
        <w:rPr>
          <w:b/>
          <w:bCs/>
        </w:rPr>
        <w:t xml:space="preserve">système d’acquisition IoT</w:t>
      </w:r>
      <w:r>
        <w:t xml:space="preserve"> </w:t>
      </w:r>
      <w:r>
        <w:t xml:space="preserve">à microcontrôleur ESP32 en deep sleep pulsé (10 minutes) mesurant simultanément la résistance et la température (DS18B20) ; (3) un</w:t>
      </w:r>
      <w:r>
        <w:t xml:space="preserve"> </w:t>
      </w:r>
      <w:r>
        <w:rPr>
          <w:b/>
          <w:bCs/>
        </w:rPr>
        <w:t xml:space="preserve">modèle XGBoost</w:t>
      </w:r>
      <w:r>
        <w:t xml:space="preserve"> </w:t>
      </w:r>
      <w:r>
        <w:t xml:space="preserve">entraîné en protocole</w:t>
      </w:r>
      <w:r>
        <w:t xml:space="preserve"> </w:t>
      </w:r>
      <w:r>
        <w:rPr>
          <w:i/>
          <w:iCs/>
        </w:rPr>
        <w:t xml:space="preserve">run-to-failure</w:t>
      </w:r>
      <w:r>
        <w:t xml:space="preserve"> </w:t>
      </w:r>
      <w:r>
        <w:t xml:space="preserve">(RTF) prédisant simultanément le taux de corrosion (CR, en mm/an) et la durée de vie résiduelle (RUL, en heures), avec module de diagnostic des régimes de corrosion et interprétabilité par analyse SHAP ; (4) une</w:t>
      </w:r>
      <w:r>
        <w:t xml:space="preserve"> </w:t>
      </w:r>
      <w:r>
        <w:rPr>
          <w:b/>
          <w:bCs/>
        </w:rPr>
        <w:t xml:space="preserve">application web Streamlit</w:t>
      </w:r>
      <w:r>
        <w:t xml:space="preserve"> </w:t>
      </w:r>
      <w:r>
        <w:t xml:space="preserve">intégrée par</w:t>
      </w:r>
      <w:r>
        <w:t xml:space="preserve"> </w:t>
      </w:r>
      <w:r>
        <w:rPr>
          <w:b/>
          <w:bCs/>
        </w:rPr>
        <w:t xml:space="preserve">API REST à un CMMS open-source</w:t>
      </w:r>
      <w:r>
        <w:t xml:space="preserve"> </w:t>
      </w:r>
      <w:r>
        <w:t xml:space="preserve">(GLPI ou équivalent) pour la création automatique des demandes de travaux à partir des alertes prédictives, démontrant qu’une PME africaine peut bénéficier d’une gestion structurée de la maintenance sans recourir aux solutions propriétaires (SAP PM, IBM Maximo).</w:t>
      </w:r>
    </w:p>
    <w:p>
      <w:pPr>
        <w:pStyle w:val="BodyText"/>
      </w:pPr>
      <w:r>
        <w:t xml:space="preserve">L’environnement corrosif de référence est un</w:t>
      </w:r>
      <w:r>
        <w:t xml:space="preserve"> </w:t>
      </w:r>
      <w:r>
        <w:rPr>
          <w:b/>
          <w:bCs/>
        </w:rPr>
        <w:t xml:space="preserve">détartrant industriel commercial multi-acide</w:t>
      </w:r>
      <w:r>
        <w:t xml:space="preserve"> </w:t>
      </w:r>
      <w:r>
        <w:t xml:space="preserve">à base d’acide chlorhydrique (5–15 %) et d’acide phosphorique (10–30 %), générant un milieu acide mixte (pH ≈ 1) reproduisant des conditions agressives comparables aux effluents acides industriels. Le protocole comporte quatre runs RTF : deux runs de référence sans inhibiteur et deux runs avec injection d’un</w:t>
      </w:r>
      <w:r>
        <w:t xml:space="preserve"> </w:t>
      </w:r>
      <w:r>
        <w:rPr>
          <w:b/>
          <w:bCs/>
        </w:rPr>
        <w:t xml:space="preserve">inhibiteur de corrosion à base d’imidazoline</w:t>
      </w:r>
      <w:r>
        <w:t xml:space="preserve"> </w:t>
      </w:r>
      <w:r>
        <w:t xml:space="preserve">(référence commerciale à sélectionner) à concentrations croissantes (0,1 % et 0,5 % v/v).</w:t>
      </w:r>
    </w:p>
    <w:p>
      <w:pPr>
        <w:pStyle w:val="BodyText"/>
      </w:pPr>
      <w:r>
        <w:t xml:space="preserve">Ce travail démontre la faisabilité d’une transition Industrie 3.0 → 4.0 appliquée à la corrosion, intégralement réalisable à partir de composants et services accessibles localement au Cameroun, et propose une chaîne de valeur reproductible aussi bien pour les opérateurs industriels disposant déjà d’une instrumentation commerciale que pour les PME industrielles cherchant à initier leur transition numérique sans investissement initial prohibitif.</w:t>
      </w:r>
    </w:p>
    <w:p>
      <w:pPr>
        <w:pStyle w:val="BodyText"/>
      </w:pPr>
      <w:r>
        <w:rPr>
          <w:b/>
          <w:bCs/>
        </w:rPr>
        <w:t xml:space="preserve">Mots clés</w:t>
      </w:r>
    </w:p>
    <w:p>
      <w:pPr>
        <w:pStyle w:val="BodyText"/>
      </w:pPr>
      <w:r>
        <w:t xml:space="preserve">Maintenance prédictive</w:t>
      </w:r>
    </w:p>
    <w:p>
      <w:pPr>
        <w:pStyle w:val="BodyText"/>
      </w:pPr>
      <w:r>
        <w:t xml:space="preserve">Corrosion industrielle</w:t>
      </w:r>
    </w:p>
    <w:p>
      <w:pPr>
        <w:pStyle w:val="BodyText"/>
      </w:pPr>
      <w:r>
        <w:t xml:space="preserve">Industrie 4.0</w:t>
      </w:r>
    </w:p>
    <w:p>
      <w:pPr>
        <w:pStyle w:val="BodyText"/>
      </w:pPr>
      <w:r>
        <w:t xml:space="preserve">Apprentissage automatique</w:t>
      </w:r>
    </w:p>
    <w:p>
      <w:pPr>
        <w:pStyle w:val="BodyText"/>
      </w:pPr>
      <w:r>
        <w:t xml:space="preserve">Intégration CMMS</w:t>
      </w:r>
    </w:p>
    <w:bookmarkEnd w:id="12"/>
    <w:bookmarkStart w:id="13" w:name="abstract"/>
    <w:p>
      <w:pPr>
        <w:pStyle w:val="Heading1"/>
      </w:pPr>
      <w:r>
        <w:t xml:space="preserve">ABSTRACT</w:t>
      </w:r>
    </w:p>
    <w:p>
      <w:pPr>
        <w:pStyle w:val="FirstParagraph"/>
      </w:pPr>
      <w:r>
        <w:t xml:space="preserve">Corrosion accounts for a global annual cost of USD 2.5 trillion, approximately 3.4 % of global GDP (Koch et al., 2016). In the Oil &amp; Gas sector, it remains the leading cause of pipeline and surface-equipment degradation. In Cameroon, the</w:t>
      </w:r>
      <w:r>
        <w:t xml:space="preserve"> </w:t>
      </w:r>
      <w:r>
        <w:rPr>
          <w:b/>
          <w:bCs/>
        </w:rPr>
        <w:t xml:space="preserve">Cameroon Oil Transportation Company (COTCO)</w:t>
      </w:r>
      <w:r>
        <w:t xml:space="preserve"> </w:t>
      </w:r>
      <w:r>
        <w:t xml:space="preserve">has operated since 2003 the 1,070 km Chad-Cameroon pipeline (903 km within Cameroonian territory), a strategic infrastructure whose integrity conditions both environmental and economic security. COTCO already operates</w:t>
      </w:r>
      <w:r>
        <w:t xml:space="preserve"> </w:t>
      </w:r>
      <w:r>
        <w:rPr>
          <w:b/>
          <w:bCs/>
        </w:rPr>
        <w:t xml:space="preserve">commercial ER corrosion probes</w:t>
      </w:r>
      <w:r>
        <w:t xml:space="preserve"> </w:t>
      </w:r>
      <w:r>
        <w:t xml:space="preserve">(Cosasco, Emerson Roxar) hard-wired to the DCS; however, data exploitation remains at an</w:t>
      </w:r>
      <w:r>
        <w:t xml:space="preserve"> </w:t>
      </w:r>
      <w:r>
        <w:rPr>
          <w:b/>
          <w:bCs/>
        </w:rPr>
        <w:t xml:space="preserve">Industry 3.0</w:t>
      </w:r>
      <w:r>
        <w:t xml:space="preserve"> </w:t>
      </w:r>
      <w:r>
        <w:t xml:space="preserve">level: siloed analysis by the corrosion engineer, fixed-threshold alerts, manual inhibitor dosing, calendar-based probe maintenance — without prognosis or multi-variable correlation.</w:t>
      </w:r>
    </w:p>
    <w:p>
      <w:pPr>
        <w:pStyle w:val="BodyText"/>
      </w:pPr>
      <w:r>
        <w:t xml:space="preserve">This thesis hypothesises that</w:t>
      </w:r>
      <w:r>
        <w:t xml:space="preserve"> </w:t>
      </w:r>
      <w:r>
        <w:rPr>
          <w:b/>
          <w:bCs/>
        </w:rPr>
        <w:t xml:space="preserve">from the historical data a company already owns</w:t>
      </w:r>
      <w:r>
        <w:t xml:space="preserve"> </w:t>
      </w:r>
      <w:r>
        <w:t xml:space="preserve">(COTCO case), it is possible to leap to a</w:t>
      </w:r>
      <w:r>
        <w:t xml:space="preserve"> </w:t>
      </w:r>
      <w:r>
        <w:rPr>
          <w:b/>
          <w:bCs/>
        </w:rPr>
        <w:t xml:space="preserve">predictive layer (Industry 4.0)</w:t>
      </w:r>
      <w:r>
        <w:t xml:space="preserve">. We propose a</w:t>
      </w:r>
      <w:r>
        <w:t xml:space="preserve"> </w:t>
      </w:r>
      <w:r>
        <w:rPr>
          <w:b/>
          <w:bCs/>
        </w:rPr>
        <w:t xml:space="preserve">functional in-house prototype with twofold transposability</w:t>
      </w:r>
      <w:r>
        <w:t xml:space="preserve">: (a) industrial, by plugging the ML pipeline onto existing commercial ER probes (purely software-level I3.0 → I4.0 leap, no hardware replacement); (b) standalone, as a turnkey system for African industrial SMEs with limited budget. The prototype covers the complete</w:t>
      </w:r>
      <w:r>
        <w:t xml:space="preserve"> </w:t>
      </w:r>
      <w:r>
        <w:rPr>
          <w:b/>
          <w:bCs/>
        </w:rPr>
        <w:t xml:space="preserve">detection → diagnostic → prognosis → decision → action</w:t>
      </w:r>
      <w:r>
        <w:t xml:space="preserve"> </w:t>
      </w:r>
      <w:r>
        <w:t xml:space="preserve">chain defined by ISO 13381-1, built on four components: (1) an</w:t>
      </w:r>
      <w:r>
        <w:t xml:space="preserve"> </w:t>
      </w:r>
      <w:r>
        <w:rPr>
          <w:b/>
          <w:bCs/>
        </w:rPr>
        <w:t xml:space="preserve">ER (Electrical Resistance) probe</w:t>
      </w:r>
      <w:r>
        <w:t xml:space="preserve"> </w:t>
      </w:r>
      <w:r>
        <w:t xml:space="preserve">based on an iron wire mounted in a Wheatstone bridge instrumented by a 24-bit HX711 amplifier; (2) an</w:t>
      </w:r>
      <w:r>
        <w:t xml:space="preserve"> </w:t>
      </w:r>
      <w:r>
        <w:rPr>
          <w:b/>
          <w:bCs/>
        </w:rPr>
        <w:t xml:space="preserve">IoT acquisition system</w:t>
      </w:r>
      <w:r>
        <w:t xml:space="preserve"> </w:t>
      </w:r>
      <w:r>
        <w:t xml:space="preserve">using an ESP32 microcontroller in pulsed deep-sleep mode (10 minutes) measuring resistance and temperature (DS18B20) simultaneously; (3) an</w:t>
      </w:r>
      <w:r>
        <w:t xml:space="preserve"> </w:t>
      </w:r>
      <w:r>
        <w:rPr>
          <w:b/>
          <w:bCs/>
        </w:rPr>
        <w:t xml:space="preserve">XGBoost model</w:t>
      </w:r>
      <w:r>
        <w:t xml:space="preserve"> </w:t>
      </w:r>
      <w:r>
        <w:t xml:space="preserve">trained under a</w:t>
      </w:r>
      <w:r>
        <w:t xml:space="preserve"> </w:t>
      </w:r>
      <w:r>
        <w:rPr>
          <w:i/>
          <w:iCs/>
        </w:rPr>
        <w:t xml:space="preserve">run-to-failure</w:t>
      </w:r>
      <w:r>
        <w:t xml:space="preserve"> </w:t>
      </w:r>
      <w:r>
        <w:t xml:space="preserve">(RTF) protocol predicting both corrosion rate (CR, in mm/year) and remaining useful life (RUL, in hours), with corrosion regime diagnostic and SHAP-based interpretability; (4) a</w:t>
      </w:r>
      <w:r>
        <w:t xml:space="preserve"> </w:t>
      </w:r>
      <w:r>
        <w:rPr>
          <w:b/>
          <w:bCs/>
        </w:rPr>
        <w:t xml:space="preserve">Streamlit web application</w:t>
      </w:r>
      <w:r>
        <w:t xml:space="preserve"> </w:t>
      </w:r>
      <w:r>
        <w:t xml:space="preserve">integrated via</w:t>
      </w:r>
      <w:r>
        <w:t xml:space="preserve"> </w:t>
      </w:r>
      <w:r>
        <w:rPr>
          <w:b/>
          <w:bCs/>
        </w:rPr>
        <w:t xml:space="preserve">REST API to an open-source CMMS</w:t>
      </w:r>
      <w:r>
        <w:t xml:space="preserve"> </w:t>
      </w:r>
      <w:r>
        <w:t xml:space="preserve">(GLPI or equivalent) for automatic work-order generation from predictive alerts, demonstrating that an African SME can manage assets and maintenance KPIs without resorting to proprietary solutions (SAP PM, IBM Maximo).</w:t>
      </w:r>
    </w:p>
    <w:p>
      <w:pPr>
        <w:pStyle w:val="BodyText"/>
      </w:pPr>
      <w:r>
        <w:t xml:space="preserve">The reference corrosive medium is a</w:t>
      </w:r>
      <w:r>
        <w:t xml:space="preserve"> </w:t>
      </w:r>
      <w:r>
        <w:rPr>
          <w:b/>
          <w:bCs/>
        </w:rPr>
        <w:t xml:space="preserve">commercial multi-acid industrial descaler</w:t>
      </w:r>
      <w:r>
        <w:t xml:space="preserve"> </w:t>
      </w:r>
      <w:r>
        <w:t xml:space="preserve">containing hydrochloric acid (5–15 %) and phosphoric acid (10–30 %), producing a mixed-acid medium (pH ≈ 1) reproducing aggressive conditions similar to those of industrial acidic effluents. The protocol comprises four RTF runs: two baseline runs without inhibitor and two runs with injection of an</w:t>
      </w:r>
      <w:r>
        <w:t xml:space="preserve"> </w:t>
      </w:r>
      <w:r>
        <w:rPr>
          <w:b/>
          <w:bCs/>
        </w:rPr>
        <w:t xml:space="preserve">imidazoline-based corrosion inhibitor</w:t>
      </w:r>
      <w:r>
        <w:t xml:space="preserve"> </w:t>
      </w:r>
      <w:r>
        <w:t xml:space="preserve">(commercial reference to be selected) at increasing concentrations (0.1 % and 0.5 % v/v).</w:t>
      </w:r>
    </w:p>
    <w:p>
      <w:pPr>
        <w:pStyle w:val="BodyText"/>
      </w:pPr>
      <w:r>
        <w:t xml:space="preserve">This work demonstrates the feasibility of a corrosion-focused Industry 3.0 → 4.0 transition fully buildable from components and services available locally in Cameroon, and proposes a reproducible value chain serving both industrial operators with existing commercial instrumentation and SMEs initiating their digital transition without prohibitive upfront investment.</w:t>
      </w:r>
    </w:p>
    <w:p>
      <w:pPr>
        <w:pStyle w:val="BodyText"/>
      </w:pPr>
      <w:r>
        <w:rPr>
          <w:b/>
          <w:bCs/>
        </w:rPr>
        <w:t xml:space="preserve">Keywords</w:t>
      </w:r>
    </w:p>
    <w:p>
      <w:pPr>
        <w:pStyle w:val="BodyText"/>
      </w:pPr>
      <w:r>
        <w:t xml:space="preserve">Predictive maintenance</w:t>
      </w:r>
    </w:p>
    <w:p>
      <w:pPr>
        <w:pStyle w:val="BodyText"/>
      </w:pPr>
      <w:r>
        <w:t xml:space="preserve">Industrial corrosion</w:t>
      </w:r>
    </w:p>
    <w:p>
      <w:pPr>
        <w:pStyle w:val="BodyText"/>
      </w:pPr>
      <w:r>
        <w:t xml:space="preserve">Industry 4.0</w:t>
      </w:r>
    </w:p>
    <w:p>
      <w:pPr>
        <w:pStyle w:val="BodyText"/>
      </w:pPr>
      <w:r>
        <w:t xml:space="preserve">Machine learning</w:t>
      </w:r>
    </w:p>
    <w:p>
      <w:pPr>
        <w:pStyle w:val="BodyText"/>
      </w:pPr>
      <w:r>
        <w:t xml:space="preserve">CMMS integration</w:t>
      </w:r>
    </w:p>
    <w:bookmarkEnd w:id="13"/>
    <w:bookmarkStart w:id="14" w:name="liste-des-abréviations"/>
    <w:p>
      <w:pPr>
        <w:pStyle w:val="Heading1"/>
      </w:pPr>
      <w:r>
        <w:t xml:space="preserve">LISTE DES ABRÉVIATIONS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Abréviation</w:t>
            </w:r>
          </w:p>
        </w:tc>
        <w:tc>
          <w:tcPr/>
          <w:p>
            <w:pPr>
              <w:pStyle w:val="Compact"/>
            </w:pPr>
            <w:r>
              <w:t xml:space="preserve">Signification</w:t>
            </w:r>
          </w:p>
        </w:tc>
      </w:tr>
      <w:tr>
        <w:tc>
          <w:tcPr/>
          <w:p>
            <w:pPr>
              <w:pStyle w:val="Compact"/>
            </w:pPr>
            <w:r>
              <w:t xml:space="preserve">API REST</w:t>
            </w:r>
          </w:p>
        </w:tc>
        <w:tc>
          <w:tcPr/>
          <w:p>
            <w:pPr>
              <w:pStyle w:val="Compact"/>
            </w:pPr>
            <w:r>
              <w:t xml:space="preserve">Application Programming Interface — REpresentational State Transfer</w:t>
            </w:r>
          </w:p>
        </w:tc>
      </w:tr>
      <w:tr>
        <w:tc>
          <w:tcPr/>
          <w:p>
            <w:pPr>
              <w:pStyle w:val="Compact"/>
            </w:pPr>
            <w:r>
              <w:t xml:space="preserve">ADC</w:t>
            </w:r>
          </w:p>
        </w:tc>
        <w:tc>
          <w:tcPr/>
          <w:p>
            <w:pPr>
              <w:pStyle w:val="Compact"/>
            </w:pPr>
            <w:r>
              <w:t xml:space="preserve">Analog-to-Digital Converter (Convertisseur Analogique-Numérique)</w:t>
            </w:r>
          </w:p>
        </w:tc>
      </w:tr>
      <w:tr>
        <w:tc>
          <w:tcPr/>
          <w:p>
            <w:pPr>
              <w:pStyle w:val="Compact"/>
            </w:pPr>
            <w:r>
              <w:t xml:space="preserve">AI</w:t>
            </w:r>
          </w:p>
        </w:tc>
        <w:tc>
          <w:tcPr/>
          <w:p>
            <w:pPr>
              <w:pStyle w:val="Compact"/>
            </w:pPr>
            <w:r>
              <w:t xml:space="preserve">Artificial Intelligence (Intelligence Artificielle)</w:t>
            </w:r>
          </w:p>
        </w:tc>
      </w:tr>
      <w:tr>
        <w:tc>
          <w:tcPr/>
          <w:p>
            <w:pPr>
              <w:pStyle w:val="Compact"/>
            </w:pPr>
            <w:r>
              <w:t xml:space="preserve">AMPP</w:t>
            </w:r>
          </w:p>
        </w:tc>
        <w:tc>
          <w:tcPr/>
          <w:p>
            <w:pPr>
              <w:pStyle w:val="Compact"/>
            </w:pPr>
            <w:r>
              <w:t xml:space="preserve">Association for Materials Protection and Performance (ex-NACE)</w:t>
            </w:r>
          </w:p>
        </w:tc>
      </w:tr>
      <w:tr>
        <w:tc>
          <w:tcPr/>
          <w:p>
            <w:pPr>
              <w:pStyle w:val="Compact"/>
            </w:pPr>
            <w:r>
              <w:t xml:space="preserve">ASTM</w:t>
            </w:r>
          </w:p>
        </w:tc>
        <w:tc>
          <w:tcPr/>
          <w:p>
            <w:pPr>
              <w:pStyle w:val="Compact"/>
            </w:pPr>
            <w:r>
              <w:t xml:space="preserve">American Society for Testing and Materials</w:t>
            </w:r>
          </w:p>
        </w:tc>
      </w:tr>
      <w:tr>
        <w:tc>
          <w:tcPr/>
          <w:p>
            <w:pPr>
              <w:pStyle w:val="Compact"/>
            </w:pPr>
            <w:r>
              <w:t xml:space="preserve">CMMS</w:t>
            </w:r>
          </w:p>
        </w:tc>
        <w:tc>
          <w:tcPr/>
          <w:p>
            <w:pPr>
              <w:pStyle w:val="Compact"/>
            </w:pPr>
            <w:r>
              <w:t xml:space="preserve">Computerized Maintenance Management System (équivalent anglais de GMAO)</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ASTM</w:t>
            </w:r>
          </w:p>
        </w:tc>
        <w:tc>
          <w:tcPr/>
          <w:p>
            <w:pPr>
              <w:pStyle w:val="Compact"/>
            </w:pPr>
            <w:r>
              <w:t xml:space="preserve">American Society for Testing and Materials</w:t>
            </w:r>
          </w:p>
        </w:tc>
      </w:tr>
      <w:tr>
        <w:tc>
          <w:tcPr/>
          <w:p>
            <w:pPr>
              <w:pStyle w:val="Compact"/>
            </w:pPr>
            <w:r>
              <w:t xml:space="preserve">CMRR</w:t>
            </w:r>
          </w:p>
        </w:tc>
        <w:tc>
          <w:tcPr/>
          <w:p>
            <w:pPr>
              <w:pStyle w:val="Compact"/>
            </w:pPr>
            <w:r>
              <w:t xml:space="preserve">Common-Mode Rejection Ratio</w:t>
            </w:r>
          </w:p>
        </w:tc>
      </w:tr>
      <w:tr>
        <w:tc>
          <w:tcPr/>
          <w:p>
            <w:pPr>
              <w:pStyle w:val="Compact"/>
            </w:pPr>
            <w:r>
              <w:t xml:space="preserve">COTCO</w:t>
            </w:r>
          </w:p>
        </w:tc>
        <w:tc>
          <w:tcPr/>
          <w:p>
            <w:pPr>
              <w:pStyle w:val="Compact"/>
            </w:pPr>
            <w:r>
              <w:t xml:space="preserve">Cameroon Oil Transportation Company</w:t>
            </w:r>
          </w:p>
        </w:tc>
      </w:tr>
      <w:tr>
        <w:tc>
          <w:tcPr/>
          <w:p>
            <w:pPr>
              <w:pStyle w:val="Compact"/>
            </w:pPr>
            <w:r>
              <w:t xml:space="preserve">CR</w:t>
            </w:r>
          </w:p>
        </w:tc>
        <w:tc>
          <w:tcPr/>
          <w:p>
            <w:pPr>
              <w:pStyle w:val="Compact"/>
            </w:pPr>
            <w:r>
              <w:t xml:space="preserve">Corrosion Rate (Taux de corrosion, mm/an)</w:t>
            </w:r>
          </w:p>
        </w:tc>
      </w:tr>
      <w:tr>
        <w:tc>
          <w:tcPr/>
          <w:p>
            <w:pPr>
              <w:pStyle w:val="Compact"/>
            </w:pPr>
            <w:r>
              <w:t xml:space="preserve">CV</w:t>
            </w:r>
          </w:p>
        </w:tc>
        <w:tc>
          <w:tcPr/>
          <w:p>
            <w:pPr>
              <w:pStyle w:val="Compact"/>
            </w:pPr>
            <w:r>
              <w:t xml:space="preserve">Cross-Validation (validation croisée)</w:t>
            </w:r>
          </w:p>
        </w:tc>
      </w:tr>
      <w:tr>
        <w:tc>
          <w:tcPr/>
          <w:p>
            <w:pPr>
              <w:pStyle w:val="Compact"/>
            </w:pPr>
            <w:r>
              <w:t xml:space="preserve">DS18B20</w:t>
            </w:r>
          </w:p>
        </w:tc>
        <w:tc>
          <w:tcPr/>
          <w:p>
            <w:pPr>
              <w:pStyle w:val="Compact"/>
            </w:pPr>
            <w:r>
              <w:t xml:space="preserve">Capteur numérique de température, bus 1-Wire</w:t>
            </w:r>
          </w:p>
        </w:tc>
      </w:tr>
      <w:tr>
        <w:tc>
          <w:tcPr/>
          <w:p>
            <w:pPr>
              <w:pStyle w:val="Compact"/>
            </w:pPr>
            <w:r>
              <w:t xml:space="preserve">EIS</w:t>
            </w:r>
          </w:p>
        </w:tc>
        <w:tc>
          <w:tcPr/>
          <w:p>
            <w:pPr>
              <w:pStyle w:val="Compact"/>
            </w:pPr>
            <w:r>
              <w:t xml:space="preserve">Electrochemical Impedance Spectroscopy</w:t>
            </w:r>
          </w:p>
        </w:tc>
      </w:tr>
      <w:tr>
        <w:tc>
          <w:tcPr/>
          <w:p>
            <w:pPr>
              <w:pStyle w:val="Compact"/>
            </w:pPr>
            <w:r>
              <w:t xml:space="preserve">EN</w:t>
            </w:r>
          </w:p>
        </w:tc>
        <w:tc>
          <w:tcPr/>
          <w:p>
            <w:pPr>
              <w:pStyle w:val="Compact"/>
            </w:pPr>
            <w:r>
              <w:t xml:space="preserve">Norme Européenne</w:t>
            </w:r>
          </w:p>
        </w:tc>
      </w:tr>
      <w:tr>
        <w:tc>
          <w:tcPr/>
          <w:p>
            <w:pPr>
              <w:pStyle w:val="Compact"/>
            </w:pPr>
            <w:r>
              <w:t xml:space="preserve">ER</w:t>
            </w:r>
          </w:p>
        </w:tc>
        <w:tc>
          <w:tcPr/>
          <w:p>
            <w:pPr>
              <w:pStyle w:val="Compact"/>
            </w:pPr>
            <w:r>
              <w:t xml:space="preserve">Electrical Resistance (Résistance Électrique)</w:t>
            </w:r>
          </w:p>
        </w:tc>
      </w:tr>
      <w:tr>
        <w:tc>
          <w:tcPr/>
          <w:p>
            <w:pPr>
              <w:pStyle w:val="Compact"/>
            </w:pPr>
            <w:r>
              <w:t xml:space="preserve">ESTL</w:t>
            </w:r>
          </w:p>
        </w:tc>
        <w:tc>
          <w:tcPr/>
          <w:p>
            <w:pPr>
              <w:pStyle w:val="Compact"/>
            </w:pPr>
            <w:r>
              <w:t xml:space="preserve">École Supérieure Technique La Salle</w:t>
            </w:r>
          </w:p>
        </w:tc>
      </w:tr>
      <w:tr>
        <w:tc>
          <w:tcPr/>
          <w:p>
            <w:pPr>
              <w:pStyle w:val="Compact"/>
            </w:pPr>
            <w:r>
              <w:t xml:space="preserve">ESP32</w:t>
            </w:r>
          </w:p>
        </w:tc>
        <w:tc>
          <w:tcPr/>
          <w:p>
            <w:pPr>
              <w:pStyle w:val="Compact"/>
            </w:pPr>
            <w:r>
              <w:t xml:space="preserve">Microcontrôleur bi-cœur Wi-Fi + Bluetooth (Espressif)</w:t>
            </w:r>
          </w:p>
        </w:tc>
      </w:tr>
      <w:tr>
        <w:tc>
          <w:tcPr/>
          <w:p>
            <w:pPr>
              <w:pStyle w:val="Compact"/>
            </w:pPr>
            <w:r>
              <w:t xml:space="preserve">FBE</w:t>
            </w:r>
          </w:p>
        </w:tc>
        <w:tc>
          <w:tcPr/>
          <w:p>
            <w:pPr>
              <w:pStyle w:val="Compact"/>
            </w:pPr>
            <w:r>
              <w:t xml:space="preserve">Fusion-Bonded Epoxy (revêtement pipeline)</w:t>
            </w:r>
          </w:p>
        </w:tc>
      </w:tr>
      <w:tr>
        <w:tc>
          <w:tcPr/>
          <w:p>
            <w:pPr>
              <w:pStyle w:val="Compact"/>
            </w:pPr>
            <w:r>
              <w:t xml:space="preserve">FePO₄</w:t>
            </w:r>
          </w:p>
        </w:tc>
        <w:tc>
          <w:tcPr/>
          <w:p>
            <w:pPr>
              <w:pStyle w:val="Compact"/>
            </w:pPr>
            <w:r>
              <w:t xml:space="preserve">Phosphate de fer (III)</w:t>
            </w:r>
          </w:p>
        </w:tc>
      </w:tr>
      <w:tr>
        <w:tc>
          <w:tcPr/>
          <w:p>
            <w:pPr>
              <w:pStyle w:val="Compact"/>
            </w:pPr>
            <w:r>
              <w:t xml:space="preserve">FSO</w:t>
            </w:r>
          </w:p>
        </w:tc>
        <w:tc>
          <w:tcPr/>
          <w:p>
            <w:pPr>
              <w:pStyle w:val="Compact"/>
            </w:pPr>
            <w:r>
              <w:t xml:space="preserve">Floating Storage and Offloading unit</w:t>
            </w:r>
          </w:p>
        </w:tc>
      </w:tr>
      <w:tr>
        <w:tc>
          <w:tcPr/>
          <w:p>
            <w:pPr>
              <w:pStyle w:val="Compact"/>
            </w:pPr>
            <w:r>
              <w:t xml:space="preserve">GMAO</w:t>
            </w:r>
          </w:p>
        </w:tc>
        <w:tc>
          <w:tcPr/>
          <w:p>
            <w:pPr>
              <w:pStyle w:val="Compact"/>
            </w:pPr>
            <w:r>
              <w:t xml:space="preserve">Gestion de Maintenance Assistée par Ordinateur</w:t>
            </w:r>
          </w:p>
        </w:tc>
      </w:tr>
      <w:tr>
        <w:tc>
          <w:tcPr/>
          <w:p>
            <w:pPr>
              <w:pStyle w:val="Compact"/>
            </w:pPr>
            <w:r>
              <w:t xml:space="preserve">GPIO</w:t>
            </w:r>
          </w:p>
        </w:tc>
        <w:tc>
          <w:tcPr/>
          <w:p>
            <w:pPr>
              <w:pStyle w:val="Compact"/>
            </w:pPr>
            <w:r>
              <w:t xml:space="preserve">General-Purpose Input/Output</w:t>
            </w:r>
          </w:p>
        </w:tc>
      </w:tr>
      <w:tr>
        <w:tc>
          <w:tcPr/>
          <w:p>
            <w:pPr>
              <w:pStyle w:val="Compact"/>
            </w:pPr>
            <w:r>
              <w:t xml:space="preserve">HCl</w:t>
            </w:r>
          </w:p>
        </w:tc>
        <w:tc>
          <w:tcPr/>
          <w:p>
            <w:pPr>
              <w:pStyle w:val="Compact"/>
            </w:pPr>
            <w:r>
              <w:t xml:space="preserve">Acide chlorhydrique</w:t>
            </w:r>
          </w:p>
        </w:tc>
      </w:tr>
      <w:tr>
        <w:tc>
          <w:tcPr/>
          <w:p>
            <w:pPr>
              <w:pStyle w:val="Compact"/>
            </w:pPr>
            <w:r>
              <w:t xml:space="preserve">H₃PO₄</w:t>
            </w:r>
          </w:p>
        </w:tc>
        <w:tc>
          <w:tcPr/>
          <w:p>
            <w:pPr>
              <w:pStyle w:val="Compact"/>
            </w:pPr>
            <w:r>
              <w:t xml:space="preserve">Acide phosphorique</w:t>
            </w:r>
          </w:p>
        </w:tc>
      </w:tr>
      <w:tr>
        <w:tc>
          <w:tcPr/>
          <w:p>
            <w:pPr>
              <w:pStyle w:val="Compact"/>
            </w:pPr>
            <w:r>
              <w:t xml:space="preserve">HX711</w:t>
            </w:r>
          </w:p>
        </w:tc>
        <w:tc>
          <w:tcPr/>
          <w:p>
            <w:pPr>
              <w:pStyle w:val="Compact"/>
            </w:pPr>
            <w:r>
              <w:t xml:space="preserve">Amplificateur d’instrumentation et ADC 24 bits</w:t>
            </w:r>
          </w:p>
        </w:tc>
      </w:tr>
      <w:tr>
        <w:tc>
          <w:tcPr/>
          <w:p>
            <w:pPr>
              <w:pStyle w:val="Compact"/>
            </w:pPr>
            <w:r>
              <w:t xml:space="preserve">IMPACT</w:t>
            </w:r>
          </w:p>
        </w:tc>
        <w:tc>
          <w:tcPr/>
          <w:p>
            <w:pPr>
              <w:pStyle w:val="Compact"/>
            </w:pPr>
            <w:r>
              <w:t xml:space="preserve">International Measures of Prevention, Application and Economics of Corrosion Technology</w:t>
            </w:r>
          </w:p>
        </w:tc>
      </w:tr>
      <w:tr>
        <w:tc>
          <w:tcPr/>
          <w:p>
            <w:pPr>
              <w:pStyle w:val="Compact"/>
            </w:pPr>
            <w:r>
              <w:t xml:space="preserve">IoT</w:t>
            </w:r>
          </w:p>
        </w:tc>
        <w:tc>
          <w:tcPr/>
          <w:p>
            <w:pPr>
              <w:pStyle w:val="Compact"/>
            </w:pPr>
            <w:r>
              <w:t xml:space="preserve">Internet of Things (Internet des Objets)</w:t>
            </w:r>
          </w:p>
        </w:tc>
      </w:tr>
      <w:tr>
        <w:tc>
          <w:tcPr/>
          <w:p>
            <w:pPr>
              <w:pStyle w:val="Compact"/>
            </w:pPr>
            <w:r>
              <w:t xml:space="preserve">IQR</w:t>
            </w:r>
          </w:p>
        </w:tc>
        <w:tc>
          <w:tcPr/>
          <w:p>
            <w:pPr>
              <w:pStyle w:val="Compact"/>
            </w:pPr>
            <w:r>
              <w:t xml:space="preserve">Interquartile Range</w:t>
            </w:r>
          </w:p>
        </w:tc>
      </w:tr>
      <w:tr>
        <w:tc>
          <w:tcPr/>
          <w:p>
            <w:pPr>
              <w:pStyle w:val="Compact"/>
            </w:pPr>
            <w:r>
              <w:t xml:space="preserve">KPI</w:t>
            </w:r>
          </w:p>
        </w:tc>
        <w:tc>
          <w:tcPr/>
          <w:p>
            <w:pPr>
              <w:pStyle w:val="Compact"/>
            </w:pPr>
            <w:r>
              <w:t xml:space="preserve">Key Performance Indicator</w:t>
            </w:r>
          </w:p>
        </w:tc>
      </w:tr>
      <w:tr>
        <w:tc>
          <w:tcPr/>
          <w:p>
            <w:pPr>
              <w:pStyle w:val="Compact"/>
            </w:pPr>
            <w:r>
              <w:t xml:space="preserve">ISO</w:t>
            </w:r>
          </w:p>
        </w:tc>
        <w:tc>
          <w:tcPr/>
          <w:p>
            <w:pPr>
              <w:pStyle w:val="Compact"/>
            </w:pPr>
            <w:r>
              <w:t xml:space="preserve">International Organization for Standardization</w:t>
            </w:r>
          </w:p>
        </w:tc>
      </w:tr>
      <w:tr>
        <w:tc>
          <w:tcPr/>
          <w:p>
            <w:pPr>
              <w:pStyle w:val="Compact"/>
            </w:pPr>
            <w:r>
              <w:t xml:space="preserve">LPR</w:t>
            </w:r>
          </w:p>
        </w:tc>
        <w:tc>
          <w:tcPr/>
          <w:p>
            <w:pPr>
              <w:pStyle w:val="Compact"/>
            </w:pPr>
            <w:r>
              <w:t xml:space="preserve">Linear Polarization Resistance</w:t>
            </w:r>
          </w:p>
        </w:tc>
      </w:tr>
      <w:tr>
        <w:tc>
          <w:tcPr/>
          <w:p>
            <w:pPr>
              <w:pStyle w:val="Compact"/>
            </w:pPr>
            <w:r>
              <w:t xml:space="preserve">MAE</w:t>
            </w:r>
          </w:p>
        </w:tc>
        <w:tc>
          <w:tcPr/>
          <w:p>
            <w:pPr>
              <w:pStyle w:val="Compact"/>
            </w:pPr>
            <w:r>
              <w:t xml:space="preserve">Mean Absolute Error</w:t>
            </w:r>
          </w:p>
        </w:tc>
      </w:tr>
      <w:tr>
        <w:tc>
          <w:tcPr/>
          <w:p>
            <w:pPr>
              <w:pStyle w:val="Compact"/>
            </w:pPr>
            <w:r>
              <w:t xml:space="preserve">MIC</w:t>
            </w:r>
          </w:p>
        </w:tc>
        <w:tc>
          <w:tcPr/>
          <w:p>
            <w:pPr>
              <w:pStyle w:val="Compact"/>
            </w:pPr>
            <w:r>
              <w:t xml:space="preserve">Microbiologically Influenced Corrosion</w:t>
            </w:r>
          </w:p>
        </w:tc>
      </w:tr>
      <w:tr>
        <w:tc>
          <w:tcPr/>
          <w:p>
            <w:pPr>
              <w:pStyle w:val="Compact"/>
            </w:pPr>
            <w:r>
              <w:t xml:space="preserve">ML</w:t>
            </w:r>
          </w:p>
        </w:tc>
        <w:tc>
          <w:tcPr/>
          <w:p>
            <w:pPr>
              <w:pStyle w:val="Compact"/>
            </w:pPr>
            <w:r>
              <w:t xml:space="preserve">Machine Learning (apprentissage automatique)</w:t>
            </w:r>
          </w:p>
        </w:tc>
      </w:tr>
      <w:tr>
        <w:tc>
          <w:tcPr/>
          <w:p>
            <w:pPr>
              <w:pStyle w:val="Compact"/>
            </w:pPr>
            <w:r>
              <w:t xml:space="preserve">MTBF</w:t>
            </w:r>
          </w:p>
        </w:tc>
        <w:tc>
          <w:tcPr/>
          <w:p>
            <w:pPr>
              <w:pStyle w:val="Compact"/>
            </w:pPr>
            <w:r>
              <w:t xml:space="preserve">Mean Time Between Failures</w:t>
            </w:r>
          </w:p>
        </w:tc>
      </w:tr>
      <w:tr>
        <w:tc>
          <w:tcPr/>
          <w:p>
            <w:pPr>
              <w:pStyle w:val="Compact"/>
            </w:pPr>
            <w:r>
              <w:t xml:space="preserve">MTTR</w:t>
            </w:r>
          </w:p>
        </w:tc>
        <w:tc>
          <w:tcPr/>
          <w:p>
            <w:pPr>
              <w:pStyle w:val="Compact"/>
            </w:pPr>
            <w:r>
              <w:t xml:space="preserve">Mean Time To Repair</w:t>
            </w:r>
          </w:p>
        </w:tc>
      </w:tr>
      <w:tr>
        <w:tc>
          <w:tcPr/>
          <w:p>
            <w:pPr>
              <w:pStyle w:val="Compact"/>
            </w:pPr>
            <w:r>
              <w:t xml:space="preserve">NACE</w:t>
            </w:r>
          </w:p>
        </w:tc>
        <w:tc>
          <w:tcPr/>
          <w:p>
            <w:pPr>
              <w:pStyle w:val="Compact"/>
            </w:pPr>
            <w:r>
              <w:t xml:space="preserve">National Association of Corrosion Engineers</w:t>
            </w:r>
          </w:p>
        </w:tc>
      </w:tr>
      <w:tr>
        <w:tc>
          <w:tcPr/>
          <w:p>
            <w:pPr>
              <w:pStyle w:val="Compact"/>
            </w:pPr>
            <w:r>
              <w:t xml:space="preserve">NDT</w:t>
            </w:r>
          </w:p>
        </w:tc>
        <w:tc>
          <w:tcPr/>
          <w:p>
            <w:pPr>
              <w:pStyle w:val="Compact"/>
            </w:pPr>
            <w:r>
              <w:t xml:space="preserve">Non-Destructive Testing</w:t>
            </w:r>
          </w:p>
        </w:tc>
      </w:tr>
      <w:tr>
        <w:tc>
          <w:tcPr/>
          <w:p>
            <w:pPr>
              <w:pStyle w:val="Compact"/>
            </w:pPr>
            <w:r>
              <w:t xml:space="preserve">OS</w:t>
            </w:r>
          </w:p>
        </w:tc>
        <w:tc>
          <w:tcPr/>
          <w:p>
            <w:pPr>
              <w:pStyle w:val="Compact"/>
            </w:pPr>
            <w:r>
              <w:t xml:space="preserve">Objectif Spécifique</w:t>
            </w:r>
          </w:p>
        </w:tc>
      </w:tr>
      <w:tr>
        <w:tc>
          <w:tcPr/>
          <w:p>
            <w:pPr>
              <w:pStyle w:val="Compact"/>
            </w:pPr>
            <w:r>
              <w:t xml:space="preserve">OT</w:t>
            </w:r>
          </w:p>
        </w:tc>
        <w:tc>
          <w:tcPr/>
          <w:p>
            <w:pPr>
              <w:pStyle w:val="Compact"/>
            </w:pPr>
            <w:r>
              <w:t xml:space="preserve">Ordre de Travail (work order)</w:t>
            </w:r>
          </w:p>
        </w:tc>
      </w:tr>
      <w:tr>
        <w:tc>
          <w:tcPr/>
          <w:p>
            <w:pPr>
              <w:pStyle w:val="Compact"/>
            </w:pPr>
            <w:r>
              <w:t xml:space="preserve">PHMSA</w:t>
            </w:r>
          </w:p>
        </w:tc>
        <w:tc>
          <w:tcPr/>
          <w:p>
            <w:pPr>
              <w:pStyle w:val="Compact"/>
            </w:pPr>
            <w:r>
              <w:t xml:space="preserve">Pipeline and Hazardous Materials Safety Administration</w:t>
            </w:r>
          </w:p>
        </w:tc>
      </w:tr>
      <w:tr>
        <w:tc>
          <w:tcPr/>
          <w:p>
            <w:pPr>
              <w:pStyle w:val="Compact"/>
            </w:pPr>
            <w:r>
              <w:t xml:space="preserve">PME</w:t>
            </w:r>
          </w:p>
        </w:tc>
        <w:tc>
          <w:tcPr/>
          <w:p>
            <w:pPr>
              <w:pStyle w:val="Compact"/>
            </w:pPr>
            <w:r>
              <w:t xml:space="preserve">Petite et Moyenne Entreprise</w:t>
            </w:r>
          </w:p>
        </w:tc>
      </w:tr>
      <w:tr>
        <w:tc>
          <w:tcPr/>
          <w:p>
            <w:pPr>
              <w:pStyle w:val="Compact"/>
            </w:pPr>
            <w:r>
              <w:t xml:space="preserve">PIB</w:t>
            </w:r>
          </w:p>
        </w:tc>
        <w:tc>
          <w:tcPr/>
          <w:p>
            <w:pPr>
              <w:pStyle w:val="Compact"/>
            </w:pPr>
            <w:r>
              <w:t xml:space="preserve">Produit Intérieur Brut</w:t>
            </w:r>
          </w:p>
        </w:tc>
      </w:tr>
      <w:tr>
        <w:tc>
          <w:tcPr/>
          <w:p>
            <w:pPr>
              <w:pStyle w:val="Compact"/>
            </w:pPr>
            <w:r>
              <w:t xml:space="preserve">QR</w:t>
            </w:r>
          </w:p>
        </w:tc>
        <w:tc>
          <w:tcPr/>
          <w:p>
            <w:pPr>
              <w:pStyle w:val="Compact"/>
            </w:pPr>
            <w:r>
              <w:t xml:space="preserve">Question de Recherche</w:t>
            </w:r>
          </w:p>
        </w:tc>
      </w:tr>
      <w:tr>
        <w:tc>
          <w:tcPr/>
          <w:p>
            <w:pPr>
              <w:pStyle w:val="Compact"/>
            </w:pPr>
            <w:r>
              <w:t xml:space="preserve">R²</w:t>
            </w:r>
          </w:p>
        </w:tc>
        <w:tc>
          <w:tcPr/>
          <w:p>
            <w:pPr>
              <w:pStyle w:val="Compact"/>
            </w:pPr>
            <w:r>
              <w:t xml:space="preserve">Coefficient de détermination</w:t>
            </w:r>
          </w:p>
        </w:tc>
      </w:tr>
      <w:tr>
        <w:tc>
          <w:tcPr/>
          <w:p>
            <w:pPr>
              <w:pStyle w:val="Compact"/>
            </w:pPr>
            <w:r>
              <w:t xml:space="preserve">RBI</w:t>
            </w:r>
          </w:p>
        </w:tc>
        <w:tc>
          <w:tcPr/>
          <w:p>
            <w:pPr>
              <w:pStyle w:val="Compact"/>
            </w:pPr>
            <w:r>
              <w:t xml:space="preserve">Risk-Based Inspection</w:t>
            </w:r>
          </w:p>
        </w:tc>
      </w:tr>
      <w:tr>
        <w:tc>
          <w:tcPr/>
          <w:p>
            <w:pPr>
              <w:pStyle w:val="Compact"/>
            </w:pPr>
            <w:r>
              <w:t xml:space="preserve">RMSE</w:t>
            </w:r>
          </w:p>
        </w:tc>
        <w:tc>
          <w:tcPr/>
          <w:p>
            <w:pPr>
              <w:pStyle w:val="Compact"/>
            </w:pPr>
            <w:r>
              <w:t xml:space="preserve">Root Mean Square Error</w:t>
            </w:r>
          </w:p>
        </w:tc>
      </w:tr>
      <w:tr>
        <w:tc>
          <w:tcPr/>
          <w:p>
            <w:pPr>
              <w:pStyle w:val="Compact"/>
            </w:pPr>
            <w:r>
              <w:t xml:space="preserve">RTC</w:t>
            </w:r>
          </w:p>
        </w:tc>
        <w:tc>
          <w:tcPr/>
          <w:p>
            <w:pPr>
              <w:pStyle w:val="Compact"/>
            </w:pPr>
            <w:r>
              <w:t xml:space="preserve">Real-Time Clock</w:t>
            </w:r>
          </w:p>
        </w:tc>
      </w:tr>
      <w:tr>
        <w:tc>
          <w:tcPr/>
          <w:p>
            <w:pPr>
              <w:pStyle w:val="Compact"/>
            </w:pPr>
            <w:r>
              <w:t xml:space="preserve">RTF</w:t>
            </w:r>
          </w:p>
        </w:tc>
        <w:tc>
          <w:tcPr/>
          <w:p>
            <w:pPr>
              <w:pStyle w:val="Compact"/>
            </w:pPr>
            <w:r>
              <w:t xml:space="preserve">Run-To-Failure</w:t>
            </w:r>
          </w:p>
        </w:tc>
      </w:tr>
      <w:tr>
        <w:tc>
          <w:tcPr/>
          <w:p>
            <w:pPr>
              <w:pStyle w:val="Compact"/>
            </w:pPr>
            <w:r>
              <w:t xml:space="preserve">RUL</w:t>
            </w:r>
          </w:p>
        </w:tc>
        <w:tc>
          <w:tcPr/>
          <w:p>
            <w:pPr>
              <w:pStyle w:val="Compact"/>
            </w:pPr>
            <w:r>
              <w:t xml:space="preserve">Remaining Useful Life (Durée de Vie Résiduelle)</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SRB</w:t>
            </w:r>
          </w:p>
        </w:tc>
        <w:tc>
          <w:tcPr/>
          <w:p>
            <w:pPr>
              <w:pStyle w:val="Compact"/>
            </w:pPr>
            <w:r>
              <w:t xml:space="preserve">Sulfate-Reducing Bacteria</w:t>
            </w:r>
          </w:p>
        </w:tc>
      </w:tr>
      <w:tr>
        <w:tc>
          <w:tcPr/>
          <w:p>
            <w:pPr>
              <w:pStyle w:val="Compact"/>
            </w:pPr>
            <w:r>
              <w:t xml:space="preserve">SSC</w:t>
            </w:r>
          </w:p>
        </w:tc>
        <w:tc>
          <w:tcPr/>
          <w:p>
            <w:pPr>
              <w:pStyle w:val="Compact"/>
            </w:pPr>
            <w:r>
              <w:t xml:space="preserve">Sulfide Stress Cracking</w:t>
            </w:r>
          </w:p>
        </w:tc>
      </w:tr>
      <w:tr>
        <w:tc>
          <w:tcPr/>
          <w:p>
            <w:pPr>
              <w:pStyle w:val="Compact"/>
            </w:pPr>
            <w:r>
              <w:t xml:space="preserve">UT</w:t>
            </w:r>
          </w:p>
        </w:tc>
        <w:tc>
          <w:tcPr/>
          <w:p>
            <w:pPr>
              <w:pStyle w:val="Compact"/>
            </w:pPr>
            <w:r>
              <w:t xml:space="preserve">Ultrasonic Testing</w:t>
            </w:r>
          </w:p>
        </w:tc>
      </w:tr>
      <w:tr>
        <w:tc>
          <w:tcPr/>
          <w:p>
            <w:pPr>
              <w:pStyle w:val="Compact"/>
            </w:pPr>
            <w:r>
              <w:t xml:space="preserve">XGBoost</w:t>
            </w:r>
          </w:p>
        </w:tc>
        <w:tc>
          <w:tcPr/>
          <w:p>
            <w:pPr>
              <w:pStyle w:val="Compact"/>
            </w:pPr>
            <w:r>
              <w:t xml:space="preserve">eXtreme Gradient Boosting</w:t>
            </w:r>
          </w:p>
        </w:tc>
      </w:tr>
    </w:tbl>
    <w:bookmarkEnd w:id="14"/>
    <w:bookmarkStart w:id="15" w:name="liste-des-figures"/>
    <w:p>
      <w:pPr>
        <w:pStyle w:val="Heading1"/>
      </w:pPr>
      <w:r>
        <w:t xml:space="preserve">LISTE DES FIGURES</w:t>
      </w:r>
    </w:p>
    <w:p>
      <w:pPr>
        <w:pStyle w:val="FirstParagraph"/>
      </w:pPr>
      <w:r>
        <w:rPr>
          <w:i/>
          <w:iCs/>
        </w:rPr>
        <w:t xml:space="preserve">(générée automatiquement par Word)</w:t>
      </w:r>
    </w:p>
    <w:bookmarkEnd w:id="15"/>
    <w:bookmarkStart w:id="16" w:name="liste-des-tableaux"/>
    <w:p>
      <w:pPr>
        <w:pStyle w:val="Heading1"/>
      </w:pPr>
      <w:r>
        <w:t xml:space="preserve">LISTE DES TABLEAUX</w:t>
      </w:r>
    </w:p>
    <w:p>
      <w:pPr>
        <w:pStyle w:val="FirstParagraph"/>
      </w:pPr>
      <w:r>
        <w:rPr>
          <w:i/>
          <w:iCs/>
        </w:rPr>
        <w:t xml:space="preserve">(générée automatiquement par Word)</w:t>
      </w:r>
    </w:p>
    <w:bookmarkEnd w:id="16"/>
    <w:bookmarkStart w:id="17" w:name="sommaire"/>
    <w:p>
      <w:pPr>
        <w:pStyle w:val="Heading1"/>
      </w:pPr>
      <w:r>
        <w:t xml:space="preserve">SOMMAIRE</w:t>
      </w:r>
    </w:p>
    <w:p>
      <w:pPr>
        <w:pStyle w:val="FirstParagraph"/>
      </w:pPr>
      <w:r>
        <w:t xml:space="preserve">DÉDICACE</w:t>
      </w:r>
      <w:r>
        <w:t xml:space="preserve"> </w:t>
      </w:r>
      <w:r>
        <w:t xml:space="preserve">REMERCIEMENTS</w:t>
      </w:r>
      <w:r>
        <w:t xml:space="preserve"> </w:t>
      </w:r>
      <w:r>
        <w:t xml:space="preserve">RÉSUMÉ</w:t>
      </w:r>
      <w:r>
        <w:t xml:space="preserve"> </w:t>
      </w:r>
      <w:r>
        <w:t xml:space="preserve">ABSTRACT</w:t>
      </w:r>
      <w:r>
        <w:t xml:space="preserve"> </w:t>
      </w:r>
      <w:r>
        <w:t xml:space="preserve">LISTE DES ABRÉVIATIONS</w:t>
      </w:r>
      <w:r>
        <w:t xml:space="preserve"> </w:t>
      </w:r>
      <w:r>
        <w:t xml:space="preserve">LISTE DES FIGURES</w:t>
      </w:r>
      <w:r>
        <w:t xml:space="preserve"> </w:t>
      </w:r>
      <w:r>
        <w:t xml:space="preserve">LISTE DES TABLEAUX</w:t>
      </w:r>
      <w:r>
        <w:t xml:space="preserve"> </w:t>
      </w:r>
      <w:r>
        <w:t xml:space="preserve">SOMMAIRE</w:t>
      </w:r>
      <w:r>
        <w:t xml:space="preserve"> </w:t>
      </w:r>
      <w:r>
        <w:t xml:space="preserve">INTRODUCTION GÉNÉRALE</w:t>
      </w:r>
      <w:r>
        <w:t xml:space="preserve"> </w:t>
      </w:r>
      <w:r>
        <w:t xml:space="preserve">CHAPITRE I : CONTEXTE ET PROBLÉMATIQUE</w:t>
      </w:r>
      <w:r>
        <w:t xml:space="preserve"> </w:t>
      </w:r>
      <w:r>
        <w:t xml:space="preserve">CHAPITRE II : OUTILS ET MÉTHODES</w:t>
      </w:r>
      <w:r>
        <w:t xml:space="preserve"> </w:t>
      </w:r>
      <w:r>
        <w:t xml:space="preserve">CHAPITRE III : RÉSULTATS ET DISCUSSIONS</w:t>
      </w:r>
      <w:r>
        <w:t xml:space="preserve"> </w:t>
      </w:r>
      <w:r>
        <w:t xml:space="preserve">CONCLUSION GÉNÉRALE</w:t>
      </w:r>
      <w:r>
        <w:t xml:space="preserve"> </w:t>
      </w:r>
      <w:r>
        <w:t xml:space="preserve">RÉFÉRENCES BIBLIOGRAPHIQUES</w:t>
      </w:r>
      <w:r>
        <w:t xml:space="preserve"> </w:t>
      </w:r>
      <w:r>
        <w:t xml:space="preserve">ANNEXES</w:t>
      </w:r>
      <w:r>
        <w:t xml:space="preserve"> </w:t>
      </w:r>
      <w:r>
        <w:t xml:space="preserve">TABLE DES MATIÈRES</w:t>
      </w:r>
    </w:p>
    <w:bookmarkEnd w:id="17"/>
    <w:bookmarkStart w:id="18" w:name="introduction-générale"/>
    <w:p>
      <w:pPr>
        <w:pStyle w:val="Heading1"/>
      </w:pPr>
      <w:r>
        <w:t xml:space="preserve">INTRODUCTION GÉNÉRALE</w:t>
      </w:r>
    </w:p>
    <w:p>
      <w:pPr>
        <w:pStyle w:val="FirstParagraph"/>
      </w:pPr>
      <w:r>
        <w:t xml:space="preserve">Dans un environnement industriel de plus en plus concurrentiel, la maîtrise de la dégradation des équipements est devenue un facteur clé de compétitivité, de sécurité et de soutenabilité environnementale. Les entreprises industrielles sont aujourd’hui confrontées à la nécessité simultanée de réduire les coûts de maintenance, d’augmenter la disponibilité de leurs équipements, et de prévenir des incidents dont les conséquences peuvent être économiques, humaines ou écologiques (Koch et al., 2016). Dans ce contexte, les stratégies de maintenance évoluent : de la maintenance corrective réactive et de la maintenance préventive systématique à intervalles fixes, vers la maintenance conditionnelle puis la maintenance prédictive — qui anticipe la défaillance à partir de l’analyse des données de surveillance (EN 13306 ; ISO 13381-1).</w:t>
      </w:r>
    </w:p>
    <w:p>
      <w:pPr>
        <w:pStyle w:val="BodyText"/>
      </w:pPr>
      <w:r>
        <w:t xml:space="preserve">Parmi tous les modes de dégradation, la corrosion occupe une place prépondérante dans le secteur Oil &amp; Gas. Selon l’étude IMPACT publiée par la NACE en 2016, la corrosion représente un coût annuel mondial de 2,5 billions USD, soit environ 3,4 % du Produit Intérieur Brut mondial (Koch et al., 2016). Une part significative de ce coût concerne les infrastructures de transport d’hydrocarbures — les pipelines — qui sont à la fois soumises à des environnements chimiquement agressifs et difficiles à inspecter de manière continue. Les techniques classiques de surveillance — ultrasons (UT), coupons gravimétriques, sondes commerciales — souffrent de limitations importantes : coût élevé, ponctualité, ou complexité d’intégration aux systèmes de gestion industriels (Wei et al., 2024 ; Pumps Africa, 2024).</w:t>
      </w:r>
    </w:p>
    <w:p>
      <w:pPr>
        <w:pStyle w:val="BodyText"/>
      </w:pPr>
      <w:r>
        <w:t xml:space="preserve">Face à ces limites, deux dynamiques convergent dans la littérature récente. D’une part, la disponibilité croissante de microcontrôleurs et de capteurs IoT à très faible coût (ESP32, HX711, capteurs numériques 1-Wire) ouvre la voie à des chaînes d’instrumentation académiques et industrielles à un coût inférieur à 50 USD (Mayer et al., 2023). D’autre part, les méthodes d’apprentissage automatique — en particulier les algorithmes par gradient boosting comme XGBoost — démontrent une capacité supérieure à celle des modèles physiques classiques (de Waard et Milliams, 1975 ; NORSOK M-506) pour capturer les non-linéarités complexes entre variables de procédé et taux de corrosion, avec des erreurs de prédiction inférieures à 5 % (Hu et al., 2024 ; Wei et al., 2024 ; Yan et Yan, 2024).</w:t>
      </w:r>
    </w:p>
    <w:p>
      <w:pPr>
        <w:pStyle w:val="BodyText"/>
      </w:pPr>
      <w:r>
        <w:t xml:space="preserve">Le présent mémoire s’inscrit à la jonction de ces deux dynamiques avec une</w:t>
      </w:r>
      <w:r>
        <w:t xml:space="preserve"> </w:t>
      </w:r>
      <w:r>
        <w:rPr>
          <w:b/>
          <w:bCs/>
        </w:rPr>
        <w:t xml:space="preserve">thèse centrale</w:t>
      </w:r>
      <w:r>
        <w:t xml:space="preserve"> </w:t>
      </w:r>
      <w:r>
        <w:t xml:space="preserve">: à partir des données historiques qu’une entreprise possède déjà (typiquement les sondes ER déjà déployées chez COTCO, qui produisent des séries temporelles de résistance et de température sans être actuellement exploitées par un modèle prédictif), il est possible d’évoluer d’une architecture</w:t>
      </w:r>
      <w:r>
        <w:t xml:space="preserve"> </w:t>
      </w:r>
      <w:r>
        <w:rPr>
          <w:b/>
          <w:bCs/>
        </w:rPr>
        <w:t xml:space="preserve">Industrie 3.0</w:t>
      </w:r>
      <w:r>
        <w:t xml:space="preserve"> </w:t>
      </w:r>
      <w:r>
        <w:t xml:space="preserve">(acquisition câblée + alarmes par seuils + analyse silotée + maintenance préventive calendaire) vers une architecture</w:t>
      </w:r>
      <w:r>
        <w:t xml:space="preserve"> </w:t>
      </w:r>
      <w:r>
        <w:rPr>
          <w:b/>
          <w:bCs/>
        </w:rPr>
        <w:t xml:space="preserve">Industrie 4.0</w:t>
      </w:r>
      <w:r>
        <w:t xml:space="preserve"> </w:t>
      </w:r>
      <w:r>
        <w:t xml:space="preserve">(corrélation multi-variables, pronostic ML, alertes graduées, traçabilité GMAO). Le mémoire propose un</w:t>
      </w:r>
      <w:r>
        <w:t xml:space="preserve"> </w:t>
      </w:r>
      <w:r>
        <w:rPr>
          <w:b/>
          <w:bCs/>
        </w:rPr>
        <w:t xml:space="preserve">prototype maison fonctionnel doublement transposable</w:t>
      </w:r>
      <w:r>
        <w:t xml:space="preserve"> </w:t>
      </w:r>
      <w:r>
        <w:t xml:space="preserve">: (a) en industrie, en branchant la chaîne ML développée sur les sondes ER commerciales existantes (saut I3.0 → I4.0 purement logiciel, sans remplacement matériel) ; (b) en autonomie, comme système clé-en-main pour les PME industrielles africaines à budget réduit. Ce prototype couvre la chaîne complète</w:t>
      </w:r>
      <w:r>
        <w:t xml:space="preserve"> </w:t>
      </w:r>
      <w:r>
        <w:rPr>
          <w:b/>
          <w:bCs/>
        </w:rPr>
        <w:t xml:space="preserve">détection → diagnostic → pronostic → décision → action</w:t>
      </w:r>
      <w:r>
        <w:t xml:space="preserve"> </w:t>
      </w:r>
      <w:r>
        <w:t xml:space="preserve">définie par la norme ISO 13381-1 (ISO, 2015) et est articulé autour de quatre composants intégrés : (i) une</w:t>
      </w:r>
      <w:r>
        <w:t xml:space="preserve"> </w:t>
      </w:r>
      <w:r>
        <w:rPr>
          <w:b/>
          <w:bCs/>
        </w:rPr>
        <w:t xml:space="preserve">sonde ER</w:t>
      </w:r>
      <w:r>
        <w:t xml:space="preserve"> </w:t>
      </w:r>
      <w:r>
        <w:t xml:space="preserve">basée sur un microcontrôleur ESP32 et un amplificateur HX711 (couche détection — OS1) ; (ii) un</w:t>
      </w:r>
      <w:r>
        <w:t xml:space="preserve"> </w:t>
      </w:r>
      <w:r>
        <w:rPr>
          <w:b/>
          <w:bCs/>
        </w:rPr>
        <w:t xml:space="preserve">modèle XGBoost</w:t>
      </w:r>
      <w:r>
        <w:t xml:space="preserve"> </w:t>
      </w:r>
      <w:r>
        <w:t xml:space="preserve">prédisant simultanément le taux de corrosion (CR, en mm/an) et la durée de vie résiduelle (RUL, en heures) avec interprétabilité SHAP (couche pronostic — OS2) ; (iii) un module de</w:t>
      </w:r>
      <w:r>
        <w:t xml:space="preserve"> </w:t>
      </w:r>
      <w:r>
        <w:rPr>
          <w:b/>
          <w:bCs/>
        </w:rPr>
        <w:t xml:space="preserve">diagnostic des régimes de corrosion</w:t>
      </w:r>
      <w:r>
        <w:t xml:space="preserve"> </w:t>
      </w:r>
      <w:r>
        <w:t xml:space="preserve">et un système d’alertes graduées avec recommandations de dosage d’inhibiteur (couches diagnostic et décision — OS3) ; et (iv) une</w:t>
      </w:r>
      <w:r>
        <w:t xml:space="preserve"> </w:t>
      </w:r>
      <w:r>
        <w:rPr>
          <w:b/>
          <w:bCs/>
        </w:rPr>
        <w:t xml:space="preserve">application web Streamlit intégrée par API REST à un CMMS open-source</w:t>
      </w:r>
      <w:r>
        <w:t xml:space="preserve"> </w:t>
      </w:r>
      <w:r>
        <w:t xml:space="preserve">(GLPI ou équivalent) pour la création automatique des ordres de travail à partir des alertes prédictives, démontrant qu’une PME africaine peut bénéficier d’une gestion structurée de la maintenance sans recourir aux solutions propriétaires (SAP PM, IBM Maximo) — couche action — OS4. Le contexte applicatif est celui des infrastructures pétrolières camerounaises, et plus particulièrement celui de l’opérateur</w:t>
      </w:r>
      <w:r>
        <w:t xml:space="preserve"> </w:t>
      </w:r>
      <w:r>
        <w:rPr>
          <w:b/>
          <w:bCs/>
        </w:rPr>
        <w:t xml:space="preserve">Cameroon Oil Transportation Company (COTCO)</w:t>
      </w:r>
      <w:r>
        <w:t xml:space="preserve">, exploitant le pipeline Tchad-Cameroun depuis 2003 (COTCO, 2024 ; Chad-Cameroon Pipeline Project, 2024).</w:t>
      </w:r>
    </w:p>
    <w:p>
      <w:pPr>
        <w:pStyle w:val="BodyText"/>
      </w:pPr>
      <w:r>
        <w:t xml:space="preserve">Après une revue de la littérature sur la corrosion, ses mécanismes, les méthodes de surveillance, les modèles prédictifs, le diagnostic en maintenance, les systèmes de GMAO et le cadre conceptuel</w:t>
      </w:r>
      <w:r>
        <w:t xml:space="preserve"> </w:t>
      </w:r>
      <w:r>
        <w:rPr>
          <w:b/>
          <w:bCs/>
        </w:rPr>
        <w:t xml:space="preserve">Industrie 3.0 / 4.0</w:t>
      </w:r>
      <w:r>
        <w:t xml:space="preserve">, ainsi qu’une présentation du contexte industriel et de la problématique (</w:t>
      </w:r>
      <w:r>
        <w:rPr>
          <w:b/>
          <w:bCs/>
        </w:rPr>
        <w:t xml:space="preserve">Chapitre I</w:t>
      </w:r>
      <w:r>
        <w:t xml:space="preserve">), nous aborderons les fondements techniques du prototype développé,</w:t>
      </w:r>
      <w:r>
        <w:t xml:space="preserve"> </w:t>
      </w:r>
      <w:r>
        <w:rPr>
          <w:b/>
          <w:bCs/>
        </w:rPr>
        <w:t xml:space="preserve">la justification des choix technologiques retenus</w:t>
      </w:r>
      <w:r>
        <w:t xml:space="preserve"> </w:t>
      </w:r>
      <w:r>
        <w:t xml:space="preserve">(matrice de décision pour chaque brique : ESP32, HX711, DS18B20, XGBoost, TimeSeriesSplit, Streamlit, CMMS open-source), les matériels mobilisés, et la méthodologie retenue pour l’acquisition, le traitement des données, l’entraînement du modèle d’apprentissage automatique et l’</w:t>
      </w:r>
      <w:r>
        <w:rPr>
          <w:b/>
          <w:bCs/>
        </w:rPr>
        <w:t xml:space="preserve">intégration au CMMS open-source via API REST</w:t>
      </w:r>
      <w:r>
        <w:t xml:space="preserve"> </w:t>
      </w:r>
      <w:r>
        <w:t xml:space="preserve">(</w:t>
      </w:r>
      <w:r>
        <w:rPr>
          <w:b/>
          <w:bCs/>
        </w:rPr>
        <w:t xml:space="preserve">Chapitre II</w:t>
      </w:r>
      <w:r>
        <w:t xml:space="preserve">). Enfin, les résultats expérimentaux issus du prototype, les performances métrologiques de la sonde, les métriques du modèle XGBoost, l’efficacité de l’inhibiteur de corrosion testé et la fonctionnalité de l’intégration CMMS seront présentés, discutés au regard de la littérature, et confrontés aux objectifs initiaux (</w:t>
      </w:r>
      <w:r>
        <w:rPr>
          <w:b/>
          <w:bCs/>
        </w:rPr>
        <w:t xml:space="preserve">Chapitre III</w:t>
      </w:r>
      <w:r>
        <w:t xml:space="preserve">).</w:t>
      </w:r>
    </w:p>
    <w:bookmarkEnd w:id="18"/>
    <w:bookmarkStart w:id="46" w:name="chapitre-i-contexte-et-problématique"/>
    <w:p>
      <w:pPr>
        <w:pStyle w:val="Heading1"/>
      </w:pPr>
      <w:r>
        <w:t xml:space="preserve">CHAPITRE I : CONTEXTE ET PROBLÉMATIQUE</w:t>
      </w:r>
    </w:p>
    <w:p>
      <w:pPr>
        <w:pStyle w:val="FirstParagraph"/>
      </w:pPr>
      <w:r>
        <w:rPr>
          <w:b/>
          <w:bCs/>
        </w:rPr>
        <w:t xml:space="preserve">Sommaire du Chapitre I</w:t>
      </w:r>
    </w:p>
    <w:p>
      <w:pPr>
        <w:pStyle w:val="Compact"/>
        <w:numPr>
          <w:ilvl w:val="0"/>
          <w:numId w:val="1002"/>
        </w:numPr>
      </w:pPr>
      <w:r>
        <w:t xml:space="preserve">I.0. Introduction</w:t>
      </w:r>
    </w:p>
    <w:p>
      <w:pPr>
        <w:pStyle w:val="Compact"/>
        <w:numPr>
          <w:ilvl w:val="0"/>
          <w:numId w:val="1002"/>
        </w:numPr>
      </w:pPr>
      <w:r>
        <w:t xml:space="preserve">I.1. Contexte et justification (suivant les six approches du protocole de recherche)</w:t>
      </w:r>
    </w:p>
    <w:p>
      <w:pPr>
        <w:pStyle w:val="Compact"/>
        <w:numPr>
          <w:ilvl w:val="0"/>
          <w:numId w:val="1002"/>
        </w:numPr>
      </w:pPr>
      <w:r>
        <w:t xml:space="preserve">I.2. Problématique</w:t>
      </w:r>
    </w:p>
    <w:p>
      <w:pPr>
        <w:pStyle w:val="Compact"/>
        <w:numPr>
          <w:ilvl w:val="0"/>
          <w:numId w:val="1002"/>
        </w:numPr>
      </w:pPr>
      <w:r>
        <w:t xml:space="preserve">I.3. Objectifs de l’étude</w:t>
      </w:r>
    </w:p>
    <w:p>
      <w:pPr>
        <w:pStyle w:val="Compact"/>
        <w:numPr>
          <w:ilvl w:val="0"/>
          <w:numId w:val="1002"/>
        </w:numPr>
      </w:pPr>
      <w:r>
        <w:t xml:space="preserve">I.4. Questions de recherche</w:t>
      </w:r>
    </w:p>
    <w:p>
      <w:pPr>
        <w:pStyle w:val="Compact"/>
        <w:numPr>
          <w:ilvl w:val="0"/>
          <w:numId w:val="1002"/>
        </w:numPr>
      </w:pPr>
      <w:r>
        <w:t xml:space="preserve">I.5. Importance de cette étude</w:t>
      </w:r>
    </w:p>
    <w:p>
      <w:pPr>
        <w:pStyle w:val="Compact"/>
        <w:numPr>
          <w:ilvl w:val="0"/>
          <w:numId w:val="1002"/>
        </w:numPr>
      </w:pPr>
      <w:r>
        <w:t xml:space="preserve">I.6. Organisation du travail</w:t>
      </w:r>
    </w:p>
    <w:p>
      <w:pPr>
        <w:pStyle w:val="Compact"/>
        <w:numPr>
          <w:ilvl w:val="0"/>
          <w:numId w:val="1002"/>
        </w:numPr>
      </w:pPr>
      <w:r>
        <w:t xml:space="preserve">I.7. Revue de la littérature</w:t>
      </w:r>
    </w:p>
    <w:p>
      <w:pPr>
        <w:pStyle w:val="Compact"/>
        <w:numPr>
          <w:ilvl w:val="0"/>
          <w:numId w:val="1002"/>
        </w:numPr>
      </w:pPr>
      <w:r>
        <w:t xml:space="preserve">I.8. Conclusion</w:t>
      </w:r>
    </w:p>
    <w:p>
      <w:r>
        <w:pict>
          <v:rect style="width:0;height:1.5pt" o:hralign="center" o:hrstd="t" o:hr="t"/>
        </w:pict>
      </w:r>
    </w:p>
    <w:bookmarkStart w:id="19" w:name="i.0.-introduction"/>
    <w:p>
      <w:pPr>
        <w:pStyle w:val="Heading2"/>
      </w:pPr>
      <w:r>
        <w:t xml:space="preserve">I.0. Introduction</w:t>
      </w:r>
    </w:p>
    <w:p>
      <w:pPr>
        <w:pStyle w:val="FirstParagraph"/>
      </w:pPr>
      <w:r>
        <w:t xml:space="preserve">Dans ce chapitre, nous allons d’abord cadrer le contexte et la justification de la recherche selon les six approches recommandées par le protocole de recherche (approche définitionnelle, contexte international et national, état des recherches scientifiques et leurs limites, justificatif normatif et réglementaire, concept dans la zone d’étude, énoncé du sujet). Nous formulerons ensuite la problématique, les objectifs et les questions de recherche associées, puis nous présenterons l’importance de l’étude pour les différentes parties prenantes. Le chapitre se clôt par une revue détaillée de la littérature couvrant les mécanismes de corrosion, les méthodes de surveillance, les modèles prédictifs classiques et les approches récentes par apprentissage automatique.</w:t>
      </w:r>
    </w:p>
    <w:p>
      <w:r>
        <w:pict>
          <v:rect style="width:0;height:1.5pt" o:hralign="center" o:hrstd="t" o:hr="t"/>
        </w:pict>
      </w:r>
    </w:p>
    <w:bookmarkEnd w:id="19"/>
    <w:bookmarkStart w:id="26" w:name="i.1.-contexte-et-justification"/>
    <w:p>
      <w:pPr>
        <w:pStyle w:val="Heading2"/>
      </w:pPr>
      <w:r>
        <w:t xml:space="preserve">I.1. Contexte et justification</w:t>
      </w:r>
    </w:p>
    <w:bookmarkStart w:id="20" w:name="Xb566ff7b7dac9f29285f67f438c98d9bfec79d1"/>
    <w:p>
      <w:pPr>
        <w:pStyle w:val="Heading3"/>
      </w:pPr>
      <w:r>
        <w:t xml:space="preserve">I.1.1. Approche définitionnelle et historique de la corrosion</w:t>
      </w:r>
    </w:p>
    <w:p>
      <w:pPr>
        <w:pStyle w:val="FirstParagraph"/>
      </w:pPr>
      <w:r>
        <w:t xml:space="preserve">La corrosion est définie par la norme</w:t>
      </w:r>
      <w:r>
        <w:t xml:space="preserve"> </w:t>
      </w:r>
      <w:r>
        <w:rPr>
          <w:b/>
          <w:bCs/>
        </w:rPr>
        <w:t xml:space="preserve">ISO 8044 :2015</w:t>
      </w:r>
      <w:r>
        <w:t xml:space="preserve"> </w:t>
      </w:r>
      <w:r>
        <w:t xml:space="preserve">comme « une interaction physico-chimique entre un métal et son environnement qui entraîne des modifications des propriétés du métal et qui peut conduire à une dégradation significative de la fonction du métal, de l’environnement ou du système technique dont ils font partie » (ISO, 2015). Ce phénomène naturel et thermodynamiquement spontané traduit la tendance des métaux à retourner à leur état d’oxyde stable — l’état sous lequel ils existent dans la croûte terrestre avant tout traitement métallurgique (Schweitzer, 2010).</w:t>
      </w:r>
    </w:p>
    <w:p>
      <w:pPr>
        <w:pStyle w:val="BodyText"/>
      </w:pPr>
      <w:r>
        <w:t xml:space="preserve">L’étude scientifique de la corrosion remonte aux travaux fondateurs de</w:t>
      </w:r>
      <w:r>
        <w:t xml:space="preserve"> </w:t>
      </w:r>
      <w:r>
        <w:rPr>
          <w:b/>
          <w:bCs/>
        </w:rPr>
        <w:t xml:space="preserve">Michael Faraday (1834)</w:t>
      </w:r>
      <w:r>
        <w:t xml:space="preserve">, qui établit la relation quantitative entre le courant électrique et la masse de métal dissous, posant ainsi les bases de l’électrochimie de la corrosion (Faraday, 1834). Au XXᵉ siècle,</w:t>
      </w:r>
      <w:r>
        <w:t xml:space="preserve"> </w:t>
      </w:r>
      <w:r>
        <w:rPr>
          <w:b/>
          <w:bCs/>
        </w:rPr>
        <w:t xml:space="preserve">Wagner et Traud (1938)</w:t>
      </w:r>
      <w:r>
        <w:t xml:space="preserve"> </w:t>
      </w:r>
      <w:r>
        <w:t xml:space="preserve">formalisent la théorie des électrodes mixtes et de la cinétique électrochimique, permettant de modéliser quantitativement la vitesse de corrosion à partir des courbes de polarisation. Le modèle semi-empirique de</w:t>
      </w:r>
      <w:r>
        <w:t xml:space="preserve"> </w:t>
      </w:r>
      <w:r>
        <w:rPr>
          <w:b/>
          <w:bCs/>
        </w:rPr>
        <w:t xml:space="preserve">de Waard et Milliams (1975)</w:t>
      </w:r>
      <w:r>
        <w:t xml:space="preserve">, développé pour la prédiction de la corrosion CO₂ dans les pipelines pétroliers, devient la référence industrielle mondiale (de Waard et Milliams, 1975 ; de Waard, Lotz et Milliams, 1991).</w:t>
      </w:r>
    </w:p>
    <w:p>
      <w:pPr>
        <w:pStyle w:val="BodyText"/>
      </w:pPr>
      <w:r>
        <w:t xml:space="preserve">La maintenance industrielle, quant à elle, a connu une évolution parallèle. La norme</w:t>
      </w:r>
      <w:r>
        <w:t xml:space="preserve"> </w:t>
      </w:r>
      <w:r>
        <w:rPr>
          <w:b/>
          <w:bCs/>
        </w:rPr>
        <w:t xml:space="preserve">EN 13306 :2018</w:t>
      </w:r>
      <w:r>
        <w:t xml:space="preserve"> </w:t>
      </w:r>
      <w:r>
        <w:t xml:space="preserve">définit la maintenance prédictive comme une « maintenance conditionnelle effectuée en suivant les prévisions extrapolées de l’analyse et de l’évaluation de paramètres significatifs de la dégradation du bien » (CEN, 2018). La norme</w:t>
      </w:r>
      <w:r>
        <w:t xml:space="preserve"> </w:t>
      </w:r>
      <w:r>
        <w:rPr>
          <w:b/>
          <w:bCs/>
        </w:rPr>
        <w:t xml:space="preserve">ISO 13381-1 :2015</w:t>
      </w:r>
      <w:r>
        <w:t xml:space="preserve"> </w:t>
      </w:r>
      <w:r>
        <w:t xml:space="preserve">précise quant à elle les principes du pronostic et de l’estimation de la durée de vie résiduelle (RUL) à partir des données de surveillance (ISO, 2015). C’est précisément à l’intersection de ces deux normes que se positionne ce travail : instrumenter pour mesurer, mesurer pour prédire, prédire pour intervenir.</w:t>
      </w:r>
    </w:p>
    <w:bookmarkEnd w:id="20"/>
    <w:bookmarkStart w:id="21" w:name="X850f1794fe9a2466780c6232cafb502d515541d"/>
    <w:p>
      <w:pPr>
        <w:pStyle w:val="Heading3"/>
      </w:pPr>
      <w:r>
        <w:t xml:space="preserve">I.1.2. Contexte international et national</w:t>
      </w:r>
    </w:p>
    <w:p>
      <w:pPr>
        <w:pStyle w:val="FirstParagraph"/>
      </w:pPr>
      <w:r>
        <w:t xml:space="preserve">À l’échelle mondiale, l’étude</w:t>
      </w:r>
      <w:r>
        <w:t xml:space="preserve"> </w:t>
      </w:r>
      <w:r>
        <w:rPr>
          <w:b/>
          <w:bCs/>
        </w:rPr>
        <w:t xml:space="preserve">IMPACT (International Measures of Prevention, Application and Economics of Corrosion Technology)</w:t>
      </w:r>
      <w:r>
        <w:t xml:space="preserve"> </w:t>
      </w:r>
      <w:r>
        <w:t xml:space="preserve">publiée par la NACE en 2016 estime le coût annuel global de la corrosion à</w:t>
      </w:r>
      <w:r>
        <w:t xml:space="preserve"> </w:t>
      </w:r>
      <w:r>
        <w:rPr>
          <w:b/>
          <w:bCs/>
        </w:rPr>
        <w:t xml:space="preserve">2,5 billions USD</w:t>
      </w:r>
      <w:r>
        <w:t xml:space="preserve">, soit environ</w:t>
      </w:r>
      <w:r>
        <w:t xml:space="preserve"> </w:t>
      </w:r>
      <w:r>
        <w:rPr>
          <w:b/>
          <w:bCs/>
        </w:rPr>
        <w:t xml:space="preserve">3,4 % du PIB mondial</w:t>
      </w:r>
      <w:r>
        <w:t xml:space="preserve"> </w:t>
      </w:r>
      <w:r>
        <w:t xml:space="preserve">(Koch et al., 2016 ; NACE, 2016). L’étude conclut également que la mise en œuvre de bonnes pratiques de gestion de la corrosion permettrait d’économiser entre 15 % et 35 % de ce montant, soit 375 à 875 milliards USD par an. Dans le seul secteur Oil &amp; Gas, les pertes annuelles imputables à la corrosion sont estimées entre 1,3 et 1,8 milliard USD (Koch et al., 2016 ; Inspectioneering, 2016). Ces chiffres représentent une opportunité directe d’économies si des stratégies de surveillance et de prédiction efficaces sont déployées.</w:t>
      </w:r>
    </w:p>
    <w:p>
      <w:pPr>
        <w:pStyle w:val="BodyText"/>
      </w:pPr>
      <w:r>
        <w:t xml:space="preserve">En</w:t>
      </w:r>
      <w:r>
        <w:t xml:space="preserve"> </w:t>
      </w:r>
      <w:r>
        <w:rPr>
          <w:b/>
          <w:bCs/>
        </w:rPr>
        <w:t xml:space="preserve">Afrique subsaharienne</w:t>
      </w:r>
      <w:r>
        <w:t xml:space="preserve">, la problématique est amplifiée par plusieurs facteurs : (i) des conditions climatiques tropicales (humidité élevée, températures &gt; 28 °C) qui accélèrent la corrosion atmosphérique ; (ii) la difficulté d’accès à certains équipements (forêt équatoriale, zones marécageuses, sections offshore) ; (iii) l’instabilité politique et le vandalisme dans certaines régions (Pumps Africa, 2024). Les opérateurs africains du secteur Oil &amp; Gas doivent ainsi composer avec des budgets contraints et des chaînes d’approvisionnement plus longues que leurs homologues occidentaux pour les pièces de rechange et les équipements d’inspection (Egbule et al., 2018 ; Onyebuchi et al., 2018).</w:t>
      </w:r>
    </w:p>
    <w:p>
      <w:pPr>
        <w:pStyle w:val="BodyText"/>
      </w:pPr>
      <w:r>
        <w:t xml:space="preserve">Au</w:t>
      </w:r>
      <w:r>
        <w:t xml:space="preserve"> </w:t>
      </w:r>
      <w:r>
        <w:rPr>
          <w:b/>
          <w:bCs/>
        </w:rPr>
        <w:t xml:space="preserve">Cameroun</w:t>
      </w:r>
      <w:r>
        <w:t xml:space="preserve">, le secteur pétrolier représente une part significative des recettes publiques et du PIB national. La</w:t>
      </w:r>
      <w:r>
        <w:t xml:space="preserve"> </w:t>
      </w:r>
      <w:r>
        <w:rPr>
          <w:b/>
          <w:bCs/>
        </w:rPr>
        <w:t xml:space="preserve">Cameroon Oil Transportation Company (COTCO)</w:t>
      </w:r>
      <w:r>
        <w:t xml:space="preserve"> </w:t>
      </w:r>
      <w:r>
        <w:t xml:space="preserve">exploite depuis 2003 le</w:t>
      </w:r>
      <w:r>
        <w:t xml:space="preserve"> </w:t>
      </w:r>
      <w:r>
        <w:rPr>
          <w:b/>
          <w:bCs/>
        </w:rPr>
        <w:t xml:space="preserve">Système d’Exportation Tchadien (SET)</w:t>
      </w:r>
      <w:r>
        <w:t xml:space="preserve">, composé d’un pipeline de 1 070 km au total dont 903 km en territoire camerounais, d’une station de tête à Komé, et d’un terminal offshore à Kribi (Kome Kribi 1 FSO) relié à la côte par un pipeline sous-marin de 11 km (COTCO, 2024 ; Chad-Cameroon Pipeline Project, 2024 ; ExxonMobil, 2011). La capacité nominale est de 225 000 barils par jour. Cette infrastructure traverse des zones de forêt équatoriale dense, franchit de nombreux cours d’eau et longe des zones habitées, rendant toute défaillance non anticipée potentiellement catastrophique sur les plans humain, environnemental et économique.</w:t>
      </w:r>
    </w:p>
    <w:bookmarkEnd w:id="21"/>
    <w:bookmarkStart w:id="22" w:name="Xb37e2781a5cd457d8a0a65b4a72a89945dc267b"/>
    <w:p>
      <w:pPr>
        <w:pStyle w:val="Heading3"/>
      </w:pPr>
      <w:r>
        <w:t xml:space="preserve">I.1.3. État de la recherche scientifique et limites identifiées</w:t>
      </w:r>
    </w:p>
    <w:p>
      <w:pPr>
        <w:pStyle w:val="FirstParagraph"/>
      </w:pPr>
      <w:r>
        <w:t xml:space="preserve">La recherche sur la prédiction de la corrosion par apprentissage automatique a connu une accélération significative depuis 2018, avec une production scientifique en croissance exponentielle (Coelho, 2022 ; npj Materials Degradation, 2022). Les approches les plus utilisées dans la littérature récente incluent :</w:t>
      </w:r>
    </w:p>
    <w:p>
      <w:pPr>
        <w:pStyle w:val="Compact"/>
        <w:numPr>
          <w:ilvl w:val="0"/>
          <w:numId w:val="1003"/>
        </w:numPr>
      </w:pPr>
      <w:r>
        <w:rPr>
          <w:b/>
          <w:bCs/>
        </w:rPr>
        <w:t xml:space="preserve">Les méthodes d’ensemble</w:t>
      </w:r>
      <w:r>
        <w:t xml:space="preserve"> </w:t>
      </w:r>
      <w:r>
        <w:t xml:space="preserve">: forêts aléatoires (Cheng et Niu, 2018),</w:t>
      </w:r>
      <w:r>
        <w:t xml:space="preserve"> </w:t>
      </w:r>
      <w:r>
        <w:rPr>
          <w:b/>
          <w:bCs/>
        </w:rPr>
        <w:t xml:space="preserve">XGBoost</w:t>
      </w:r>
      <w:r>
        <w:t xml:space="preserve"> </w:t>
      </w:r>
      <w:r>
        <w:t xml:space="preserve">(Chen et Guestrin, 2016 ; Ma, Zhao et Wang, 2021), LightGBM, AdaBoost et Gradient Boosting (Yan et Yan, 2024). Ces méthodes obtiennent typiquement des erreurs RMSE comprises entre 0,031 et 0,052 mm/an avec des coefficients de détermination R² supérieurs à 0,95 sur des jeux de données de pipelines (Wei et al., 2024).</w:t>
      </w:r>
    </w:p>
    <w:p>
      <w:pPr>
        <w:pStyle w:val="Compact"/>
        <w:numPr>
          <w:ilvl w:val="0"/>
          <w:numId w:val="1003"/>
        </w:numPr>
      </w:pPr>
      <w:r>
        <w:rPr>
          <w:b/>
          <w:bCs/>
        </w:rPr>
        <w:t xml:space="preserve">Les réseaux de neurones</w:t>
      </w:r>
      <w:r>
        <w:t xml:space="preserve"> </w:t>
      </w:r>
      <w:r>
        <w:t xml:space="preserve">: MLP (Ossai, Boswell et Davies, 2017), réseaux de neurones convolutifs et LSTM pour les séries temporelles (Xu, Xia et Wang, 2020), réseaux résiduels (ResNet) avec analyse d’interprétabilité (Liu et al., 2025), et architectures Transformer pour la prédiction de corrosion interne (Tan et al., 2025).</w:t>
      </w:r>
    </w:p>
    <w:p>
      <w:pPr>
        <w:pStyle w:val="Compact"/>
        <w:numPr>
          <w:ilvl w:val="0"/>
          <w:numId w:val="1003"/>
        </w:numPr>
      </w:pPr>
      <w:r>
        <w:rPr>
          <w:b/>
          <w:bCs/>
        </w:rPr>
        <w:t xml:space="preserve">Les approches interprétables</w:t>
      </w:r>
      <w:r>
        <w:t xml:space="preserve"> </w:t>
      </w:r>
      <w:r>
        <w:t xml:space="preserve">: utilisation de</w:t>
      </w:r>
      <w:r>
        <w:t xml:space="preserve"> </w:t>
      </w:r>
      <w:r>
        <w:rPr>
          <w:b/>
          <w:bCs/>
        </w:rPr>
        <w:t xml:space="preserve">SHAP (SHapley Additive exPlanations)</w:t>
      </w:r>
      <w:r>
        <w:t xml:space="preserve"> </w:t>
      </w:r>
      <w:r>
        <w:t xml:space="preserve">pour quantifier la contribution de chaque variable d’entrée aux prédictions (Hu et al., 2024 ; Yan et Yan, 2024). Ces analyses identifient typiquement la température, la pression partielle de CO₂ et la pression totale comme les trois variables dominantes pour la corrosion interne des pipelines O&amp;G.</w:t>
      </w:r>
    </w:p>
    <w:p>
      <w:pPr>
        <w:pStyle w:val="FirstParagraph"/>
      </w:pPr>
      <w:r>
        <w:t xml:space="preserve">Cependant, plusieurs</w:t>
      </w:r>
      <w:r>
        <w:t xml:space="preserve"> </w:t>
      </w:r>
      <w:r>
        <w:rPr>
          <w:b/>
          <w:bCs/>
        </w:rPr>
        <w:t xml:space="preserve">lacunes critiques</w:t>
      </w:r>
      <w:r>
        <w:t xml:space="preserve"> </w:t>
      </w:r>
      <w:r>
        <w:t xml:space="preserve">persistent dans la littérature :</w:t>
      </w:r>
    </w:p>
    <w:p>
      <w:pPr>
        <w:pStyle w:val="Compact"/>
        <w:numPr>
          <w:ilvl w:val="0"/>
          <w:numId w:val="1004"/>
        </w:numPr>
      </w:pPr>
      <w:r>
        <w:rPr>
          <w:b/>
          <w:bCs/>
        </w:rPr>
        <w:t xml:space="preserve">Absence quasi-totale de données africaines</w:t>
      </w:r>
      <w:r>
        <w:t xml:space="preserve"> </w:t>
      </w:r>
      <w:r>
        <w:t xml:space="preserve">: les jeux de données utilisés proviennent presque exclusivement des États-Unis (PHMSA), de Chine ou d’Europe. Aucune étude publiée n’intègre de données expérimentales issues de pipelines subsahariens (Pumps Africa, 2024 ; Onyebuchi et al., 2018).</w:t>
      </w:r>
    </w:p>
    <w:p>
      <w:pPr>
        <w:pStyle w:val="Compact"/>
        <w:numPr>
          <w:ilvl w:val="0"/>
          <w:numId w:val="1004"/>
        </w:numPr>
      </w:pPr>
      <w:r>
        <w:rPr>
          <w:b/>
          <w:bCs/>
        </w:rPr>
        <w:t xml:space="preserve">Coût prohibitif des sondes commerciales</w:t>
      </w:r>
      <w:r>
        <w:t xml:space="preserve"> </w:t>
      </w:r>
      <w:r>
        <w:t xml:space="preserve">: les sondes ER industrielles (Cosasco, Permasense, Emerson Roxar) ont un coût unitaire de 500 à 5 000 USD, hors installation et maintenance, ce qui est incompatible avec un déploiement étendu sur un réseau de plusieurs milliers de kilomètres (Cosasco, 2024 ; Hassanzadeh et al., 2024).</w:t>
      </w:r>
    </w:p>
    <w:p>
      <w:pPr>
        <w:pStyle w:val="Compact"/>
        <w:numPr>
          <w:ilvl w:val="0"/>
          <w:numId w:val="1004"/>
        </w:numPr>
      </w:pPr>
      <w:r>
        <w:rPr>
          <w:b/>
          <w:bCs/>
        </w:rPr>
        <w:t xml:space="preserve">Circularité des évaluations sur données synthétiques</w:t>
      </w:r>
      <w:r>
        <w:t xml:space="preserve"> </w:t>
      </w:r>
      <w:r>
        <w:t xml:space="preserve">: la majorité des modèles ML sont entraînés et évalués sur des données générées par les modèles physiques eux-mêmes (de Waard et Milliams), ce qui invalide la portée scientifique des métriques rapportées. Un modèle XGBoost entraîné sur des données de Waard apprend à reproduire de Waard, sans capacité démontrée de généralisation (Coelho, 2022).</w:t>
      </w:r>
    </w:p>
    <w:p>
      <w:pPr>
        <w:pStyle w:val="Compact"/>
        <w:numPr>
          <w:ilvl w:val="0"/>
          <w:numId w:val="1004"/>
        </w:numPr>
      </w:pPr>
      <w:r>
        <w:rPr>
          <w:b/>
          <w:bCs/>
        </w:rPr>
        <w:t xml:space="preserve">Absence de prédiction simultanée CR + RUL</w:t>
      </w:r>
      <w:r>
        <w:t xml:space="preserve"> </w:t>
      </w:r>
      <w:r>
        <w:t xml:space="preserve">: la majorité des travaux se limitent à la prédiction du taux de corrosion instantané, sans extrapolation vers le temps avant défaillance — information pourtant décisive pour la planification industrielle (Akash, 2024 ; Liu et al., 2022).</w:t>
      </w:r>
    </w:p>
    <w:p>
      <w:pPr>
        <w:pStyle w:val="Compact"/>
        <w:numPr>
          <w:ilvl w:val="0"/>
          <w:numId w:val="1004"/>
        </w:numPr>
      </w:pPr>
      <w:r>
        <w:rPr>
          <w:b/>
          <w:bCs/>
        </w:rPr>
        <w:t xml:space="preserve">Environnements multi-composants peu modélisés</w:t>
      </w:r>
      <w:r>
        <w:t xml:space="preserve"> </w:t>
      </w:r>
      <w:r>
        <w:t xml:space="preserve">: les milieux industriels réels combinent souvent plusieurs acides ou agents agressifs dont l’interaction n’est pas modélisable analytiquement par les approches classiques (Heydari et Talebpour, 2024). C’est typiquement le cas des détartrants industriels qui mélangent HCl et H₃PO₄, créant une cinétique multi-mécanismes attaque/passivation difficile à prédire (Persian Utab, 2023 ; Schweitzer, 2010).</w:t>
      </w:r>
    </w:p>
    <w:bookmarkEnd w:id="22"/>
    <w:bookmarkStart w:id="23" w:name="X491ea52497223ba3fe84cc78d68fb0c10996acb"/>
    <w:p>
      <w:pPr>
        <w:pStyle w:val="Heading3"/>
      </w:pPr>
      <w:r>
        <w:t xml:space="preserve">I.1.4. Justificatif normatif et réglementaire</w:t>
      </w:r>
    </w:p>
    <w:p>
      <w:pPr>
        <w:pStyle w:val="FirstParagraph"/>
      </w:pPr>
      <w:r>
        <w:t xml:space="preserve">La gestion de la corrosion dans les infrastructures pétrolières est encadrée par un corpus normatif international et national complet :</w:t>
      </w:r>
    </w:p>
    <w:p>
      <w:pPr>
        <w:pStyle w:val="BodyText"/>
      </w:pPr>
      <w:r>
        <w:rPr>
          <w:b/>
          <w:bCs/>
        </w:rPr>
        <w:t xml:space="preserve">Au niveau international :</w:t>
      </w:r>
    </w:p>
    <w:p>
      <w:pPr>
        <w:pStyle w:val="Compact"/>
        <w:numPr>
          <w:ilvl w:val="0"/>
          <w:numId w:val="1005"/>
        </w:numPr>
      </w:pPr>
      <w:r>
        <w:rPr>
          <w:b/>
          <w:bCs/>
        </w:rPr>
        <w:t xml:space="preserve">ISO 8044 :2015</w:t>
      </w:r>
      <w:r>
        <w:t xml:space="preserve"> </w:t>
      </w:r>
      <w:r>
        <w:t xml:space="preserve">— Définitions et terminologie de la corrosion (ISO, 2015) ;</w:t>
      </w:r>
    </w:p>
    <w:p>
      <w:pPr>
        <w:pStyle w:val="Compact"/>
        <w:numPr>
          <w:ilvl w:val="0"/>
          <w:numId w:val="1005"/>
        </w:numPr>
      </w:pPr>
      <w:r>
        <w:rPr>
          <w:b/>
          <w:bCs/>
        </w:rPr>
        <w:t xml:space="preserve">ASTM G1-03</w:t>
      </w:r>
      <w:r>
        <w:t xml:space="preserve"> </w:t>
      </w:r>
      <w:r>
        <w:t xml:space="preserve">— Préparation, nettoyage et évaluation des éprouvettes de corrosion (ASTM, 2017) ;</w:t>
      </w:r>
    </w:p>
    <w:p>
      <w:pPr>
        <w:pStyle w:val="Compact"/>
        <w:numPr>
          <w:ilvl w:val="0"/>
          <w:numId w:val="1005"/>
        </w:numPr>
      </w:pPr>
      <w:r>
        <w:rPr>
          <w:b/>
          <w:bCs/>
        </w:rPr>
        <w:t xml:space="preserve">ASTM G31-12a</w:t>
      </w:r>
      <w:r>
        <w:t xml:space="preserve"> </w:t>
      </w:r>
      <w:r>
        <w:t xml:space="preserve">— Essais d’immersion en laboratoire (ASTM, 2012) ;</w:t>
      </w:r>
    </w:p>
    <w:p>
      <w:pPr>
        <w:pStyle w:val="Compact"/>
        <w:numPr>
          <w:ilvl w:val="0"/>
          <w:numId w:val="1005"/>
        </w:numPr>
      </w:pPr>
      <w:r>
        <w:rPr>
          <w:b/>
          <w:bCs/>
        </w:rPr>
        <w:t xml:space="preserve">ASTM G96-90</w:t>
      </w:r>
      <w:r>
        <w:t xml:space="preserve"> </w:t>
      </w:r>
      <w:r>
        <w:t xml:space="preserve">— Surveillance de la corrosion en service par méthodes électriques (ER, LPR) (ASTM, 2018) ;</w:t>
      </w:r>
    </w:p>
    <w:p>
      <w:pPr>
        <w:pStyle w:val="Compact"/>
        <w:numPr>
          <w:ilvl w:val="0"/>
          <w:numId w:val="1005"/>
        </w:numPr>
      </w:pPr>
      <w:r>
        <w:rPr>
          <w:b/>
          <w:bCs/>
        </w:rPr>
        <w:t xml:space="preserve">NACE/AMPP SP0775-2023</w:t>
      </w:r>
      <w:r>
        <w:t xml:space="preserve"> </w:t>
      </w:r>
      <w:r>
        <w:t xml:space="preserve">— Préparation, installation, analyse et interprétation des coupons de corrosion en service pétrolier (AMPP, 2023) ;</w:t>
      </w:r>
    </w:p>
    <w:p>
      <w:pPr>
        <w:pStyle w:val="Compact"/>
        <w:numPr>
          <w:ilvl w:val="0"/>
          <w:numId w:val="1005"/>
        </w:numPr>
      </w:pPr>
      <w:r>
        <w:rPr>
          <w:b/>
          <w:bCs/>
        </w:rPr>
        <w:t xml:space="preserve">NACE TM0190</w:t>
      </w:r>
      <w:r>
        <w:t xml:space="preserve"> </w:t>
      </w:r>
      <w:r>
        <w:t xml:space="preserve">— Méthodes d’essai pour sondes ER en service pétrolier (NACE, 2012) ;</w:t>
      </w:r>
    </w:p>
    <w:p>
      <w:pPr>
        <w:pStyle w:val="Compact"/>
        <w:numPr>
          <w:ilvl w:val="0"/>
          <w:numId w:val="1005"/>
        </w:numPr>
      </w:pPr>
      <w:r>
        <w:rPr>
          <w:b/>
          <w:bCs/>
        </w:rPr>
        <w:t xml:space="preserve">NACE MR0175 / ISO 15156</w:t>
      </w:r>
      <w:r>
        <w:t xml:space="preserve"> </w:t>
      </w:r>
      <w:r>
        <w:t xml:space="preserve">— Matériaux résistant à la corrosion sous H₂S (ISO, 2020) ;</w:t>
      </w:r>
    </w:p>
    <w:p>
      <w:pPr>
        <w:pStyle w:val="Compact"/>
        <w:numPr>
          <w:ilvl w:val="0"/>
          <w:numId w:val="1005"/>
        </w:numPr>
      </w:pPr>
      <w:r>
        <w:rPr>
          <w:b/>
          <w:bCs/>
        </w:rPr>
        <w:t xml:space="preserve">API 570</w:t>
      </w:r>
      <w:r>
        <w:t xml:space="preserve"> </w:t>
      </w:r>
      <w:r>
        <w:t xml:space="preserve">— Inspection des systèmes de tuyauteries en service (API, 2016a) ;</w:t>
      </w:r>
    </w:p>
    <w:p>
      <w:pPr>
        <w:pStyle w:val="Compact"/>
        <w:numPr>
          <w:ilvl w:val="0"/>
          <w:numId w:val="1005"/>
        </w:numPr>
      </w:pPr>
      <w:r>
        <w:rPr>
          <w:b/>
          <w:bCs/>
        </w:rPr>
        <w:t xml:space="preserve">API 580 / 581</w:t>
      </w:r>
      <w:r>
        <w:t xml:space="preserve"> </w:t>
      </w:r>
      <w:r>
        <w:t xml:space="preserve">— Inspection basée sur le risque (RBI) (API, 2016b ; API, 2016c) ;</w:t>
      </w:r>
    </w:p>
    <w:p>
      <w:pPr>
        <w:pStyle w:val="Compact"/>
        <w:numPr>
          <w:ilvl w:val="0"/>
          <w:numId w:val="1005"/>
        </w:numPr>
      </w:pPr>
      <w:r>
        <w:rPr>
          <w:b/>
          <w:bCs/>
        </w:rPr>
        <w:t xml:space="preserve">ISO 13381-1 :2015</w:t>
      </w:r>
      <w:r>
        <w:t xml:space="preserve"> </w:t>
      </w:r>
      <w:r>
        <w:t xml:space="preserve">— Maintenance — Pronostic — Lignes directrices générales (ISO, 2015) ;</w:t>
      </w:r>
    </w:p>
    <w:p>
      <w:pPr>
        <w:pStyle w:val="Compact"/>
        <w:numPr>
          <w:ilvl w:val="0"/>
          <w:numId w:val="1005"/>
        </w:numPr>
      </w:pPr>
      <w:r>
        <w:rPr>
          <w:b/>
          <w:bCs/>
        </w:rPr>
        <w:t xml:space="preserve">EN 13306 :2018</w:t>
      </w:r>
      <w:r>
        <w:t xml:space="preserve"> </w:t>
      </w:r>
      <w:r>
        <w:t xml:space="preserve">— Terminologie de la maintenance (CEN, 2018) ;</w:t>
      </w:r>
    </w:p>
    <w:p>
      <w:pPr>
        <w:pStyle w:val="Compact"/>
        <w:numPr>
          <w:ilvl w:val="0"/>
          <w:numId w:val="1005"/>
        </w:numPr>
      </w:pPr>
      <w:r>
        <w:rPr>
          <w:b/>
          <w:bCs/>
        </w:rPr>
        <w:t xml:space="preserve">NORSOK M-506</w:t>
      </w:r>
      <w:r>
        <w:t xml:space="preserve"> </w:t>
      </w:r>
      <w:r>
        <w:t xml:space="preserve">— Calcul du taux de corrosion CO₂ (Standards Norway, 2017).</w:t>
      </w:r>
    </w:p>
    <w:p>
      <w:pPr>
        <w:pStyle w:val="FirstParagraph"/>
      </w:pPr>
      <w:r>
        <w:rPr>
          <w:b/>
          <w:bCs/>
        </w:rPr>
        <w:t xml:space="preserve">Au niveau national camerounais :</w:t>
      </w:r>
    </w:p>
    <w:p>
      <w:pPr>
        <w:pStyle w:val="Compact"/>
        <w:numPr>
          <w:ilvl w:val="0"/>
          <w:numId w:val="1006"/>
        </w:numPr>
      </w:pPr>
      <w:r>
        <w:rPr>
          <w:b/>
          <w:bCs/>
        </w:rPr>
        <w:t xml:space="preserve">Loi n° 99/013 du 22 décembre 1999</w:t>
      </w:r>
      <w:r>
        <w:t xml:space="preserve"> </w:t>
      </w:r>
      <w:r>
        <w:t xml:space="preserve">portant Code Pétrolier, qui impose aux opérateurs de maintenir leurs installations dans un état de sécurité conforme aux normes internationales (République du Cameroun, 1999) ;</w:t>
      </w:r>
    </w:p>
    <w:p>
      <w:pPr>
        <w:pStyle w:val="Compact"/>
        <w:numPr>
          <w:ilvl w:val="0"/>
          <w:numId w:val="1006"/>
        </w:numPr>
      </w:pPr>
      <w:r>
        <w:rPr>
          <w:b/>
          <w:bCs/>
        </w:rPr>
        <w:t xml:space="preserve">Décret n° 2000/465 du 30 juin 2000</w:t>
      </w:r>
      <w:r>
        <w:t xml:space="preserve"> </w:t>
      </w:r>
      <w:r>
        <w:t xml:space="preserve">fixant les conditions d’exploitation des hydrocarbures, prévoyant des obligations de surveillance et de contrôle (République du Cameroun, 2000) ;</w:t>
      </w:r>
    </w:p>
    <w:p>
      <w:pPr>
        <w:pStyle w:val="Compact"/>
        <w:numPr>
          <w:ilvl w:val="0"/>
          <w:numId w:val="1006"/>
        </w:numPr>
      </w:pPr>
      <w:r>
        <w:rPr>
          <w:b/>
          <w:bCs/>
        </w:rPr>
        <w:t xml:space="preserve">Loi-cadre sur l’environnement</w:t>
      </w:r>
      <w:r>
        <w:t xml:space="preserve"> </w:t>
      </w:r>
      <w:r>
        <w:t xml:space="preserve">(loi n° 96/12) imposant des études d’impact et des plans de prévention des pollutions (République du Cameroun, 1996).</w:t>
      </w:r>
    </w:p>
    <w:p>
      <w:pPr>
        <w:pStyle w:val="FirstParagraph"/>
      </w:pPr>
      <w:r>
        <w:t xml:space="preserve">L’ensemble de ce corpus normatif établit le cadre dans lequel s’inscrit toute démarche de surveillance de la corrosion sur le territoire camerounais. Le présent travail contribue à ce cadre en proposant un outil aligné sur les principes de l’</w:t>
      </w:r>
      <w:r>
        <w:rPr>
          <w:b/>
          <w:bCs/>
        </w:rPr>
        <w:t xml:space="preserve">ASTM G96</w:t>
      </w:r>
      <w:r>
        <w:t xml:space="preserve"> </w:t>
      </w:r>
      <w:r>
        <w:t xml:space="preserve">(mesure ER continue) et de l’</w:t>
      </w:r>
      <w:r>
        <w:rPr>
          <w:b/>
          <w:bCs/>
        </w:rPr>
        <w:t xml:space="preserve">ISO 13381-1</w:t>
      </w:r>
      <w:r>
        <w:t xml:space="preserve"> </w:t>
      </w:r>
      <w:r>
        <w:t xml:space="preserve">(pronostic et RUL).</w:t>
      </w:r>
    </w:p>
    <w:bookmarkEnd w:id="23"/>
    <w:bookmarkStart w:id="24" w:name="X9bf1001f4477bc1916b5560d2cd248a11b9845b"/>
    <w:p>
      <w:pPr>
        <w:pStyle w:val="Heading3"/>
      </w:pPr>
      <w:r>
        <w:t xml:space="preserve">I.1.5. Le concept dans la zone d’étude — COTCO et le pipeline Tchad-Cameroun</w:t>
      </w:r>
    </w:p>
    <w:p>
      <w:pPr>
        <w:pStyle w:val="FirstParagraph"/>
      </w:pPr>
      <w:r>
        <w:t xml:space="preserve">La</w:t>
      </w:r>
      <w:r>
        <w:t xml:space="preserve"> </w:t>
      </w:r>
      <w:r>
        <w:rPr>
          <w:b/>
          <w:bCs/>
        </w:rPr>
        <w:t xml:space="preserve">Cameroon Oil Transportation Company (COTCO)</w:t>
      </w:r>
      <w:r>
        <w:t xml:space="preserve"> </w:t>
      </w:r>
      <w:r>
        <w:t xml:space="preserve">opère le pipeline Tchad-Cameroun depuis 2003 (COTCO, 2024). Le système comprend les éléments suivants (ExxonMobil, 2011 ; Chad-Cameroon Pipeline Project, 2024) :</w:t>
      </w:r>
    </w:p>
    <w:p>
      <w:pPr>
        <w:pStyle w:val="Compact"/>
        <w:numPr>
          <w:ilvl w:val="0"/>
          <w:numId w:val="1007"/>
        </w:numPr>
      </w:pPr>
      <w:r>
        <w:t xml:space="preserve">Un</w:t>
      </w:r>
      <w:r>
        <w:t xml:space="preserve"> </w:t>
      </w:r>
      <w:r>
        <w:rPr>
          <w:b/>
          <w:bCs/>
        </w:rPr>
        <w:t xml:space="preserve">pipeline enterré</w:t>
      </w:r>
      <w:r>
        <w:t xml:space="preserve"> </w:t>
      </w:r>
      <w:r>
        <w:t xml:space="preserve">de 1 070 km de longueur totale (903 km en territoire camerounais), de diamètre nominal 30 pouces, en acier API 5L Grade B revêtu de FBE (Fusion-Bonded Epoxy) ;</w:t>
      </w:r>
    </w:p>
    <w:p>
      <w:pPr>
        <w:pStyle w:val="Compact"/>
        <w:numPr>
          <w:ilvl w:val="0"/>
          <w:numId w:val="1007"/>
        </w:numPr>
      </w:pPr>
      <w:r>
        <w:t xml:space="preserve">Une</w:t>
      </w:r>
      <w:r>
        <w:t xml:space="preserve"> </w:t>
      </w:r>
      <w:r>
        <w:rPr>
          <w:b/>
          <w:bCs/>
        </w:rPr>
        <w:t xml:space="preserve">station de pompage de tête (PS-1)</w:t>
      </w:r>
      <w:r>
        <w:t xml:space="preserve"> </w:t>
      </w:r>
      <w:r>
        <w:t xml:space="preserve">à Komé (Tchad) ;</w:t>
      </w:r>
    </w:p>
    <w:p>
      <w:pPr>
        <w:pStyle w:val="Compact"/>
        <w:numPr>
          <w:ilvl w:val="0"/>
          <w:numId w:val="1007"/>
        </w:numPr>
      </w:pPr>
      <w:r>
        <w:t xml:space="preserve">Un</w:t>
      </w:r>
      <w:r>
        <w:t xml:space="preserve"> </w:t>
      </w:r>
      <w:r>
        <w:rPr>
          <w:b/>
          <w:bCs/>
        </w:rPr>
        <w:t xml:space="preserve">terminal d’exportation offshore</w:t>
      </w:r>
      <w:r>
        <w:t xml:space="preserve"> </w:t>
      </w:r>
      <w:r>
        <w:t xml:space="preserve">à 18 km au large de Kribi (Cameroun), constitué de l’unité</w:t>
      </w:r>
      <w:r>
        <w:t xml:space="preserve"> </w:t>
      </w:r>
      <w:r>
        <w:rPr>
          <w:b/>
          <w:bCs/>
        </w:rPr>
        <w:t xml:space="preserve">Kome Kribi 1 FSO</w:t>
      </w:r>
      <w:r>
        <w:t xml:space="preserve"> </w:t>
      </w:r>
      <w:r>
        <w:t xml:space="preserve">(Floating Storage and Offloading) reliée à la côte par un pipeline sous-marin de 11 km ;</w:t>
      </w:r>
    </w:p>
    <w:p>
      <w:pPr>
        <w:pStyle w:val="Compact"/>
        <w:numPr>
          <w:ilvl w:val="0"/>
          <w:numId w:val="1007"/>
        </w:numPr>
      </w:pPr>
      <w:r>
        <w:t xml:space="preserve">Une</w:t>
      </w:r>
      <w:r>
        <w:t xml:space="preserve"> </w:t>
      </w:r>
      <w:r>
        <w:rPr>
          <w:b/>
          <w:bCs/>
        </w:rPr>
        <w:t xml:space="preserve">capacité nominale de 225 000 barils par jour</w:t>
      </w:r>
      <w:r>
        <w:t xml:space="preserve">.</w:t>
      </w:r>
    </w:p>
    <w:p>
      <w:pPr>
        <w:pStyle w:val="FirstParagraph"/>
      </w:pPr>
      <w:r>
        <w:t xml:space="preserve">Ce réseau est soumis à plusieurs</w:t>
      </w:r>
      <w:r>
        <w:t xml:space="preserve"> </w:t>
      </w:r>
      <w:r>
        <w:rPr>
          <w:b/>
          <w:bCs/>
        </w:rPr>
        <w:t xml:space="preserve">mécanismes de corrosion</w:t>
      </w:r>
      <w:r>
        <w:t xml:space="preserve"> </w:t>
      </w:r>
      <w:r>
        <w:t xml:space="preserve">simultanés (Egbule et al., 2018 ; Aniobi, 2018) :</w:t>
      </w:r>
    </w:p>
    <w:p>
      <w:pPr>
        <w:pStyle w:val="Compact"/>
        <w:numPr>
          <w:ilvl w:val="0"/>
          <w:numId w:val="1008"/>
        </w:numPr>
      </w:pPr>
      <w:r>
        <w:rPr>
          <w:b/>
          <w:bCs/>
        </w:rPr>
        <w:t xml:space="preserve">Corrosion externe atmosphérique et galvanique</w:t>
      </w:r>
      <w:r>
        <w:t xml:space="preserve"> </w:t>
      </w:r>
      <w:r>
        <w:t xml:space="preserve">sur les sections aériennes ou semi-aériennes, accélérée par l’humidité tropicale ;</w:t>
      </w:r>
    </w:p>
    <w:p>
      <w:pPr>
        <w:pStyle w:val="Compact"/>
        <w:numPr>
          <w:ilvl w:val="0"/>
          <w:numId w:val="1008"/>
        </w:numPr>
      </w:pPr>
      <w:r>
        <w:rPr>
          <w:b/>
          <w:bCs/>
        </w:rPr>
        <w:t xml:space="preserve">Corrosion sous revêtement (CUI)</w:t>
      </w:r>
      <w:r>
        <w:t xml:space="preserve"> </w:t>
      </w:r>
      <w:r>
        <w:t xml:space="preserve">dans les zones où le revêtement FBE est endommagé ;</w:t>
      </w:r>
    </w:p>
    <w:p>
      <w:pPr>
        <w:pStyle w:val="Compact"/>
        <w:numPr>
          <w:ilvl w:val="0"/>
          <w:numId w:val="1008"/>
        </w:numPr>
      </w:pPr>
      <w:r>
        <w:rPr>
          <w:b/>
          <w:bCs/>
        </w:rPr>
        <w:t xml:space="preserve">Corrosion interne</w:t>
      </w:r>
      <w:r>
        <w:t xml:space="preserve"> </w:t>
      </w:r>
      <w:r>
        <w:t xml:space="preserve">par les hydrocarbures bruts contenant des traces résiduelles de CO₂, H₂S et eau de formation ;</w:t>
      </w:r>
    </w:p>
    <w:p>
      <w:pPr>
        <w:pStyle w:val="Compact"/>
        <w:numPr>
          <w:ilvl w:val="0"/>
          <w:numId w:val="1008"/>
        </w:numPr>
      </w:pPr>
      <w:r>
        <w:rPr>
          <w:b/>
          <w:bCs/>
        </w:rPr>
        <w:t xml:space="preserve">Corrosion microbienne (MIC)</w:t>
      </w:r>
      <w:r>
        <w:t xml:space="preserve"> </w:t>
      </w:r>
      <w:r>
        <w:t xml:space="preserve">liée à l’activité de bactéries sulfato-réductrices (SRB) dans les fonds de réservoirs et bas de conduites ;</w:t>
      </w:r>
    </w:p>
    <w:p>
      <w:pPr>
        <w:pStyle w:val="Compact"/>
        <w:numPr>
          <w:ilvl w:val="0"/>
          <w:numId w:val="1008"/>
        </w:numPr>
      </w:pPr>
      <w:r>
        <w:rPr>
          <w:b/>
          <w:bCs/>
        </w:rPr>
        <w:t xml:space="preserve">Corrosion par piqûres</w:t>
      </w:r>
      <w:r>
        <w:t xml:space="preserve"> </w:t>
      </w:r>
      <w:r>
        <w:t xml:space="preserve">dans les zones où des chlorures sont présents.</w:t>
      </w:r>
    </w:p>
    <w:p>
      <w:pPr>
        <w:pStyle w:val="FirstParagraph"/>
      </w:pPr>
      <w:r>
        <w:rPr>
          <w:b/>
          <w:bCs/>
        </w:rPr>
        <w:t xml:space="preserve">Important : COTCO dispose déjà d’une surveillance ER active.</w:t>
      </w:r>
      <w:r>
        <w:t xml:space="preserve"> </w:t>
      </w:r>
      <w:r>
        <w:t xml:space="preserve">Sur les sections critiques du SET, des</w:t>
      </w:r>
      <w:r>
        <w:t xml:space="preserve"> </w:t>
      </w:r>
      <w:r>
        <w:rPr>
          <w:b/>
          <w:bCs/>
        </w:rPr>
        <w:t xml:space="preserve">sondes ER commerciales</w:t>
      </w:r>
      <w:r>
        <w:t xml:space="preserve"> </w:t>
      </w:r>
      <w:r>
        <w:t xml:space="preserve">(Cosasco, Emerson Roxar) ainsi que des sondes LPR sont câblées vers le DCS (</w:t>
      </w:r>
      <w:r>
        <w:rPr>
          <w:i/>
          <w:iCs/>
        </w:rPr>
        <w:t xml:space="preserve">Distributed Control System</w:t>
      </w:r>
      <w:r>
        <w:t xml:space="preserve">) de la station de Komé et vers la salle de contrôle de Kribi. Ces sondes produisent un flux continu de mesures de résistance et de variables de procédé associées (température, pression, débit). Cependant,</w:t>
      </w:r>
      <w:r>
        <w:t xml:space="preserve"> </w:t>
      </w:r>
      <w:r>
        <w:rPr>
          <w:b/>
          <w:bCs/>
        </w:rPr>
        <w:t xml:space="preserve">l’exploitation de ces données reste à un niveau Industrie 3.0</w:t>
      </w:r>
      <w:r>
        <w:t xml:space="preserve">, dont les caractéristiques sont les suivantes (Lasi et al., 2014 ; Lu, 2017 ; Xu et al., 2018) :</w:t>
      </w:r>
    </w:p>
    <w:p>
      <w:pPr>
        <w:pStyle w:val="Compact"/>
        <w:numPr>
          <w:ilvl w:val="0"/>
          <w:numId w:val="1009"/>
        </w:numPr>
      </w:pPr>
      <w:r>
        <w:rPr>
          <w:b/>
          <w:bCs/>
        </w:rPr>
        <w:t xml:space="preserve">Acquisition</w:t>
      </w:r>
      <w:r>
        <w:t xml:space="preserve"> </w:t>
      </w:r>
      <w:r>
        <w:t xml:space="preserve">: sondes ER + LPR câblées (4-20 mA, HART) vers automates et DCS — données centralisées en salle de contrôle ;</w:t>
      </w:r>
    </w:p>
    <w:p>
      <w:pPr>
        <w:pStyle w:val="Compact"/>
        <w:numPr>
          <w:ilvl w:val="0"/>
          <w:numId w:val="1009"/>
        </w:numPr>
      </w:pPr>
      <w:r>
        <w:rPr>
          <w:b/>
          <w:bCs/>
        </w:rPr>
        <w:t xml:space="preserve">Analyse silotée</w:t>
      </w:r>
      <w:r>
        <w:t xml:space="preserve"> </w:t>
      </w:r>
      <w:r>
        <w:t xml:space="preserve">: l’ingénieur corrosion examine les courbes de chaque sonde de manière isolée, sans corrélation algorithmique avec les variables de procédé ;</w:t>
      </w:r>
    </w:p>
    <w:p>
      <w:pPr>
        <w:pStyle w:val="Compact"/>
        <w:numPr>
          <w:ilvl w:val="0"/>
          <w:numId w:val="1009"/>
        </w:numPr>
      </w:pPr>
      <w:r>
        <w:rPr>
          <w:b/>
          <w:bCs/>
        </w:rPr>
        <w:t xml:space="preserve">Alertes</w:t>
      </w:r>
      <w:r>
        <w:t xml:space="preserve"> </w:t>
      </w:r>
      <w:r>
        <w:t xml:space="preserve">: seuils fixes (alarmes haute / très haute) sans gradation prédictive ; l’opérateur reçoit une notification quand un seuil est franchi mais sans estimation du temps avant défaillance ;</w:t>
      </w:r>
    </w:p>
    <w:p>
      <w:pPr>
        <w:pStyle w:val="Compact"/>
        <w:numPr>
          <w:ilvl w:val="0"/>
          <w:numId w:val="1009"/>
        </w:numPr>
      </w:pPr>
      <w:r>
        <w:rPr>
          <w:b/>
          <w:bCs/>
        </w:rPr>
        <w:t xml:space="preserve">Décision</w:t>
      </w:r>
      <w:r>
        <w:t xml:space="preserve"> </w:t>
      </w:r>
      <w:r>
        <w:t xml:space="preserve">: l’ajustement du débit de la pompe à inhibiteur est</w:t>
      </w:r>
      <w:r>
        <w:t xml:space="preserve"> </w:t>
      </w:r>
      <w:r>
        <w:rPr>
          <w:b/>
          <w:bCs/>
        </w:rPr>
        <w:t xml:space="preserve">manuel</w:t>
      </w:r>
      <w:r>
        <w:t xml:space="preserve">, sur jugement d’expert ;</w:t>
      </w:r>
    </w:p>
    <w:p>
      <w:pPr>
        <w:pStyle w:val="Compact"/>
        <w:numPr>
          <w:ilvl w:val="0"/>
          <w:numId w:val="1009"/>
        </w:numPr>
      </w:pPr>
      <w:r>
        <w:rPr>
          <w:b/>
          <w:bCs/>
        </w:rPr>
        <w:t xml:space="preserve">Maintenance des sondes</w:t>
      </w:r>
      <w:r>
        <w:t xml:space="preserve"> </w:t>
      </w:r>
      <w:r>
        <w:t xml:space="preserve">: remplacement préventif selon calendrier ou à la défaillance.</w:t>
      </w:r>
    </w:p>
    <w:p>
      <w:pPr>
        <w:pStyle w:val="FirstParagraph"/>
      </w:pPr>
      <w:r>
        <w:t xml:space="preserve">Au-delà de la surveillance ER continue, la politique actuelle de maintenance chez COTCO comprend également (Pumps Africa, 2024 ; HSPublishing, 2023) :</w:t>
      </w:r>
    </w:p>
    <w:p>
      <w:pPr>
        <w:pStyle w:val="Compact"/>
        <w:numPr>
          <w:ilvl w:val="0"/>
          <w:numId w:val="1010"/>
        </w:numPr>
      </w:pPr>
      <w:r>
        <w:t xml:space="preserve">Des</w:t>
      </w:r>
      <w:r>
        <w:t xml:space="preserve"> </w:t>
      </w:r>
      <w:r>
        <w:rPr>
          <w:b/>
          <w:bCs/>
        </w:rPr>
        <w:t xml:space="preserve">inspections périodiques par ultrasons (UT)</w:t>
      </w:r>
      <w:r>
        <w:t xml:space="preserve"> </w:t>
      </w:r>
      <w:r>
        <w:t xml:space="preserve">à intervalles de 6 à 24 mois selon la criticité de la section, en complément de la surveillance ER ;</w:t>
      </w:r>
    </w:p>
    <w:p>
      <w:pPr>
        <w:pStyle w:val="Compact"/>
        <w:numPr>
          <w:ilvl w:val="0"/>
          <w:numId w:val="1010"/>
        </w:numPr>
      </w:pPr>
      <w:r>
        <w:t xml:space="preserve">Des</w:t>
      </w:r>
      <w:r>
        <w:t xml:space="preserve"> </w:t>
      </w:r>
      <w:r>
        <w:rPr>
          <w:b/>
          <w:bCs/>
        </w:rPr>
        <w:t xml:space="preserve">coupons gravimétriques</w:t>
      </w:r>
      <w:r>
        <w:t xml:space="preserve"> </w:t>
      </w:r>
      <w:r>
        <w:t xml:space="preserve">placés en certains points stratégiques pour validation indépendante ;</w:t>
      </w:r>
    </w:p>
    <w:p>
      <w:pPr>
        <w:pStyle w:val="Compact"/>
        <w:numPr>
          <w:ilvl w:val="0"/>
          <w:numId w:val="1010"/>
        </w:numPr>
      </w:pPr>
      <w:r>
        <w:t xml:space="preserve">Une</w:t>
      </w:r>
      <w:r>
        <w:t xml:space="preserve"> </w:t>
      </w:r>
      <w:r>
        <w:rPr>
          <w:b/>
          <w:bCs/>
        </w:rPr>
        <w:t xml:space="preserve">injection préventive d’inhibiteurs</w:t>
      </w:r>
      <w:r>
        <w:t xml:space="preserve"> </w:t>
      </w:r>
      <w:r>
        <w:t xml:space="preserve">dans le brut (filmants à base d’imidazoline ou d’amines), pilotée manuellement.</w:t>
      </w:r>
    </w:p>
    <w:p>
      <w:pPr>
        <w:pStyle w:val="FirstParagraph"/>
      </w:pPr>
      <w:r>
        <w:t xml:space="preserve">Cette approche I3.0 présente plusieurs</w:t>
      </w:r>
      <w:r>
        <w:t xml:space="preserve"> </w:t>
      </w:r>
      <w:r>
        <w:rPr>
          <w:b/>
          <w:bCs/>
        </w:rPr>
        <w:t xml:space="preserve">limites structurelles</w:t>
      </w:r>
      <w:r>
        <w:t xml:space="preserve"> </w:t>
      </w:r>
      <w:r>
        <w:t xml:space="preserve">que la transition I4.0 vise précisément à lever :</w:t>
      </w:r>
    </w:p>
    <w:p>
      <w:pPr>
        <w:pStyle w:val="Compact"/>
        <w:numPr>
          <w:ilvl w:val="0"/>
          <w:numId w:val="1011"/>
        </w:numPr>
      </w:pPr>
      <w:r>
        <w:rPr>
          <w:b/>
          <w:bCs/>
        </w:rPr>
        <w:t xml:space="preserve">Absence de corrélation algorithmique multi-variables</w:t>
      </w:r>
      <w:r>
        <w:t xml:space="preserve"> </w:t>
      </w:r>
      <w:r>
        <w:t xml:space="preserve">: la dérive du taux de corrosion peut résulter d’une élévation thermique, d’un changement de composition du fluide ou d’une défaillance de l’injection inhibiteur — ces causes ne sont pas distinguées en temps réel ;</w:t>
      </w:r>
    </w:p>
    <w:p>
      <w:pPr>
        <w:pStyle w:val="Compact"/>
        <w:numPr>
          <w:ilvl w:val="0"/>
          <w:numId w:val="1011"/>
        </w:numPr>
      </w:pPr>
      <w:r>
        <w:rPr>
          <w:b/>
          <w:bCs/>
        </w:rPr>
        <w:t xml:space="preserve">Absence d’estimation explicite du RUL</w:t>
      </w:r>
      <w:r>
        <w:t xml:space="preserve"> </w:t>
      </w:r>
      <w:r>
        <w:t xml:space="preserve">(durée de vie résiduelle) : les seuils fixes informent que le système est en alerte, mais pas dans combien d’heures la défaillance est probable ;</w:t>
      </w:r>
    </w:p>
    <w:p>
      <w:pPr>
        <w:pStyle w:val="Compact"/>
        <w:numPr>
          <w:ilvl w:val="0"/>
          <w:numId w:val="1011"/>
        </w:numPr>
      </w:pPr>
      <w:r>
        <w:rPr>
          <w:b/>
          <w:bCs/>
        </w:rPr>
        <w:t xml:space="preserve">Absence de boucle décision → action structurée</w:t>
      </w:r>
      <w:r>
        <w:t xml:space="preserve"> </w:t>
      </w:r>
      <w:r>
        <w:t xml:space="preserve">: les interventions correctives ne sont pas systématiquement tracées dans une GMAO, ce qui prive l’opérateur d’historiques exploitables pour le calcul de KPIs maintenance (MTBF, MTTR, efficacité d’inhibition) ;</w:t>
      </w:r>
    </w:p>
    <w:p>
      <w:pPr>
        <w:pStyle w:val="Compact"/>
        <w:numPr>
          <w:ilvl w:val="0"/>
          <w:numId w:val="1011"/>
        </w:numPr>
      </w:pPr>
      <w:r>
        <w:rPr>
          <w:b/>
          <w:bCs/>
        </w:rPr>
        <w:t xml:space="preserve">Sous-exploitation du flux de données</w:t>
      </w:r>
      <w:r>
        <w:t xml:space="preserve"> </w:t>
      </w:r>
      <w:r>
        <w:t xml:space="preserve">: les historiques des sondes ER constituent un actif informationnel non valorisé.</w:t>
      </w:r>
    </w:p>
    <w:p>
      <w:pPr>
        <w:pStyle w:val="FirstParagraph"/>
      </w:pPr>
      <w:r>
        <w:rPr>
          <w:b/>
          <w:bCs/>
        </w:rPr>
        <w:t xml:space="preserve">Le verrou n’est donc plus l’instrumentation</w:t>
      </w:r>
      <w:r>
        <w:t xml:space="preserve"> </w:t>
      </w:r>
      <w:r>
        <w:t xml:space="preserve">(déjà en place et performante),</w:t>
      </w:r>
      <w:r>
        <w:t xml:space="preserve"> </w:t>
      </w:r>
      <w:r>
        <w:rPr>
          <w:b/>
          <w:bCs/>
        </w:rPr>
        <w:t xml:space="preserve">mais l’intelligence applicative</w:t>
      </w:r>
      <w:r>
        <w:t xml:space="preserve"> </w:t>
      </w:r>
      <w:r>
        <w:t xml:space="preserve">: ajouter au-dessus du flux ER existant une couche d’apprentissage automatique capable de corréler résistance / température / temps, de prédire CR + RUL, et d’orchestrer les ordres de travail via une GMAO interconnectée. C’est précisément la transition</w:t>
      </w:r>
      <w:r>
        <w:t xml:space="preserve"> </w:t>
      </w:r>
      <w:r>
        <w:rPr>
          <w:b/>
          <w:bCs/>
        </w:rPr>
        <w:t xml:space="preserve">Industrie 3.0 → Industrie 4.0</w:t>
      </w:r>
      <w:r>
        <w:t xml:space="preserve"> </w:t>
      </w:r>
      <w:r>
        <w:t xml:space="preserve">que ce mémoire propose d’opérer.</w:t>
      </w:r>
    </w:p>
    <w:bookmarkEnd w:id="24"/>
    <w:bookmarkStart w:id="25" w:name="i.1.6.-énoncé-du-sujet"/>
    <w:p>
      <w:pPr>
        <w:pStyle w:val="Heading3"/>
      </w:pPr>
      <w:r>
        <w:t xml:space="preserve">I.1.6. Énoncé du sujet</w:t>
      </w:r>
    </w:p>
    <w:p>
      <w:pPr>
        <w:pStyle w:val="FirstParagraph"/>
      </w:pPr>
      <w:r>
        <w:t xml:space="preserve">Sur la base du contexte exposé — ampleur économique mondiale de la corrosion, lacunes scientifiques persistantes (sous-exploitation des historiques ER, absence de prédiction CR + RUL combinée, absence de chaîne décision → action structurée), maturité numérique limitée à l’Industrie 3.0 chez la plupart des opérateurs subsahariens dont COTCO, cadre normatif et réglementaire — le sujet de ce mémoire est formulé comme suit :</w:t>
      </w:r>
    </w:p>
    <w:p>
      <w:pPr>
        <w:pStyle w:val="BlockText"/>
      </w:pPr>
      <w:r>
        <w:rPr>
          <w:b/>
          <w:bCs/>
        </w:rPr>
        <w:t xml:space="preserve">« Système intégré de maintenance prédictive de la corrosion par apprentissage automatique : transition Industrie 3.0 → 4.0 par sonde ER instrumentée IoT, prédiction du taux de corrosion et de la durée de vie résiduelle par XGBoost, et intégration à un CMMS open-source. »</w:t>
      </w:r>
    </w:p>
    <w:p>
      <w:pPr>
        <w:pStyle w:val="FirstParagraph"/>
      </w:pPr>
      <w:r>
        <w:t xml:space="preserve">Ce sujet articule</w:t>
      </w:r>
      <w:r>
        <w:t xml:space="preserve"> </w:t>
      </w:r>
      <w:r>
        <w:rPr>
          <w:b/>
          <w:bCs/>
        </w:rPr>
        <w:t xml:space="preserve">quatre axes</w:t>
      </w:r>
      <w:r>
        <w:t xml:space="preserve"> </w:t>
      </w:r>
      <w:r>
        <w:t xml:space="preserve">:</w:t>
      </w:r>
      <w:r>
        <w:t xml:space="preserve"> </w:t>
      </w:r>
      <w:r>
        <w:t xml:space="preserve">1.</w:t>
      </w:r>
      <w:r>
        <w:t xml:space="preserve"> </w:t>
      </w:r>
      <w:r>
        <w:rPr>
          <w:b/>
          <w:bCs/>
        </w:rPr>
        <w:t xml:space="preserve">Axe instrumental</w:t>
      </w:r>
      <w:r>
        <w:t xml:space="preserve"> </w:t>
      </w:r>
      <w:r>
        <w:t xml:space="preserve">— conception d’une chaîne de mesure ER + IoT autonome (ESP32 + HX711 + DS18B20), démontrant qu’une chaîne d’acquisition I4.0 (déconnectée du DCS, déployable sur points isolés) est réalisable à partir de composants accessibles localement ;</w:t>
      </w:r>
      <w:r>
        <w:t xml:space="preserve"> </w:t>
      </w:r>
      <w:r>
        <w:t xml:space="preserve">2.</w:t>
      </w:r>
      <w:r>
        <w:t xml:space="preserve"> </w:t>
      </w:r>
      <w:r>
        <w:rPr>
          <w:b/>
          <w:bCs/>
        </w:rPr>
        <w:t xml:space="preserve">Axe algorithmique</w:t>
      </w:r>
      <w:r>
        <w:t xml:space="preserve"> </w:t>
      </w:r>
      <w:r>
        <w:t xml:space="preserve">— apprentissage automatique XGBoost à double sortie CR + RUL avec interprétabilité SHAP,</w:t>
      </w:r>
      <w:r>
        <w:t xml:space="preserve"> </w:t>
      </w:r>
      <w:r>
        <w:rPr>
          <w:b/>
          <w:bCs/>
        </w:rPr>
        <w:t xml:space="preserve">applicable indifféremment aux flux de données du prototype maison ou aux flux des sondes ER commerciales déjà en place chez COTCO</w:t>
      </w:r>
      <w:r>
        <w:t xml:space="preserve"> </w:t>
      </w:r>
      <w:r>
        <w:t xml:space="preserve">;</w:t>
      </w:r>
      <w:r>
        <w:t xml:space="preserve"> </w:t>
      </w:r>
      <w:r>
        <w:t xml:space="preserve">3.</w:t>
      </w:r>
      <w:r>
        <w:t xml:space="preserve"> </w:t>
      </w:r>
      <w:r>
        <w:rPr>
          <w:b/>
          <w:bCs/>
        </w:rPr>
        <w:t xml:space="preserve">Axe intégration</w:t>
      </w:r>
      <w:r>
        <w:t xml:space="preserve"> </w:t>
      </w:r>
      <w:r>
        <w:t xml:space="preserve">— connexion via API REST entre l’application Streamlit (frontend ML) et un CMMS open-source (GLPI ou équivalent) pour la création automatique des ordres de travail, structurant la boucle décision → action ;</w:t>
      </w:r>
      <w:r>
        <w:t xml:space="preserve"> </w:t>
      </w:r>
      <w:r>
        <w:t xml:space="preserve">4.</w:t>
      </w:r>
      <w:r>
        <w:t xml:space="preserve"> </w:t>
      </w:r>
      <w:r>
        <w:rPr>
          <w:b/>
          <w:bCs/>
        </w:rPr>
        <w:t xml:space="preserve">Axe applicatif et de transposabilité</w:t>
      </w:r>
      <w:r>
        <w:t xml:space="preserve"> </w:t>
      </w:r>
      <w:r>
        <w:t xml:space="preserve">— démonstration que l’ensemble de la chaîne est doublement transposable : (a) en industrie chez COTCO, où le saut I3.0 → I4.0 est essentiellement logiciel et n’exige pas le remplacement des sondes ; (b) en autonomie chez les PME industrielles africaines à budget réduit.</w:t>
      </w:r>
    </w:p>
    <w:p>
      <w:r>
        <w:pict>
          <v:rect style="width:0;height:1.5pt" o:hralign="center" o:hrstd="t" o:hr="t"/>
        </w:pict>
      </w:r>
    </w:p>
    <w:bookmarkEnd w:id="25"/>
    <w:bookmarkEnd w:id="26"/>
    <w:bookmarkStart w:id="27" w:name="i.2.-problématique"/>
    <w:p>
      <w:pPr>
        <w:pStyle w:val="Heading2"/>
      </w:pPr>
      <w:r>
        <w:t xml:space="preserve">I.2. Problématique</w:t>
      </w:r>
    </w:p>
    <w:p>
      <w:pPr>
        <w:pStyle w:val="FirstParagraph"/>
      </w:pPr>
      <w:r>
        <w:t xml:space="preserve">La maintenance des infrastructures de transport pétrolier au Cameroun, et plus particulièrement chez COTCO, fait face à un</w:t>
      </w:r>
      <w:r>
        <w:t xml:space="preserve"> </w:t>
      </w:r>
      <w:r>
        <w:rPr>
          <w:b/>
          <w:bCs/>
        </w:rPr>
        <w:t xml:space="preserve">paradoxe fondamental</w:t>
      </w:r>
      <w:r>
        <w:t xml:space="preserve"> </w:t>
      </w:r>
      <w:r>
        <w:t xml:space="preserve">: les opérateurs disposent déjà d’un flux</w:t>
      </w:r>
      <w:r>
        <w:t xml:space="preserve"> </w:t>
      </w:r>
      <w:r>
        <w:rPr>
          <w:b/>
          <w:bCs/>
        </w:rPr>
        <w:t xml:space="preserve">continu</w:t>
      </w:r>
      <w:r>
        <w:t xml:space="preserve"> </w:t>
      </w:r>
      <w:r>
        <w:t xml:space="preserve">de données de surveillance produit par les sondes ER et LPR commerciales câblées au DCS (Cosasco, Emerson Roxar), complété par des inspections UT périodiques, des rapports de laboratoire et des journaux d’injection d’inhibiteurs. Pourtant, ces données — d’une grande richesse informationnelle — ne sont ni corrélées algorithmiquement aux variables de procédé (température, pression, débit), ni exploitées par des modèles prédictifs de durée de vie résiduelle, ni intégrées dans un système de gestion de maintenance assistée par ordinateur permettant la traçabilité des actions correctives. Le verrou n’est donc plus l’instrumentation, mais bien l’</w:t>
      </w:r>
      <w:r>
        <w:rPr>
          <w:b/>
          <w:bCs/>
        </w:rPr>
        <w:t xml:space="preserve">intelligence applicative</w:t>
      </w:r>
      <w:r>
        <w:t xml:space="preserve"> </w:t>
      </w:r>
      <w:r>
        <w:t xml:space="preserve">au-dessus du flux existant. Ce paradoxe correspond exactement à la</w:t>
      </w:r>
      <w:r>
        <w:t xml:space="preserve"> </w:t>
      </w:r>
      <w:r>
        <w:rPr>
          <w:b/>
          <w:bCs/>
        </w:rPr>
        <w:t xml:space="preserve">frontière Industrie 3.0 / Industrie 4.0</w:t>
      </w:r>
      <w:r>
        <w:t xml:space="preserve"> </w:t>
      </w:r>
      <w:r>
        <w:t xml:space="preserve">identifiée dans la littérature de la transformation numérique industrielle (Lasi et al., 2014 ; Lu, 2017 ; Xu et al., 2018) : les machines mesurent, mais les données ne « parlent » pas entre elles, et la chaîne décision-action reste à dominante humaine.</w:t>
      </w:r>
    </w:p>
    <w:p>
      <w:pPr>
        <w:pStyle w:val="BodyText"/>
      </w:pPr>
      <w:r>
        <w:t xml:space="preserve">Sur le plan</w:t>
      </w:r>
      <w:r>
        <w:t xml:space="preserve"> </w:t>
      </w:r>
      <w:r>
        <w:rPr>
          <w:b/>
          <w:bCs/>
        </w:rPr>
        <w:t xml:space="preserve">scientifique</w:t>
      </w:r>
      <w:r>
        <w:t xml:space="preserve">, les modèles physiques classiques de prédiction de la corrosion (modèle de de Waard et Milliams, modèle NORSOK M-506) ont montré des limites importantes en conditions d’exploitation réelle, avec des erreurs systématiques de 40 à 60 % attribuables à la non-prise en compte des interactions complexes entre les multiples composants des fluides de procédé (de Waard et Milliams, 1975 ; Coelho, 2022). Les approches par apprentissage automatique offrent une alternative prometteuse, capable de capturer ces non-linéarités, mais leur déploiement en contexte africain se heurte à plusieurs verrous : (i) l’</w:t>
      </w:r>
      <w:r>
        <w:rPr>
          <w:b/>
          <w:bCs/>
        </w:rPr>
        <w:t xml:space="preserve">absence de données d’entraînement locales</w:t>
      </w:r>
      <w:r>
        <w:t xml:space="preserve">, (ii) l’</w:t>
      </w:r>
      <w:r>
        <w:rPr>
          <w:b/>
          <w:bCs/>
        </w:rPr>
        <w:t xml:space="preserve">absence de protocoles</w:t>
      </w:r>
      <w:r>
        <w:rPr>
          <w:b/>
          <w:bCs/>
        </w:rPr>
        <w:t xml:space="preserve"> </w:t>
      </w:r>
      <w:r>
        <w:rPr>
          <w:b/>
          <w:bCs/>
          <w:i/>
          <w:iCs/>
        </w:rPr>
        <w:t xml:space="preserve">run-to-failure</w:t>
      </w:r>
      <w:r>
        <w:rPr>
          <w:b/>
          <w:bCs/>
        </w:rPr>
        <w:t xml:space="preserve"> </w:t>
      </w:r>
      <w:r>
        <w:rPr>
          <w:b/>
          <w:bCs/>
        </w:rPr>
        <w:t xml:space="preserve">publiés</w:t>
      </w:r>
      <w:r>
        <w:t xml:space="preserve"> </w:t>
      </w:r>
      <w:r>
        <w:t xml:space="preserve">permettant la prédiction conjointe CR + RUL, et (iii) la</w:t>
      </w:r>
      <w:r>
        <w:t xml:space="preserve"> </w:t>
      </w:r>
      <w:r>
        <w:rPr>
          <w:b/>
          <w:bCs/>
        </w:rPr>
        <w:t xml:space="preserve">rareté des plateformes intégrées</w:t>
      </w:r>
      <w:r>
        <w:t xml:space="preserve"> </w:t>
      </w:r>
      <w:r>
        <w:t xml:space="preserve">prouvant la chaîne complète de la mesure jusqu’à l’ordre de travail.</w:t>
      </w:r>
    </w:p>
    <w:p>
      <w:pPr>
        <w:pStyle w:val="BodyText"/>
      </w:pPr>
      <w:r>
        <w:t xml:space="preserve">Sur le plan</w:t>
      </w:r>
      <w:r>
        <w:t xml:space="preserve"> </w:t>
      </w:r>
      <w:r>
        <w:rPr>
          <w:b/>
          <w:bCs/>
        </w:rPr>
        <w:t xml:space="preserve">algorithmique</w:t>
      </w:r>
      <w:r>
        <w:t xml:space="preserve">, la grande majorité des travaux ML sur la corrosion se limitent à la prédiction instantanée du taux de corrosion, sans extrapolation explicite vers la durée de vie résiduelle (RUL), pourtant définie de manière claire par la norme ISO 13381-1 (ISO, 2015 ; Akash, 2024). Cette absence de double prédiction CR + RUL prive les opérateurs d’une information essentielle à la planification optimisée des interventions.</w:t>
      </w:r>
    </w:p>
    <w:p>
      <w:pPr>
        <w:pStyle w:val="BodyText"/>
      </w:pPr>
      <w:r>
        <w:t xml:space="preserve">Sur le plan</w:t>
      </w:r>
      <w:r>
        <w:t xml:space="preserve"> </w:t>
      </w:r>
      <w:r>
        <w:rPr>
          <w:b/>
          <w:bCs/>
        </w:rPr>
        <w:t xml:space="preserve">applicatif</w:t>
      </w:r>
      <w:r>
        <w:t xml:space="preserve">, l’opérateur COTCO et la plupart des PME industrielles africaines partagent un même besoin : se doter d’une</w:t>
      </w:r>
      <w:r>
        <w:t xml:space="preserve"> </w:t>
      </w:r>
      <w:r>
        <w:rPr>
          <w:b/>
          <w:bCs/>
        </w:rPr>
        <w:t xml:space="preserve">boucle décision → action structurée</w:t>
      </w:r>
      <w:r>
        <w:t xml:space="preserve"> </w:t>
      </w:r>
      <w:r>
        <w:t xml:space="preserve">qui exploite les sorties prédictives pour générer automatiquement les ordres de travail, tracer les interventions et calculer les KPIs maintenance (MTBF, MTTR, efficacité d’inhibition). Le marché GMAO est dominé par des solutions propriétaires (SAP PM, IBM Maximo, Mainpac) dont les coûts de licence (souvent supérieurs à 10 000 USD par site et par an) sont incompatibles avec les budgets de la plupart des opérateurs subsahariens et de l’ensemble des PME industrielles. Une</w:t>
      </w:r>
      <w:r>
        <w:t xml:space="preserve"> </w:t>
      </w:r>
      <w:r>
        <w:rPr>
          <w:b/>
          <w:bCs/>
        </w:rPr>
        <w:t xml:space="preserve">alternative open-source intégrée</w:t>
      </w:r>
      <w:r>
        <w:t xml:space="preserve"> </w:t>
      </w:r>
      <w:r>
        <w:t xml:space="preserve">est donc à construire.</w:t>
      </w:r>
    </w:p>
    <w:p>
      <w:pPr>
        <w:pStyle w:val="BodyText"/>
      </w:pPr>
      <w:r>
        <w:t xml:space="preserve">Enfin, sur le plan</w:t>
      </w:r>
      <w:r>
        <w:t xml:space="preserve"> </w:t>
      </w:r>
      <w:r>
        <w:rPr>
          <w:b/>
          <w:bCs/>
        </w:rPr>
        <w:t xml:space="preserve">expérimental</w:t>
      </w:r>
      <w:r>
        <w:t xml:space="preserve">, peu d’études disposent d’un protocole</w:t>
      </w:r>
      <w:r>
        <w:t xml:space="preserve"> </w:t>
      </w:r>
      <w:r>
        <w:rPr>
          <w:i/>
          <w:iCs/>
        </w:rPr>
        <w:t xml:space="preserve">run-to-failure</w:t>
      </w:r>
      <w:r>
        <w:t xml:space="preserve"> </w:t>
      </w:r>
      <w:r>
        <w:t xml:space="preserve">(RTF) complet permettant de couvrir l’intégralité du cycle de dégradation depuis l’état initial jusqu’à la rupture mécanique. Or seul un protocole RTF permet de constituer un jeu d’apprentissage statistiquement représentatif pour une prédiction RUL fiable.</w:t>
      </w:r>
    </w:p>
    <w:p>
      <w:pPr>
        <w:pStyle w:val="BodyText"/>
      </w:pPr>
      <w:r>
        <w:t xml:space="preserve">La</w:t>
      </w:r>
      <w:r>
        <w:t xml:space="preserve"> </w:t>
      </w:r>
      <w:r>
        <w:rPr>
          <w:b/>
          <w:bCs/>
        </w:rPr>
        <w:t xml:space="preserve">question centrale</w:t>
      </w:r>
      <w:r>
        <w:t xml:space="preserve"> </w:t>
      </w:r>
      <w:r>
        <w:t xml:space="preserve">de ce travail est donc :</w:t>
      </w:r>
    </w:p>
    <w:p>
      <w:pPr>
        <w:pStyle w:val="BlockText"/>
      </w:pPr>
      <w:r>
        <w:rPr>
          <w:b/>
          <w:bCs/>
        </w:rPr>
        <w:t xml:space="preserve">Dans quelle mesure un système intégré associant (i) une sonde ER instrumentée IoT à autonomie d’acquisition (ESP32 + HX711 + DS18B20), (ii) un modèle XGBoost à double sortie CR + RUL entraîné en protocole</w:t>
      </w:r>
      <w:r>
        <w:rPr>
          <w:b/>
          <w:bCs/>
        </w:rPr>
        <w:t xml:space="preserve"> </w:t>
      </w:r>
      <w:r>
        <w:rPr>
          <w:b/>
          <w:bCs/>
          <w:i/>
          <w:iCs/>
        </w:rPr>
        <w:t xml:space="preserve">run-to-failure</w:t>
      </w:r>
      <w:r>
        <w:rPr>
          <w:b/>
          <w:bCs/>
        </w:rPr>
        <w:t xml:space="preserve"> </w:t>
      </w:r>
      <w:r>
        <w:rPr>
          <w:b/>
          <w:bCs/>
        </w:rPr>
        <w:t xml:space="preserve">sur des données expérimentales de corrosion en milieu acide multi-composant, et (iii) une chaîne d’intégration via API REST vers un CMMS open-source pour la génération automatique d’ordres de travail, permet-il d’opérer une transition Industrie 3.0 → Industrie 4.0 transposable à la fois (a) aux opérateurs industriels disposant déjà d’une instrumentation ER commerciale (cas COTCO, saut I3.0 → I4.0 essentiellement logiciel) et (b) aux PME industrielles africaines en autonomie complète à budget réduit ?</w:t>
      </w:r>
    </w:p>
    <w:p>
      <w:r>
        <w:pict>
          <v:rect style="width:0;height:1.5pt" o:hralign="center" o:hrstd="t" o:hr="t"/>
        </w:pict>
      </w:r>
    </w:p>
    <w:bookmarkEnd w:id="27"/>
    <w:bookmarkStart w:id="30" w:name="i.3.-objectifs-de-létude"/>
    <w:p>
      <w:pPr>
        <w:pStyle w:val="Heading2"/>
      </w:pPr>
      <w:r>
        <w:t xml:space="preserve">I.3. Objectifs de l’étude</w:t>
      </w:r>
    </w:p>
    <w:bookmarkStart w:id="28" w:name="i.3.1.-objectif-général"/>
    <w:p>
      <w:pPr>
        <w:pStyle w:val="Heading3"/>
      </w:pPr>
      <w:r>
        <w:t xml:space="preserve">I.3.1. Objectif général</w:t>
      </w:r>
    </w:p>
    <w:p>
      <w:pPr>
        <w:pStyle w:val="FirstParagraph"/>
      </w:pPr>
      <w:r>
        <w:t xml:space="preserve">Concevoir, développer et valider expérimentalement un</w:t>
      </w:r>
      <w:r>
        <w:t xml:space="preserve"> </w:t>
      </w:r>
      <w:r>
        <w:rPr>
          <w:b/>
          <w:bCs/>
        </w:rPr>
        <w:t xml:space="preserve">système intégré de maintenance prédictive de la corrosion</w:t>
      </w:r>
      <w:r>
        <w:t xml:space="preserve"> </w:t>
      </w:r>
      <w:r>
        <w:t xml:space="preserve">matérialisant une transition</w:t>
      </w:r>
      <w:r>
        <w:t xml:space="preserve"> </w:t>
      </w:r>
      <w:r>
        <w:rPr>
          <w:b/>
          <w:bCs/>
        </w:rPr>
        <w:t xml:space="preserve">Industrie 3.0 → Industrie 4.0</w:t>
      </w:r>
      <w:r>
        <w:t xml:space="preserve">, couvrant la chaîne complète</w:t>
      </w:r>
      <w:r>
        <w:t xml:space="preserve"> </w:t>
      </w:r>
      <w:r>
        <w:rPr>
          <w:b/>
          <w:bCs/>
        </w:rPr>
        <w:t xml:space="preserve">détection → diagnostic → pronostic → décision → action</w:t>
      </w:r>
      <w:r>
        <w:t xml:space="preserve"> </w:t>
      </w:r>
      <w:r>
        <w:t xml:space="preserve">définie par la norme ISO 13381-1, et combinant une sonde ER instrumentée IoT (ESP32 + HX711 + DS18B20), un modèle d’apprentissage automatique XGBoost à double sortie (CR + RUL) avec module de diagnostic des régimes de corrosion, un système d’alertes calibrées sur l’efficacité d’un inhibiteur industriel à base d’imidazoline, et une</w:t>
      </w:r>
      <w:r>
        <w:t xml:space="preserve"> </w:t>
      </w:r>
      <w:r>
        <w:rPr>
          <w:b/>
          <w:bCs/>
        </w:rPr>
        <w:t xml:space="preserve">application web Streamlit intégrée par API REST à un CMMS open-source</w:t>
      </w:r>
      <w:r>
        <w:t xml:space="preserve"> </w:t>
      </w:r>
      <w:r>
        <w:t xml:space="preserve">pour la génération automatique des ordres de travail, le tout doublement transposable (a) aux opérateurs disposant déjà d’une instrumentation ER commerciale (cas COTCO) et (b) aux PME industrielles africaines en déploiement autonome.</w:t>
      </w:r>
    </w:p>
    <w:bookmarkEnd w:id="28"/>
    <w:bookmarkStart w:id="29" w:name="i.3.2.-objectifs-spécifiques"/>
    <w:p>
      <w:pPr>
        <w:pStyle w:val="Heading3"/>
      </w:pPr>
      <w:r>
        <w:t xml:space="preserve">I.3.2. Objectifs spécifiques</w:t>
      </w:r>
    </w:p>
    <w:p>
      <w:pPr>
        <w:pStyle w:val="FirstParagraph"/>
      </w:pPr>
      <w:r>
        <w:t xml:space="preserve">Quatre objectifs spécifiques (OS), chronologiquement ordonnés et logiquement articulés, structurent ce travail. Ils correspondent respectivement aux étapes</w:t>
      </w:r>
      <w:r>
        <w:t xml:space="preserve"> </w:t>
      </w:r>
      <w:r>
        <w:rPr>
          <w:b/>
          <w:bCs/>
        </w:rPr>
        <w:t xml:space="preserve">détection</w:t>
      </w:r>
      <w:r>
        <w:t xml:space="preserve">,</w:t>
      </w:r>
      <w:r>
        <w:t xml:space="preserve"> </w:t>
      </w:r>
      <w:r>
        <w:rPr>
          <w:b/>
          <w:bCs/>
        </w:rPr>
        <w:t xml:space="preserve">pronostic</w:t>
      </w:r>
      <w:r>
        <w:t xml:space="preserve">,</w:t>
      </w:r>
      <w:r>
        <w:t xml:space="preserve"> </w:t>
      </w:r>
      <w:r>
        <w:rPr>
          <w:b/>
          <w:bCs/>
        </w:rPr>
        <w:t xml:space="preserve">diagnostic + décision</w:t>
      </w:r>
      <w:r>
        <w:t xml:space="preserve"> </w:t>
      </w:r>
      <w:r>
        <w:t xml:space="preserve">et</w:t>
      </w:r>
      <w:r>
        <w:t xml:space="preserve"> </w:t>
      </w:r>
      <w:r>
        <w:rPr>
          <w:b/>
          <w:bCs/>
        </w:rPr>
        <w:t xml:space="preserve">action</w:t>
      </w:r>
      <w:r>
        <w:t xml:space="preserve"> </w:t>
      </w:r>
      <w:r>
        <w:t xml:space="preserve">de la chaîne ISO 13381-1.</w:t>
      </w:r>
    </w:p>
    <w:p>
      <w:pPr>
        <w:numPr>
          <w:ilvl w:val="0"/>
          <w:numId w:val="1012"/>
        </w:numPr>
      </w:pPr>
      <w:r>
        <w:rPr>
          <w:b/>
          <w:bCs/>
        </w:rPr>
        <w:t xml:space="preserve">OS1 — Concevoir et valider métrologiquement la chaîne d’acquisition ER instrumentée IoT (étape</w:t>
      </w:r>
      <w:r>
        <w:rPr>
          <w:b/>
          <w:bCs/>
        </w:rPr>
        <w:t xml:space="preserve"> </w:t>
      </w:r>
      <w:r>
        <w:rPr>
          <w:b/>
          <w:bCs/>
          <w:i/>
          <w:iCs/>
        </w:rPr>
        <w:t xml:space="preserve">Détection</w:t>
      </w:r>
      <w:r>
        <w:rPr>
          <w:b/>
          <w:bCs/>
        </w:rPr>
        <w:t xml:space="preserve">).</w:t>
      </w:r>
      <w:r>
        <w:t xml:space="preserve"> </w:t>
      </w:r>
      <w:r>
        <w:t xml:space="preserve">Il s’agit de réaliser un capteur de résistance électrique (ER) basé sur un pont de Wheatstone, un amplificateur HX711 24 bits et un microcontrôleur ESP32 en deep sleep pulsé, capable de mesurer des variations de résistance d’un fil de fer à ±0,01 mΩ près dans un milieu acide concentré (pH ≈ 1), avec une période de mesure de 10 minutes et une autonomie compatible avec un déploiement de plusieurs jours. Cette chaîne illustre la</w:t>
      </w:r>
      <w:r>
        <w:t xml:space="preserve"> </w:t>
      </w:r>
      <w:r>
        <w:rPr>
          <w:b/>
          <w:bCs/>
        </w:rPr>
        <w:t xml:space="preserve">brique d’acquisition I4.0</w:t>
      </w:r>
      <w:r>
        <w:t xml:space="preserve"> </w:t>
      </w:r>
      <w:r>
        <w:t xml:space="preserve">(interconnexion IoT, déploiement sans contrainte de câblage DCS) et fournit le format standardisé de données exploitable indifféremment par le pipeline ML maison ou par le flux des sondes ER commerciales déjà en place chez COTCO.</w:t>
      </w:r>
    </w:p>
    <w:p>
      <w:pPr>
        <w:numPr>
          <w:ilvl w:val="0"/>
          <w:numId w:val="1012"/>
        </w:numPr>
      </w:pPr>
      <w:r>
        <w:rPr>
          <w:b/>
          <w:bCs/>
        </w:rPr>
        <w:t xml:space="preserve">OS2 — Entraîner et valider un modèle XGBoost à double sortie CR + RUL (étape</w:t>
      </w:r>
      <w:r>
        <w:rPr>
          <w:b/>
          <w:bCs/>
        </w:rPr>
        <w:t xml:space="preserve"> </w:t>
      </w:r>
      <w:r>
        <w:rPr>
          <w:b/>
          <w:bCs/>
          <w:i/>
          <w:iCs/>
        </w:rPr>
        <w:t xml:space="preserve">Pronostic</w:t>
      </w:r>
      <w:r>
        <w:rPr>
          <w:b/>
          <w:bCs/>
        </w:rPr>
        <w:t xml:space="preserve">).</w:t>
      </w:r>
      <w:r>
        <w:t xml:space="preserve"> </w:t>
      </w:r>
      <w:r>
        <w:t xml:space="preserve">Il s’agit, à partir des séries temporelles collectées en protocole</w:t>
      </w:r>
      <w:r>
        <w:t xml:space="preserve"> </w:t>
      </w:r>
      <w:r>
        <w:rPr>
          <w:i/>
          <w:iCs/>
        </w:rPr>
        <w:t xml:space="preserve">run-to-failure</w:t>
      </w:r>
      <w:r>
        <w:t xml:space="preserve"> </w:t>
      </w:r>
      <w:r>
        <w:t xml:space="preserve">sur quatre cycles expérimentaux de corrosion, de construire un modèle d’apprentissage automatique XGBoost prédisant à la fois le taux de corrosion instantané (en mm/an) et la durée de vie résiduelle (en heures), avec une erreur relative inférieure à 15 % (RMSE), validé par une procédure de validation croisée temporelle (TimeSeriesSplit) respectant la causalité, et interprété par analyse SHAP. Le modèle est conçu pour être</w:t>
      </w:r>
      <w:r>
        <w:t xml:space="preserve"> </w:t>
      </w:r>
      <w:r>
        <w:rPr>
          <w:b/>
          <w:bCs/>
        </w:rPr>
        <w:t xml:space="preserve">agnostique à la source des mesures</w:t>
      </w:r>
      <w:r>
        <w:t xml:space="preserve"> </w:t>
      </w:r>
      <w:r>
        <w:t xml:space="preserve">: il consomme des séries temporelles (résistance, température, temps) qu’elles proviennent du prototype maison ou d’un export DCS de sondes commerciales.</w:t>
      </w:r>
    </w:p>
    <w:p>
      <w:pPr>
        <w:numPr>
          <w:ilvl w:val="0"/>
          <w:numId w:val="1012"/>
        </w:numPr>
      </w:pPr>
      <w:r>
        <w:rPr>
          <w:b/>
          <w:bCs/>
        </w:rPr>
        <w:t xml:space="preserve">OS3 — Diagnostiquer les régimes de corrosion, évaluer l’efficacité d’un inhibiteur à base d’imidazoline et définir un système d’alertes graduées (étapes</w:t>
      </w:r>
      <w:r>
        <w:rPr>
          <w:b/>
          <w:bCs/>
        </w:rPr>
        <w:t xml:space="preserve"> </w:t>
      </w:r>
      <w:r>
        <w:rPr>
          <w:b/>
          <w:bCs/>
          <w:i/>
          <w:iCs/>
        </w:rPr>
        <w:t xml:space="preserve">Diagnostic</w:t>
      </w:r>
      <w:r>
        <w:rPr>
          <w:b/>
          <w:bCs/>
        </w:rPr>
        <w:t xml:space="preserve"> </w:t>
      </w:r>
      <w:r>
        <w:rPr>
          <w:b/>
          <w:bCs/>
        </w:rPr>
        <w:t xml:space="preserve">et</w:t>
      </w:r>
      <w:r>
        <w:rPr>
          <w:b/>
          <w:bCs/>
        </w:rPr>
        <w:t xml:space="preserve"> </w:t>
      </w:r>
      <w:r>
        <w:rPr>
          <w:b/>
          <w:bCs/>
          <w:i/>
          <w:iCs/>
        </w:rPr>
        <w:t xml:space="preserve">Décision</w:t>
      </w:r>
      <w:r>
        <w:rPr>
          <w:b/>
          <w:bCs/>
        </w:rPr>
        <w:t xml:space="preserve">).</w:t>
      </w:r>
      <w:r>
        <w:t xml:space="preserve"> </w:t>
      </w:r>
      <w:r>
        <w:t xml:space="preserve">Il s’agit (i) de classifier en temps réel le régime de corrosion observé (corrosion stable, accélérée, passivation, adsorption inhibiteur, pré-rupture) à partir des sorties du modèle XGBoost ; (ii) de quantifier expérimentalement l’effet d’un inhibiteur de la famille des imidazolines (référence commerciale à sélectionner) sur le taux de corrosion mesuré, à deux concentrations différentes (0,1 % et 0,5 % v/v) ; (iii) de détecter par algorithme</w:t>
      </w:r>
      <w:r>
        <w:t xml:space="preserve"> </w:t>
      </w:r>
      <w:r>
        <w:rPr>
          <w:i/>
          <w:iCs/>
        </w:rPr>
        <w:t xml:space="preserve">changepoint</w:t>
      </w:r>
      <w:r>
        <w:t xml:space="preserve"> </w:t>
      </w:r>
      <w:r>
        <w:t xml:space="preserve">le temps d’adsorption de l’inhibiteur ; et (iv) de définir un système d’alertes à trois niveaux (vert / orange / rouge) avec recommandations de dosage exploitables industriellement.</w:t>
      </w:r>
    </w:p>
    <w:p>
      <w:pPr>
        <w:numPr>
          <w:ilvl w:val="0"/>
          <w:numId w:val="1012"/>
        </w:numPr>
      </w:pPr>
      <w:r>
        <w:rPr>
          <w:b/>
          <w:bCs/>
        </w:rPr>
        <w:t xml:space="preserve">OS4 — Intégrer le système prédictif à un CMMS open-source via API REST (étape</w:t>
      </w:r>
      <w:r>
        <w:rPr>
          <w:b/>
          <w:bCs/>
        </w:rPr>
        <w:t xml:space="preserve"> </w:t>
      </w:r>
      <w:r>
        <w:rPr>
          <w:b/>
          <w:bCs/>
          <w:i/>
          <w:iCs/>
        </w:rPr>
        <w:t xml:space="preserve">Action</w:t>
      </w:r>
      <w:r>
        <w:rPr>
          <w:b/>
          <w:bCs/>
        </w:rPr>
        <w:t xml:space="preserve">).</w:t>
      </w:r>
      <w:r>
        <w:t xml:space="preserve"> </w:t>
      </w:r>
      <w:r>
        <w:t xml:space="preserve">Il s’agit (i) de réaliser une application web Streamlit servant de frontend ML et de dashboard temps réel des sondes, hébergée sur Streamlit Community Cloud ; (ii) d’établir une connexion API REST vers un</w:t>
      </w:r>
      <w:r>
        <w:t xml:space="preserve"> </w:t>
      </w:r>
      <w:r>
        <w:rPr>
          <w:b/>
          <w:bCs/>
        </w:rPr>
        <w:t xml:space="preserve">CMMS open-source existant</w:t>
      </w:r>
      <w:r>
        <w:t xml:space="preserve"> </w:t>
      </w:r>
      <w:r>
        <w:t xml:space="preserve">(GLPI ou équivalent à préciser après matrice comparative) pour la création automatique d’ordres de travail à partir des alertes prédictives ; (iii) de définir le mapping prédiction ML → ticket CMMS (asset, sévérité, description, dose recommandée) ; (iv) de calculer les KPIs maintenance (MTBF, MTTR, efficacité d’inhibition, taux de fausses alertes) à partir des historiques CMMS. Cette approche démontre qu’un opérateur ou une PME peut structurer sa boucle décision → action</w:t>
      </w:r>
      <w:r>
        <w:t xml:space="preserve"> </w:t>
      </w:r>
      <w:r>
        <w:rPr>
          <w:b/>
          <w:bCs/>
        </w:rPr>
        <w:t xml:space="preserve">sans développer de GMAO ex nihilo et sans payer de licence propriétaire</w:t>
      </w:r>
      <w:r>
        <w:t xml:space="preserve"> </w:t>
      </w:r>
      <w:r>
        <w:t xml:space="preserve">(SAP PM, IBM Maximo).</w:t>
      </w:r>
    </w:p>
    <w:p>
      <w:r>
        <w:pict>
          <v:rect style="width:0;height:1.5pt" o:hralign="center" o:hrstd="t" o:hr="t"/>
        </w:pict>
      </w:r>
    </w:p>
    <w:bookmarkEnd w:id="29"/>
    <w:bookmarkEnd w:id="30"/>
    <w:bookmarkStart w:id="31" w:name="i.4.-questions-de-recherche"/>
    <w:p>
      <w:pPr>
        <w:pStyle w:val="Heading2"/>
      </w:pPr>
      <w:r>
        <w:t xml:space="preserve">I.4. Questions de recherche</w:t>
      </w:r>
    </w:p>
    <w:p>
      <w:pPr>
        <w:pStyle w:val="FirstParagraph"/>
      </w:pPr>
      <w:r>
        <w:t xml:space="preserve">À chaque objectif spécifique correspond une question de recherche (QR) :</w:t>
      </w:r>
    </w:p>
    <w:p>
      <w:pPr>
        <w:numPr>
          <w:ilvl w:val="0"/>
          <w:numId w:val="1013"/>
        </w:numPr>
      </w:pPr>
      <w:r>
        <w:rPr>
          <w:b/>
          <w:bCs/>
        </w:rPr>
        <w:t xml:space="preserve">QR1 :</w:t>
      </w:r>
      <w:r>
        <w:t xml:space="preserve"> </w:t>
      </w:r>
      <w:r>
        <w:t xml:space="preserve">Dans quelle mesure un pont de Wheatstone instrumenté par un amplificateur HX711 24 bits et un microcontrôleur ESP32 permet-il de mesurer des variations de résistance d’un fil de fer au dixième de milliohm, avec une stabilité et une résolution suffisantes pour quantifier le taux de corrosion en mm/an dans un milieu acide concentré ?</w:t>
      </w:r>
    </w:p>
    <w:p>
      <w:pPr>
        <w:numPr>
          <w:ilvl w:val="0"/>
          <w:numId w:val="1013"/>
        </w:numPr>
      </w:pPr>
      <w:r>
        <w:rPr>
          <w:b/>
          <w:bCs/>
        </w:rPr>
        <w:t xml:space="preserve">QR2 :</w:t>
      </w:r>
      <w:r>
        <w:t xml:space="preserve"> </w:t>
      </w:r>
      <w:r>
        <w:t xml:space="preserve">Dans quelle mesure un modèle XGBoost entraîné sur des séries temporelles de résistance et de température collectées en protocole</w:t>
      </w:r>
      <w:r>
        <w:t xml:space="preserve"> </w:t>
      </w:r>
      <w:r>
        <w:rPr>
          <w:i/>
          <w:iCs/>
        </w:rPr>
        <w:t xml:space="preserve">run-to-failure</w:t>
      </w:r>
      <w:r>
        <w:t xml:space="preserve"> </w:t>
      </w:r>
      <w:r>
        <w:t xml:space="preserve">permet-il de prédire simultanément le taux de corrosion (CR) et la durée de vie résiduelle (RUL) avec une erreur relative inférieure à 15 % (RMSE), tout en restant interprétable par analyse SHAP ?</w:t>
      </w:r>
    </w:p>
    <w:p>
      <w:pPr>
        <w:numPr>
          <w:ilvl w:val="0"/>
          <w:numId w:val="1013"/>
        </w:numPr>
      </w:pPr>
      <w:r>
        <w:rPr>
          <w:b/>
          <w:bCs/>
        </w:rPr>
        <w:t xml:space="preserve">QR3 :</w:t>
      </w:r>
      <w:r>
        <w:t xml:space="preserve"> </w:t>
      </w:r>
      <w:r>
        <w:t xml:space="preserve">Dans quelle mesure les sorties du modèle XGBoost permettent-elles de diagnostiquer en temps réel le régime de corrosion en cours (stable, accélérée, passivation, adsorption d’inhibiteur, pré-rupture), de calibrer un système d’alertes graduées (vert / orange / rouge), et de fournir des recommandations de dosage d’un inhibiteur de la famille des imidazolines exploitables industriellement ?</w:t>
      </w:r>
    </w:p>
    <w:p>
      <w:pPr>
        <w:numPr>
          <w:ilvl w:val="0"/>
          <w:numId w:val="1013"/>
        </w:numPr>
      </w:pPr>
      <w:r>
        <w:rPr>
          <w:b/>
          <w:bCs/>
        </w:rPr>
        <w:t xml:space="preserve">QR4 :</w:t>
      </w:r>
      <w:r>
        <w:t xml:space="preserve"> </w:t>
      </w:r>
      <w:r>
        <w:t xml:space="preserve">Dans quelle mesure une</w:t>
      </w:r>
      <w:r>
        <w:t xml:space="preserve"> </w:t>
      </w:r>
      <w:r>
        <w:rPr>
          <w:b/>
          <w:bCs/>
        </w:rPr>
        <w:t xml:space="preserve">application Streamlit intégrée par API REST à un CMMS open-source existant</w:t>
      </w:r>
      <w:r>
        <w:t xml:space="preserve"> </w:t>
      </w:r>
      <w:r>
        <w:t xml:space="preserve">(GLPI ou équivalent) peut-elle exploiter les alertes et les recommandations issues du système prédictif pour générer automatiquement les ordres de travail, tracer les interventions et calculer les KPIs de maintenance (MTBF, MTTR, efficacité d’inhibition), avec une couverture fonctionnelle équivalente aux GMAO propriétaires (SAP PM, IBM Maximo) sans coût de licence ?</w:t>
      </w:r>
    </w:p>
    <w:p>
      <w:r>
        <w:pict>
          <v:rect style="width:0;height:1.5pt" o:hralign="center" o:hrstd="t" o:hr="t"/>
        </w:pict>
      </w:r>
    </w:p>
    <w:bookmarkEnd w:id="31"/>
    <w:bookmarkStart w:id="32" w:name="i.5.-importance-de-cette-étude"/>
    <w:p>
      <w:pPr>
        <w:pStyle w:val="Heading2"/>
      </w:pPr>
      <w:r>
        <w:t xml:space="preserve">I.5. Importance de cette étude</w:t>
      </w:r>
    </w:p>
    <w:p>
      <w:pPr>
        <w:pStyle w:val="FirstParagraph"/>
      </w:pPr>
      <w:r>
        <w:t xml:space="preserve">Ce travail revêt un intérêt à plusieurs niveaux et pour plusieurs catégories de parties prenantes :</w:t>
      </w:r>
    </w:p>
    <w:p>
      <w:pPr>
        <w:pStyle w:val="BodyText"/>
      </w:pPr>
      <w:r>
        <w:rPr>
          <w:b/>
          <w:bCs/>
        </w:rPr>
        <w:t xml:space="preserve">Pour le lecteur académique :</w:t>
      </w:r>
      <w:r>
        <w:t xml:space="preserve"> </w:t>
      </w:r>
      <w:r>
        <w:t xml:space="preserve">ce mémoire propose une démarche reproductible combinant instrumentation IoT, protocole expérimental rigoureux</w:t>
      </w:r>
      <w:r>
        <w:t xml:space="preserve"> </w:t>
      </w:r>
      <w:r>
        <w:rPr>
          <w:i/>
          <w:iCs/>
        </w:rPr>
        <w:t xml:space="preserve">run-to-failure</w:t>
      </w:r>
      <w:r>
        <w:t xml:space="preserve">, apprentissage automatique interprétable (SHAP) et intégration à un CMMS open-source par API. Il s’inscrit dans le cadre théorique de la transformation numérique industrielle (Industrie 4.0) et comble un vide bibliographique sur la maintenance prédictive de la corrosion en contexte africain.</w:t>
      </w:r>
    </w:p>
    <w:p>
      <w:pPr>
        <w:pStyle w:val="BodyText"/>
      </w:pPr>
      <w:r>
        <w:rPr>
          <w:b/>
          <w:bCs/>
        </w:rPr>
        <w:t xml:space="preserve">Pour l’auteur :</w:t>
      </w:r>
      <w:r>
        <w:t xml:space="preserve"> </w:t>
      </w:r>
      <w:r>
        <w:t xml:space="preserve">ce travail constitue l’aboutissement académique du Master 2 et la matérialisation concrète de l’intégration de compétences pluridisciplinaires (corrosion, électronique embarquée, apprentissage automatique, méthodologie scientifique). Il prépare directement à l’insertion professionnelle dans le secteur industriel, et plus particulièrement dans les métiers de la maintenance prédictive.</w:t>
      </w:r>
    </w:p>
    <w:p>
      <w:pPr>
        <w:pStyle w:val="BodyText"/>
      </w:pPr>
      <w:r>
        <w:rPr>
          <w:b/>
          <w:bCs/>
        </w:rPr>
        <w:t xml:space="preserve">Pour l’École Supérieure Technique La Salle (ESTL) :</w:t>
      </w:r>
      <w:r>
        <w:t xml:space="preserve"> </w:t>
      </w:r>
      <w:r>
        <w:t xml:space="preserve">le mémoire contribue au rayonnement scientifique de l’institution en démontrant la capacité de ses étudiants à produire des prototypes intégrés et fonctionnels mobilisant des outils numériques avancés à partir de composants accessibles localement. Il s’inscrit pleinement dans la mission de formation d’ingénieurs adaptés aux contextes africains.</w:t>
      </w:r>
    </w:p>
    <w:p>
      <w:pPr>
        <w:pStyle w:val="BodyText"/>
      </w:pPr>
      <w:r>
        <w:rPr>
          <w:b/>
          <w:bCs/>
        </w:rPr>
        <w:t xml:space="preserve">Pour la recherche :</w:t>
      </w:r>
      <w:r>
        <w:t xml:space="preserve"> </w:t>
      </w:r>
      <w:r>
        <w:t xml:space="preserve">ce travail constitue l’une des premières études publiées (à notre connaissance) intégrant explicitement la prédiction CR + RUL par XGBoost avec interprétabilité SHAP, sur des données expérimentales originales collectées en protocole</w:t>
      </w:r>
      <w:r>
        <w:t xml:space="preserve"> </w:t>
      </w:r>
      <w:r>
        <w:rPr>
          <w:i/>
          <w:iCs/>
        </w:rPr>
        <w:t xml:space="preserve">run-to-failure</w:t>
      </w:r>
      <w:r>
        <w:t xml:space="preserve">, et dans un contexte multi-acide non-monotone. Il complète la littérature dominée par les approches mono-cible (CR seul) et les jeux de données nord-américains.</w:t>
      </w:r>
    </w:p>
    <w:p>
      <w:pPr>
        <w:pStyle w:val="BodyText"/>
      </w:pPr>
      <w:r>
        <w:rPr>
          <w:b/>
          <w:bCs/>
        </w:rPr>
        <w:t xml:space="preserve">Pour COTCO et les opérateurs pétroliers camerounais :</w:t>
      </w:r>
      <w:r>
        <w:t xml:space="preserve"> </w:t>
      </w:r>
      <w:r>
        <w:t xml:space="preserve">le mémoire fournit une</w:t>
      </w:r>
      <w:r>
        <w:t xml:space="preserve"> </w:t>
      </w:r>
      <w:r>
        <w:rPr>
          <w:b/>
          <w:bCs/>
        </w:rPr>
        <w:t xml:space="preserve">preuve de concept industriellement transposable</w:t>
      </w:r>
      <w:r>
        <w:t xml:space="preserve"> </w:t>
      </w:r>
      <w:r>
        <w:t xml:space="preserve">dont la valeur principale n’est pas le coût matériel mais la</w:t>
      </w:r>
      <w:r>
        <w:t xml:space="preserve"> </w:t>
      </w:r>
      <w:r>
        <w:rPr>
          <w:b/>
          <w:bCs/>
        </w:rPr>
        <w:t xml:space="preserve">chaîne de valeur logicielle I3.0 → I4.0</w:t>
      </w:r>
      <w:r>
        <w:t xml:space="preserve">. Le pipeline ML développé est applicable directement aux flux des sondes ER commerciales déjà en place (Cosasco, Roxar) via export DCS, sans remplacement matériel. La chaîne d’acquisition autonome ESP32 développée constitue par ailleurs une option d’extension pour les sections où le câblage DCS est absent ou indisponible.</w:t>
      </w:r>
    </w:p>
    <w:p>
      <w:pPr>
        <w:pStyle w:val="BodyText"/>
      </w:pPr>
      <w:r>
        <w:rPr>
          <w:b/>
          <w:bCs/>
        </w:rPr>
        <w:t xml:space="preserve">Pour les PME industrielles africaines :</w:t>
      </w:r>
      <w:r>
        <w:t xml:space="preserve"> </w:t>
      </w:r>
      <w:r>
        <w:t xml:space="preserve">au-delà du contexte pétrolier, l’architecture d’intégration</w:t>
      </w:r>
      <w:r>
        <w:t xml:space="preserve"> </w:t>
      </w:r>
      <w:r>
        <w:rPr>
          <w:b/>
          <w:bCs/>
        </w:rPr>
        <w:t xml:space="preserve">Streamlit ↔ CMMS open-source</w:t>
      </w:r>
      <w:r>
        <w:t xml:space="preserve"> </w:t>
      </w:r>
      <w:r>
        <w:t xml:space="preserve">démontrée dans ce travail est directement transposable à toutes les PME confrontées à des coûts de licence prohibitifs des GMAO industrielles (SAP PM, IBM Maximo, Mainpac), dont les tarifs annuels (souvent supérieurs à 10 000 USD par site) sont incompatibles avec les budgets de la majorité des PME subsahariennes. Le recours à un CMMS open-source mature (GLPI ou équivalent) permet une</w:t>
      </w:r>
      <w:r>
        <w:t xml:space="preserve"> </w:t>
      </w:r>
      <w:r>
        <w:rPr>
          <w:b/>
          <w:bCs/>
        </w:rPr>
        <w:t xml:space="preserve">démocratisation effective de la maintenance assistée par ordinateur</w:t>
      </w:r>
      <w:r>
        <w:t xml:space="preserve"> </w:t>
      </w:r>
      <w:r>
        <w:t xml:space="preserve">sans développement</w:t>
      </w:r>
      <w:r>
        <w:t xml:space="preserve"> </w:t>
      </w:r>
      <w:r>
        <w:rPr>
          <w:i/>
          <w:iCs/>
        </w:rPr>
        <w:t xml:space="preserve">ex nihilo</w:t>
      </w:r>
      <w:r>
        <w:t xml:space="preserve"> </w:t>
      </w:r>
      <w:r>
        <w:t xml:space="preserve">— approche pragmatique d’intégration plutôt que de réinvention.</w:t>
      </w:r>
    </w:p>
    <w:p>
      <w:pPr>
        <w:pStyle w:val="BodyText"/>
      </w:pPr>
      <w:r>
        <w:rPr>
          <w:b/>
          <w:bCs/>
        </w:rPr>
        <w:t xml:space="preserve">Pour la société et l’environnement :</w:t>
      </w:r>
      <w:r>
        <w:t xml:space="preserve"> </w:t>
      </w:r>
      <w:r>
        <w:t xml:space="preserve">la prévention des ruptures de pipeline par prédiction précoce de la dégradation réduit le risque de déversement d’hydrocarbures aux conséquences écologiques potentiellement irréversibles dans une zone de forêt équatoriale et de cours d’eau. C’est un apport indirect mais réel à la protection des écosystèmes et des populations riveraines.</w:t>
      </w:r>
    </w:p>
    <w:p>
      <w:r>
        <w:pict>
          <v:rect style="width:0;height:1.5pt" o:hralign="center" o:hrstd="t" o:hr="t"/>
        </w:pict>
      </w:r>
    </w:p>
    <w:bookmarkEnd w:id="32"/>
    <w:bookmarkStart w:id="33" w:name="i.6.-organisation-du-travail"/>
    <w:p>
      <w:pPr>
        <w:pStyle w:val="Heading2"/>
      </w:pPr>
      <w:r>
        <w:t xml:space="preserve">I.6. Organisation du travail</w:t>
      </w:r>
    </w:p>
    <w:p>
      <w:pPr>
        <w:pStyle w:val="FirstParagraph"/>
      </w:pPr>
      <w:r>
        <w:t xml:space="preserve">Ce mémoire est organisé en trois chapitres principaux, encadrés par une introduction générale et une conclusion générale.</w:t>
      </w:r>
    </w:p>
    <w:p>
      <w:pPr>
        <w:pStyle w:val="BodyText"/>
      </w:pPr>
      <w:r>
        <w:t xml:space="preserve">Le</w:t>
      </w:r>
      <w:r>
        <w:t xml:space="preserve"> </w:t>
      </w:r>
      <w:r>
        <w:rPr>
          <w:b/>
          <w:bCs/>
        </w:rPr>
        <w:t xml:space="preserve">Chapitre I (Contexte et problématique)</w:t>
      </w:r>
      <w:r>
        <w:t xml:space="preserve"> </w:t>
      </w:r>
      <w:r>
        <w:t xml:space="preserve">établit le cadre théorique, normatif et industriel de la recherche selon les six approches du protocole de recherche, formule la problématique, les objectifs et les questions de recherche, expose l’importance de l’étude, et présente une revue détaillée de la littérature sur la corrosion, ses mécanismes, ses méthodes de surveillance, ses modèles prédictifs, le diagnostic en maintenance industrielle et les systèmes de Gestion de Maintenance Assistée par Ordinateur (GMAO).</w:t>
      </w:r>
    </w:p>
    <w:p>
      <w:pPr>
        <w:pStyle w:val="BodyText"/>
      </w:pPr>
      <w:r>
        <w:t xml:space="preserve">Le</w:t>
      </w:r>
      <w:r>
        <w:t xml:space="preserve"> </w:t>
      </w:r>
      <w:r>
        <w:rPr>
          <w:b/>
          <w:bCs/>
        </w:rPr>
        <w:t xml:space="preserve">Chapitre II (Outils et méthodes)</w:t>
      </w:r>
      <w:r>
        <w:t xml:space="preserve"> </w:t>
      </w:r>
      <w:r>
        <w:t xml:space="preserve">présente le prototype développé (sonde ER + acquisition IoT ESP32 + pipeline ML + intégration CMMS), s’ouvre sur une</w:t>
      </w:r>
      <w:r>
        <w:t xml:space="preserve"> </w:t>
      </w:r>
      <w:r>
        <w:rPr>
          <w:b/>
          <w:bCs/>
        </w:rPr>
        <w:t xml:space="preserve">§II.0 dédiée à la justification des choix technologiques</w:t>
      </w:r>
      <w:r>
        <w:t xml:space="preserve"> </w:t>
      </w:r>
      <w:r>
        <w:t xml:space="preserve">(matrice de décision pour chaque brique : ESP32, HX711, DS18B20, XGBoost, TimeSeriesSplit, Streamlit, CMMS open-source retenu), puis détaille l’ensemble des matériels mobilisés, les méthodes d’acquisition et de traitement des données, la méthodologie d’entraînement du modèle XGBoost (validation croisée temporelle, hyperparamètres, interprétabilité SHAP), le module de diagnostic des régimes de corrosion, le protocole expérimental</w:t>
      </w:r>
      <w:r>
        <w:t xml:space="preserve"> </w:t>
      </w:r>
      <w:r>
        <w:rPr>
          <w:i/>
          <w:iCs/>
        </w:rPr>
        <w:t xml:space="preserve">run-to-failure</w:t>
      </w:r>
      <w:r>
        <w:t xml:space="preserve"> </w:t>
      </w:r>
      <w:r>
        <w:t xml:space="preserve">en quatre runs, l’</w:t>
      </w:r>
      <w:r>
        <w:rPr>
          <w:b/>
          <w:bCs/>
        </w:rPr>
        <w:t xml:space="preserve">architecture d’intégration Streamlit ↔ CMMS open-source par API REST</w:t>
      </w:r>
      <w:r>
        <w:t xml:space="preserve"> </w:t>
      </w:r>
      <w:r>
        <w:t xml:space="preserve">(mapping prédiction ML → ticket CMMS, KPIs maintenance), et le tableau synoptique de la démarche méthodologique.</w:t>
      </w:r>
    </w:p>
    <w:p>
      <w:pPr>
        <w:pStyle w:val="BodyText"/>
      </w:pPr>
      <w:r>
        <w:t xml:space="preserve">Le</w:t>
      </w:r>
      <w:r>
        <w:t xml:space="preserve"> </w:t>
      </w:r>
      <w:r>
        <w:rPr>
          <w:b/>
          <w:bCs/>
        </w:rPr>
        <w:t xml:space="preserve">Chapitre III (Résultats et discussions)</w:t>
      </w:r>
      <w:r>
        <w:t xml:space="preserve"> </w:t>
      </w:r>
      <w:r>
        <w:t xml:space="preserve">présente les résultats expérimentaux issus du prototype, les performances métrologi ques de la sonde ER, les résultats des quatre runs RTF, les métriques de validation du modèle XGBoost, l’analyse SHAP des variables d’influence, le diagnostic des régimes observés, l’évaluation de l’efficacité de l’inhibiteur de corrosion testé, la fonctionnalité du prototype GMAO et ses KPIs, et la discussion comparative des résultats au regard de la littérature.</w:t>
      </w:r>
    </w:p>
    <w:p>
      <w:pPr>
        <w:pStyle w:val="BodyText"/>
      </w:pPr>
      <w:r>
        <w:t xml:space="preserve">La</w:t>
      </w:r>
      <w:r>
        <w:t xml:space="preserve"> </w:t>
      </w:r>
      <w:r>
        <w:rPr>
          <w:b/>
          <w:bCs/>
        </w:rPr>
        <w:t xml:space="preserve">Conclusion générale</w:t>
      </w:r>
      <w:r>
        <w:t xml:space="preserve"> </w:t>
      </w:r>
      <w:r>
        <w:t xml:space="preserve">synthétise les résultats des quatre objectifs spécifiques, dresse le bilan des contributions, identifie les limites du travail et formule des recommandations pour COTCO, pour les PME industrielles africaines, et pour les travaux futurs.</w:t>
      </w:r>
    </w:p>
    <w:p>
      <w:r>
        <w:pict>
          <v:rect style="width:0;height:1.5pt" o:hralign="center" o:hrstd="t" o:hr="t"/>
        </w:pict>
      </w:r>
    </w:p>
    <w:bookmarkEnd w:id="33"/>
    <w:bookmarkStart w:id="44" w:name="i.7.-revue-de-la-littérature"/>
    <w:p>
      <w:pPr>
        <w:pStyle w:val="Heading2"/>
      </w:pPr>
      <w:r>
        <w:t xml:space="preserve">I.7. Revue de la littérature</w:t>
      </w:r>
    </w:p>
    <w:bookmarkStart w:id="34" w:name="X78821d0667f2e524f8e25d9ba3ef18c03029d50"/>
    <w:p>
      <w:pPr>
        <w:pStyle w:val="Heading3"/>
      </w:pPr>
      <w:r>
        <w:t xml:space="preserve">I.7.1. Mécanismes électrochimiques de la corrosion</w:t>
      </w:r>
    </w:p>
    <w:p>
      <w:pPr>
        <w:pStyle w:val="FirstParagraph"/>
      </w:pPr>
      <w:r>
        <w:t xml:space="preserve">Dans un milieu électrolytique, la corrosion procède par un mécanisme de</w:t>
      </w:r>
      <w:r>
        <w:t xml:space="preserve"> </w:t>
      </w:r>
      <w:r>
        <w:rPr>
          <w:b/>
          <w:bCs/>
        </w:rPr>
        <w:t xml:space="preserve">pile galvanique</w:t>
      </w:r>
      <w:r>
        <w:t xml:space="preserve"> </w:t>
      </w:r>
      <w:r>
        <w:t xml:space="preserve">dans lequel deux réactions électrochimiques couplées se produisent simultanément à la surface du métal (Schweitzer, 2010 ; Roberge, 2008).</w:t>
      </w:r>
    </w:p>
    <w:p>
      <w:pPr>
        <w:pStyle w:val="BodyText"/>
      </w:pPr>
      <w:r>
        <w:rPr>
          <w:b/>
          <w:bCs/>
        </w:rPr>
        <w:t xml:space="preserve">Réaction anodique</w:t>
      </w:r>
      <w:r>
        <w:t xml:space="preserve"> </w:t>
      </w:r>
      <w:r>
        <w:t xml:space="preserve">(oxydation) :</w:t>
      </w:r>
    </w:p>
    <w:p>
      <w:pPr>
        <w:pStyle w:val="BodyText"/>
      </w:pPr>
      <m:oMathPara>
        <m:oMathParaPr>
          <m:jc m:val="center"/>
        </m:oMathParaPr>
        <m:oMath>
          <m:r>
            <m:rPr>
              <m:nor/>
              <m:sty m:val="p"/>
            </m:rPr>
            <m:t>Fe</m:t>
          </m:r>
          <m:r>
            <m:rPr>
              <m:sty m:val="p"/>
            </m:rPr>
            <m:t>→</m:t>
          </m:r>
          <m:sSup>
            <m:e>
              <m:r>
                <m:rPr>
                  <m:nor/>
                  <m:sty m:val="p"/>
                </m:rPr>
                <m:t>Fe</m:t>
              </m:r>
            </m:e>
            <m:sup>
              <m:r>
                <m:t>2</m:t>
              </m:r>
              <m:r>
                <m:rPr>
                  <m:sty m:val="p"/>
                </m:rPr>
                <m:t>+</m:t>
              </m:r>
            </m:sup>
          </m:sSup>
          <m:r>
            <m:rPr>
              <m:sty m:val="p"/>
            </m:rPr>
            <m:t>+</m:t>
          </m:r>
          <m:r>
            <m:t>2</m:t>
          </m:r>
          <m:sSup>
            <m:e>
              <m:r>
                <m:t>e</m:t>
              </m:r>
            </m:e>
            <m:sup>
              <m:r>
                <m:rPr>
                  <m:sty m:val="p"/>
                </m:rPr>
                <m:t>−</m:t>
              </m:r>
            </m:sup>
          </m:sSup>
        </m:oMath>
      </m:oMathPara>
    </w:p>
    <w:p>
      <w:pPr>
        <w:pStyle w:val="FirstParagraph"/>
      </w:pPr>
      <w:r>
        <w:rPr>
          <w:b/>
          <w:bCs/>
        </w:rPr>
        <w:t xml:space="preserve">Réaction cathodique</w:t>
      </w:r>
      <w:r>
        <w:t xml:space="preserve"> </w:t>
      </w:r>
      <w:r>
        <w:t xml:space="preserve">(réduction) — en milieu acide (pH &lt; 4) :</w:t>
      </w:r>
    </w:p>
    <w:p>
      <w:pPr>
        <w:pStyle w:val="BodyText"/>
      </w:pPr>
      <m:oMathPara>
        <m:oMathParaPr>
          <m:jc m:val="center"/>
        </m:oMathParaPr>
        <m:oMath>
          <m:r>
            <m:t>2</m:t>
          </m:r>
          <m:sSup>
            <m:e>
              <m:r>
                <m:rPr>
                  <m:nor/>
                  <m:sty m:val="p"/>
                </m:rPr>
                <m:t>H</m:t>
              </m:r>
            </m:e>
            <m:sup>
              <m:r>
                <m:rPr>
                  <m:sty m:val="p"/>
                </m:rPr>
                <m:t>+</m:t>
              </m:r>
            </m:sup>
          </m:sSup>
          <m:r>
            <m:rPr>
              <m:sty m:val="p"/>
            </m:rPr>
            <m:t>+</m:t>
          </m:r>
          <m:r>
            <m:t>2</m:t>
          </m:r>
          <m:sSup>
            <m:e>
              <m:r>
                <m:t>e</m:t>
              </m:r>
            </m:e>
            <m:sup>
              <m:r>
                <m:rPr>
                  <m:sty m:val="p"/>
                </m:rPr>
                <m:t>−</m:t>
              </m:r>
            </m:sup>
          </m:sSup>
          <m:r>
            <m:rPr>
              <m:sty m:val="p"/>
            </m:rPr>
            <m:t>→</m:t>
          </m:r>
          <m:sSub>
            <m:e>
              <m:r>
                <m:rPr>
                  <m:nor/>
                  <m:sty m:val="p"/>
                </m:rPr>
                <m:t>H</m:t>
              </m:r>
            </m:e>
            <m:sub>
              <m:r>
                <m:t>2</m:t>
              </m:r>
            </m:sub>
          </m:sSub>
          <m:r>
            <m:rPr>
              <m:sty m:val="p"/>
            </m:rPr>
            <m:t>↑</m:t>
          </m:r>
        </m:oMath>
      </m:oMathPara>
    </w:p>
    <w:p>
      <w:pPr>
        <w:pStyle w:val="FirstParagraph"/>
      </w:pPr>
      <w:r>
        <w:t xml:space="preserve">La</w:t>
      </w:r>
      <w:r>
        <w:t xml:space="preserve"> </w:t>
      </w:r>
      <w:r>
        <w:rPr>
          <w:b/>
          <w:bCs/>
        </w:rPr>
        <w:t xml:space="preserve">loi de Faraday (1834)</w:t>
      </w:r>
      <w:r>
        <w:t xml:space="preserve"> </w:t>
      </w:r>
      <w:r>
        <w:t xml:space="preserve">établit la relation quantitative entre le courant échangé et la masse dissoute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t xml:space="preserve">où</w:t>
      </w:r>
      <w:r>
        <w:t xml:space="preserve"> </w:t>
      </w:r>
      <w:r>
        <w:rPr>
          <w:i/>
          <w:iCs/>
        </w:rPr>
        <w:t xml:space="preserve">m</w:t>
      </w:r>
      <w:r>
        <w:t xml:space="preserve"> </w:t>
      </w:r>
      <w:r>
        <w:t xml:space="preserve">est la masse de métal dissous (g),</w:t>
      </w:r>
      <w:r>
        <w:t xml:space="preserve"> </w:t>
      </w:r>
      <w:r>
        <w:rPr>
          <w:i/>
          <w:iCs/>
        </w:rPr>
        <w:t xml:space="preserve">M</w:t>
      </w:r>
      <w:r>
        <w:t xml:space="preserve"> </w:t>
      </w:r>
      <w:r>
        <w:t xml:space="preserve">la masse molaire (55,85 g/mol pour le fer),</w:t>
      </w:r>
      <w:r>
        <w:t xml:space="preserve"> </w:t>
      </w:r>
      <w:r>
        <w:rPr>
          <w:i/>
          <w:iCs/>
        </w:rPr>
        <w:t xml:space="preserve">I</w:t>
      </w:r>
      <w:r>
        <w:t xml:space="preserve"> </w:t>
      </w:r>
      <w:r>
        <w:t xml:space="preserve">le courant (A),</w:t>
      </w:r>
      <w:r>
        <w:t xml:space="preserve"> </w:t>
      </w:r>
      <w:r>
        <w:rPr>
          <w:i/>
          <w:iCs/>
        </w:rPr>
        <w:t xml:space="preserve">t</w:t>
      </w:r>
      <w:r>
        <w:t xml:space="preserve"> </w:t>
      </w:r>
      <w:r>
        <w:t xml:space="preserve">la durée (s),</w:t>
      </w:r>
      <w:r>
        <w:t xml:space="preserve"> </w:t>
      </w:r>
      <w:r>
        <w:rPr>
          <w:i/>
          <w:iCs/>
        </w:rPr>
        <w:t xml:space="preserve">n</w:t>
      </w:r>
      <w:r>
        <w:t xml:space="preserve"> </w:t>
      </w:r>
      <w:r>
        <w:t xml:space="preserve">le nombre d’électrons échangés (2 pour Fe²⁺), et</w:t>
      </w:r>
      <w:r>
        <w:t xml:space="preserve"> </w:t>
      </w:r>
      <w:r>
        <w:rPr>
          <w:i/>
          <w:iCs/>
        </w:rPr>
        <w:t xml:space="preserve">F</w:t>
      </w:r>
      <w:r>
        <w:t xml:space="preserve"> </w:t>
      </w:r>
      <w:r>
        <w:t xml:space="preserve">la constante de Faraday (96 485 C/mol).</w:t>
      </w:r>
    </w:p>
    <w:p>
      <w:pPr>
        <w:pStyle w:val="BodyText"/>
      </w:pPr>
      <w:r>
        <w:t xml:space="preserve">Le</w:t>
      </w:r>
      <w:r>
        <w:t xml:space="preserve"> </w:t>
      </w:r>
      <w:r>
        <w:rPr>
          <w:b/>
          <w:bCs/>
        </w:rPr>
        <w:t xml:space="preserve">taux de corrosion (CR)</w:t>
      </w:r>
      <w:r>
        <w:t xml:space="preserve"> </w:t>
      </w:r>
      <w:r>
        <w:t xml:space="preserve">en mm/an est calculé selon la norme</w:t>
      </w:r>
      <w:r>
        <w:t xml:space="preserve"> </w:t>
      </w:r>
      <w:r>
        <w:rPr>
          <w:b/>
          <w:bCs/>
        </w:rPr>
        <w:t xml:space="preserve">ASTM G1</w:t>
      </w:r>
      <w:r>
        <w:t xml:space="preserve"> </w:t>
      </w:r>
      <w:r>
        <w:t xml:space="preserve">par :</w:t>
      </w:r>
    </w:p>
    <w:p>
      <w:pPr>
        <w:pStyle w:val="BodyText"/>
      </w:pPr>
      <m:oMathPara>
        <m:oMathParaPr>
          <m:jc m:val="center"/>
        </m:oMathParaPr>
        <m:oMath>
          <m:r>
            <m:t>C</m:t>
          </m:r>
          <m:r>
            <m:t>R</m:t>
          </m:r>
          <m:r>
            <m:t> </m:t>
          </m:r>
          <m:r>
            <m:rPr>
              <m:sty m:val="p"/>
            </m:rPr>
            <m:t>(</m:t>
          </m:r>
          <m:r>
            <m:rPr>
              <m:nor/>
              <m:sty m:val="p"/>
            </m:rPr>
            <m:t>mm/an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t xml:space="preserve">où Δ</w:t>
      </w:r>
      <w:r>
        <w:rPr>
          <w:i/>
          <w:iCs/>
        </w:rPr>
        <w:t xml:space="preserve">m</w:t>
      </w:r>
      <w:r>
        <w:t xml:space="preserve"> </w:t>
      </w:r>
      <w:r>
        <w:t xml:space="preserve">est la perte de masse (mg), ρ la densité (g/cm³),</w:t>
      </w:r>
      <w:r>
        <w:t xml:space="preserve"> </w:t>
      </w:r>
      <w:r>
        <w:rPr>
          <w:i/>
          <w:iCs/>
        </w:rPr>
        <w:t xml:space="preserve">A</w:t>
      </w:r>
      <w:r>
        <w:t xml:space="preserve"> </w:t>
      </w:r>
      <w:r>
        <w:t xml:space="preserve">l’aire exposée (cm²), et</w:t>
      </w:r>
      <w:r>
        <w:t xml:space="preserve"> </w:t>
      </w:r>
      <w:r>
        <w:rPr>
          <w:i/>
          <w:iCs/>
        </w:rPr>
        <w:t xml:space="preserve">t</w:t>
      </w:r>
      <w:r>
        <w:t xml:space="preserve"> </w:t>
      </w:r>
      <w:r>
        <w:t xml:space="preserve">la durée (heures) (ASTM, 2017).</w:t>
      </w:r>
    </w:p>
    <w:p>
      <w:pPr>
        <w:pStyle w:val="BodyText"/>
      </w:pPr>
      <w:r>
        <w:t xml:space="preserve">L’équation de</w:t>
      </w:r>
      <w:r>
        <w:t xml:space="preserve"> </w:t>
      </w:r>
      <w:r>
        <w:rPr>
          <w:b/>
          <w:bCs/>
        </w:rPr>
        <w:t xml:space="preserve">Butler-Volmer</w:t>
      </w:r>
      <w:r>
        <w:t xml:space="preserve"> </w:t>
      </w:r>
      <w:r>
        <w:t xml:space="preserve">décrit la cinétique électrochimique complète à l’interface métal-électrolyte (Bard et Faulkner, 2001)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t>F</m:t>
                      </m:r>
                      <m:r>
                        <m:t>η</m:t>
                      </m:r>
                    </m:num>
                    <m:den>
                      <m:r>
                        <m:t>R</m:t>
                      </m:r>
                      <m:r>
                        <m:t>T</m:t>
                      </m:r>
                    </m:den>
                  </m:f>
                </m:sup>
              </m:sSup>
              <m:r>
                <m:rPr>
                  <m:sty m:val="p"/>
                </m:rPr>
                <m:t>−</m:t>
              </m:r>
              <m:sSup>
                <m:e>
                  <m:r>
                    <m:t>e</m:t>
                  </m:r>
                </m:e>
                <m:sup>
                  <m:f>
                    <m:fPr>
                      <m:type m:val="bar"/>
                    </m:fPr>
                    <m:num>
                      <m:r>
                        <m:rPr>
                          <m:sty m:val="p"/>
                        </m:rPr>
                        <m:t>−</m:t>
                      </m:r>
                      <m:sSub>
                        <m:e>
                          <m:r>
                            <m:t>α</m:t>
                          </m:r>
                        </m:e>
                        <m:sub>
                          <m:r>
                            <m:t>c</m:t>
                          </m:r>
                        </m:sub>
                      </m:sSub>
                      <m:r>
                        <m:t>F</m:t>
                      </m:r>
                      <m:r>
                        <m:t>η</m:t>
                      </m:r>
                    </m:num>
                    <m:den>
                      <m:r>
                        <m:t>R</m:t>
                      </m:r>
                      <m:r>
                        <m:t>T</m:t>
                      </m:r>
                    </m:den>
                  </m:f>
                </m:sup>
              </m:sSup>
            </m:e>
          </m:d>
        </m:oMath>
      </m:oMathPara>
    </w:p>
    <w:p>
      <w:pPr>
        <w:pStyle w:val="FirstParagraph"/>
      </w:pPr>
      <w:r>
        <w:t xml:space="preserve">Cette équation justifie l’influence de la température comme facteur cinétique aggravant — paramètre directement intégré comme variable d’entrée dans le modèle XGBoost (chapitre II).</w:t>
      </w:r>
    </w:p>
    <w:bookmarkEnd w:id="34"/>
    <w:bookmarkStart w:id="35" w:name="X1d5b7b3cbcae2325c7335a2f6ed192961699a10"/>
    <w:p>
      <w:pPr>
        <w:pStyle w:val="Heading3"/>
      </w:pPr>
      <w:r>
        <w:t xml:space="preserve">I.7.2. Formes de corrosion et classification</w:t>
      </w:r>
    </w:p>
    <w:p>
      <w:pPr>
        <w:pStyle w:val="FirstParagraph"/>
      </w:pPr>
      <w:r>
        <w:t xml:space="preserve">La classification internationale de référence est établie par l’</w:t>
      </w:r>
      <w:r>
        <w:rPr>
          <w:b/>
          <w:bCs/>
        </w:rPr>
        <w:t xml:space="preserve">AMPP (ex-NACE International)</w:t>
      </w:r>
      <w:r>
        <w:t xml:space="preserve"> </w:t>
      </w:r>
      <w:r>
        <w:t xml:space="preserve">et reprise dans la norme NACE SP0775 (AMPP, 2023).</w:t>
      </w:r>
    </w:p>
    <w:p>
      <w:pPr>
        <w:pStyle w:val="BodyText"/>
      </w:pPr>
      <w:r>
        <w:rPr>
          <w:b/>
          <w:bCs/>
        </w:rPr>
        <w:t xml:space="preserve">Tableau I.1 — Classification des formes de corrosion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Forme</w:t>
            </w:r>
          </w:p>
        </w:tc>
        <w:tc>
          <w:tcPr/>
          <w:p>
            <w:pPr>
              <w:pStyle w:val="Compact"/>
            </w:pPr>
            <w:r>
              <w:t xml:space="preserve">Mécanisme</w:t>
            </w:r>
          </w:p>
        </w:tc>
        <w:tc>
          <w:tcPr/>
          <w:p>
            <w:pPr>
              <w:pStyle w:val="Compact"/>
            </w:pPr>
            <w:r>
              <w:t xml:space="preserve">Localisation typique</w:t>
            </w:r>
          </w:p>
        </w:tc>
        <w:tc>
          <w:tcPr/>
          <w:p>
            <w:pPr>
              <w:pStyle w:val="Compact"/>
            </w:pPr>
            <w:r>
              <w:t xml:space="preserve">Norme</w:t>
            </w:r>
          </w:p>
        </w:tc>
      </w:tr>
      <w:tr>
        <w:tc>
          <w:tcPr/>
          <w:p>
            <w:pPr>
              <w:pStyle w:val="Compact"/>
            </w:pPr>
            <w:r>
              <w:t xml:space="preserve">Généralisée (uniforme)</w:t>
            </w:r>
          </w:p>
        </w:tc>
        <w:tc>
          <w:tcPr/>
          <w:p>
            <w:pPr>
              <w:pStyle w:val="Compact"/>
            </w:pPr>
            <w:r>
              <w:t xml:space="preserve">Dissolution uniforme</w:t>
            </w:r>
          </w:p>
        </w:tc>
        <w:tc>
          <w:tcPr/>
          <w:p>
            <w:pPr>
              <w:pStyle w:val="Compact"/>
            </w:pPr>
            <w:r>
              <w:t xml:space="preserve">Pipelines acier au carbone</w:t>
            </w:r>
          </w:p>
        </w:tc>
        <w:tc>
          <w:tcPr/>
          <w:p>
            <w:pPr>
              <w:pStyle w:val="Compact"/>
            </w:pPr>
            <w:r>
              <w:t xml:space="preserve">ASTM G1</w:t>
            </w:r>
          </w:p>
        </w:tc>
      </w:tr>
      <w:tr>
        <w:tc>
          <w:tcPr/>
          <w:p>
            <w:pPr>
              <w:pStyle w:val="Compact"/>
            </w:pPr>
            <w:r>
              <w:t xml:space="preserve">Par piqûres</w:t>
            </w:r>
          </w:p>
        </w:tc>
        <w:tc>
          <w:tcPr/>
          <w:p>
            <w:pPr>
              <w:pStyle w:val="Compact"/>
            </w:pPr>
            <w:r>
              <w:t xml:space="preserve">Attaque localisée (Cl⁻)</w:t>
            </w:r>
          </w:p>
        </w:tc>
        <w:tc>
          <w:tcPr/>
          <w:p>
            <w:pPr>
              <w:pStyle w:val="Compact"/>
            </w:pPr>
            <w:r>
              <w:t xml:space="preserve">Acier inox milieu chloruré</w:t>
            </w:r>
          </w:p>
        </w:tc>
        <w:tc>
          <w:tcPr/>
          <w:p>
            <w:pPr>
              <w:pStyle w:val="Compact"/>
            </w:pPr>
            <w:r>
              <w:t xml:space="preserve">ASTM G46</w:t>
            </w:r>
          </w:p>
        </w:tc>
      </w:tr>
      <w:tr>
        <w:tc>
          <w:tcPr/>
          <w:p>
            <w:pPr>
              <w:pStyle w:val="Compact"/>
            </w:pPr>
            <w:r>
              <w:t xml:space="preserve">Galvanique</w:t>
            </w:r>
          </w:p>
        </w:tc>
        <w:tc>
          <w:tcPr/>
          <w:p>
            <w:pPr>
              <w:pStyle w:val="Compact"/>
            </w:pPr>
            <w:r>
              <w:t xml:space="preserve">Couplage entre métaux</w:t>
            </w:r>
          </w:p>
        </w:tc>
        <w:tc>
          <w:tcPr/>
          <w:p>
            <w:pPr>
              <w:pStyle w:val="Compact"/>
            </w:pPr>
            <w:r>
              <w:t xml:space="preserve">Raccords bimétalliques</w:t>
            </w:r>
          </w:p>
        </w:tc>
        <w:tc>
          <w:tcPr/>
          <w:p>
            <w:pPr>
              <w:pStyle w:val="Compact"/>
            </w:pPr>
            <w:r>
              <w:t xml:space="preserve">ASTM G82</w:t>
            </w:r>
          </w:p>
        </w:tc>
      </w:tr>
      <w:tr>
        <w:tc>
          <w:tcPr/>
          <w:p>
            <w:pPr>
              <w:pStyle w:val="Compact"/>
            </w:pPr>
            <w:r>
              <w:t xml:space="preserve">Sous contrainte (SCC)</w:t>
            </w:r>
          </w:p>
        </w:tc>
        <w:tc>
          <w:tcPr/>
          <w:p>
            <w:pPr>
              <w:pStyle w:val="Compact"/>
            </w:pPr>
            <w:r>
              <w:t xml:space="preserve">Contrainte + environnement</w:t>
            </w:r>
          </w:p>
        </w:tc>
        <w:tc>
          <w:tcPr/>
          <w:p>
            <w:pPr>
              <w:pStyle w:val="Compact"/>
            </w:pPr>
            <w:r>
              <w:t xml:space="preserve">Tubes pression, soudures</w:t>
            </w:r>
          </w:p>
        </w:tc>
        <w:tc>
          <w:tcPr/>
          <w:p>
            <w:pPr>
              <w:pStyle w:val="Compact"/>
            </w:pPr>
            <w:r>
              <w:t xml:space="preserve">NACE TM0177</w:t>
            </w:r>
          </w:p>
        </w:tc>
      </w:tr>
      <w:tr>
        <w:tc>
          <w:tcPr/>
          <w:p>
            <w:pPr>
              <w:pStyle w:val="Compact"/>
            </w:pPr>
            <w:r>
              <w:t xml:space="preserve">Érosion-corrosion</w:t>
            </w:r>
          </w:p>
        </w:tc>
        <w:tc>
          <w:tcPr/>
          <w:p>
            <w:pPr>
              <w:pStyle w:val="Compact"/>
            </w:pPr>
            <w:r>
              <w:t xml:space="preserve">Écoulement + corrosion</w:t>
            </w:r>
          </w:p>
        </w:tc>
        <w:tc>
          <w:tcPr/>
          <w:p>
            <w:pPr>
              <w:pStyle w:val="Compact"/>
            </w:pPr>
            <w:r>
              <w:t xml:space="preserve">Coudes, vannes, pompes</w:t>
            </w:r>
          </w:p>
        </w:tc>
        <w:tc>
          <w:tcPr/>
          <w:p>
            <w:pPr>
              <w:pStyle w:val="Compact"/>
            </w:pPr>
            <w:r>
              <w:t xml:space="preserve">ASTM G76</w:t>
            </w:r>
          </w:p>
        </w:tc>
      </w:tr>
      <w:tr>
        <w:tc>
          <w:tcPr/>
          <w:p>
            <w:pPr>
              <w:pStyle w:val="Compact"/>
            </w:pPr>
            <w:r>
              <w:t xml:space="preserve">Sweet (CO₂)</w:t>
            </w:r>
          </w:p>
        </w:tc>
        <w:tc>
          <w:tcPr/>
          <w:p>
            <w:pPr>
              <w:pStyle w:val="Compact"/>
            </w:pPr>
            <w:r>
              <w:t xml:space="preserve">H₂CO₃ → attaque acide</w:t>
            </w:r>
          </w:p>
        </w:tc>
        <w:tc>
          <w:tcPr/>
          <w:p>
            <w:pPr>
              <w:pStyle w:val="Compact"/>
            </w:pPr>
            <w:r>
              <w:t xml:space="preserve">Pipelines O&amp;G</w:t>
            </w:r>
          </w:p>
        </w:tc>
        <w:tc>
          <w:tcPr/>
          <w:p>
            <w:pPr>
              <w:pStyle w:val="Compact"/>
            </w:pPr>
            <w:r>
              <w:t xml:space="preserve">de Waard &amp; Milliams (1975)</w:t>
            </w:r>
          </w:p>
        </w:tc>
      </w:tr>
      <w:tr>
        <w:tc>
          <w:tcPr/>
          <w:p>
            <w:pPr>
              <w:pStyle w:val="Compact"/>
            </w:pPr>
            <w:r>
              <w:t xml:space="preserve">Sour (H₂S)</w:t>
            </w:r>
          </w:p>
        </w:tc>
        <w:tc>
          <w:tcPr/>
          <w:p>
            <w:pPr>
              <w:pStyle w:val="Compact"/>
            </w:pPr>
            <w:r>
              <w:t xml:space="preserve">Fragilisation H, SSC, HIC</w:t>
            </w:r>
          </w:p>
        </w:tc>
        <w:tc>
          <w:tcPr/>
          <w:p>
            <w:pPr>
              <w:pStyle w:val="Compact"/>
            </w:pPr>
            <w:r>
              <w:t xml:space="preserve">Puits gaz acide</w:t>
            </w:r>
          </w:p>
        </w:tc>
        <w:tc>
          <w:tcPr/>
          <w:p>
            <w:pPr>
              <w:pStyle w:val="Compact"/>
            </w:pPr>
            <w:r>
              <w:t xml:space="preserve">NACE MR0175 / ISO 15156</w:t>
            </w:r>
          </w:p>
        </w:tc>
      </w:tr>
      <w:tr>
        <w:tc>
          <w:tcPr/>
          <w:p>
            <w:pPr>
              <w:pStyle w:val="Compact"/>
            </w:pPr>
            <w:r>
              <w:t xml:space="preserve">MIC</w:t>
            </w:r>
          </w:p>
        </w:tc>
        <w:tc>
          <w:tcPr/>
          <w:p>
            <w:pPr>
              <w:pStyle w:val="Compact"/>
            </w:pPr>
            <w:r>
              <w:t xml:space="preserve">Bactéries SRB, IRB</w:t>
            </w:r>
          </w:p>
        </w:tc>
        <w:tc>
          <w:tcPr/>
          <w:p>
            <w:pPr>
              <w:pStyle w:val="Compact"/>
            </w:pPr>
            <w:r>
              <w:t xml:space="preserve">Fonds réservoirs</w:t>
            </w:r>
          </w:p>
        </w:tc>
        <w:tc>
          <w:tcPr/>
          <w:p>
            <w:pPr>
              <w:pStyle w:val="Compact"/>
            </w:pPr>
            <w:r>
              <w:t xml:space="preserve">NACE TM0212</w:t>
            </w:r>
          </w:p>
        </w:tc>
      </w:tr>
    </w:tbl>
    <w:p>
      <w:pPr>
        <w:pStyle w:val="BodyText"/>
      </w:pPr>
      <w:r>
        <w:t xml:space="preserve">Source : AMPP (2023), ASTM (2017), ISO (2020).</w:t>
      </w:r>
    </w:p>
    <w:bookmarkEnd w:id="35"/>
    <w:bookmarkStart w:id="36" w:name="X5cdd720b35cbd85d48ca704ac01156580d5d486"/>
    <w:p>
      <w:pPr>
        <w:pStyle w:val="Heading3"/>
      </w:pPr>
      <w:r>
        <w:t xml:space="preserve">I.7.3. Méthodes de surveillance de la corrosion</w:t>
      </w:r>
    </w:p>
    <w:p>
      <w:pPr>
        <w:pStyle w:val="FirstParagraph"/>
      </w:pPr>
      <w:r>
        <w:t xml:space="preserve">Plusieurs techniques coexistent dans l’industrie (Roberge, 2008 ; Mansfeld, 2014 ; Cosasco, 2024) :</w:t>
      </w:r>
    </w:p>
    <w:p>
      <w:pPr>
        <w:pStyle w:val="BodyText"/>
      </w:pPr>
      <w:r>
        <w:rPr>
          <w:b/>
          <w:bCs/>
        </w:rPr>
        <w:t xml:space="preserve">Tableau I.2 — Comparaison des méthodes de surveillance de la corrosion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Méthode</w:t>
            </w:r>
          </w:p>
        </w:tc>
        <w:tc>
          <w:tcPr/>
          <w:p>
            <w:pPr>
              <w:pStyle w:val="Compact"/>
            </w:pPr>
            <w:r>
              <w:t xml:space="preserve">Principe</w:t>
            </w:r>
          </w:p>
        </w:tc>
        <w:tc>
          <w:tcPr/>
          <w:p>
            <w:pPr>
              <w:pStyle w:val="Compact"/>
            </w:pPr>
            <w:r>
              <w:t xml:space="preserve">Mesure</w:t>
            </w:r>
          </w:p>
        </w:tc>
        <w:tc>
          <w:tcPr/>
          <w:p>
            <w:pPr>
              <w:pStyle w:val="Compact"/>
            </w:pPr>
            <w:r>
              <w:t xml:space="preserve">Résolution</w:t>
            </w:r>
          </w:p>
        </w:tc>
        <w:tc>
          <w:tcPr/>
          <w:p>
            <w:pPr>
              <w:pStyle w:val="Compact"/>
            </w:pPr>
            <w:r>
              <w:t xml:space="preserve">Coût unitaire</w:t>
            </w:r>
          </w:p>
        </w:tc>
      </w:tr>
      <w:tr>
        <w:tc>
          <w:tcPr/>
          <w:p>
            <w:pPr>
              <w:pStyle w:val="Compact"/>
            </w:pPr>
            <w:r>
              <w:t xml:space="preserve">Coupon gravimétrique</w:t>
            </w:r>
          </w:p>
        </w:tc>
        <w:tc>
          <w:tcPr/>
          <w:p>
            <w:pPr>
              <w:pStyle w:val="Compact"/>
            </w:pPr>
            <w:r>
              <w:t xml:space="preserve">Perte de masse</w:t>
            </w:r>
          </w:p>
        </w:tc>
        <w:tc>
          <w:tcPr/>
          <w:p>
            <w:pPr>
              <w:pStyle w:val="Compact"/>
            </w:pPr>
            <w:r>
              <w:t xml:space="preserve">Intégrée sur durée</w:t>
            </w:r>
          </w:p>
        </w:tc>
        <w:tc>
          <w:tcPr/>
          <w:p>
            <w:pPr>
              <w:pStyle w:val="Compact"/>
            </w:pPr>
            <w:r>
              <w:t xml:space="preserve">±0,1 mg/cm²</w:t>
            </w:r>
          </w:p>
        </w:tc>
        <w:tc>
          <w:tcPr/>
          <w:p>
            <w:pPr>
              <w:pStyle w:val="Compact"/>
            </w:pPr>
            <w:r>
              <w:t xml:space="preserve">Très faible (&lt; 100 USD)</w:t>
            </w:r>
          </w:p>
        </w:tc>
      </w:tr>
      <w:tr>
        <w:tc>
          <w:tcPr/>
          <w:p>
            <w:pPr>
              <w:pStyle w:val="Compact"/>
            </w:pPr>
            <w:r>
              <w:t xml:space="preserve">Sonde ER</w:t>
            </w:r>
          </w:p>
        </w:tc>
        <w:tc>
          <w:tcPr/>
          <w:p>
            <w:pPr>
              <w:pStyle w:val="Compact"/>
            </w:pPr>
            <w:r>
              <w:t xml:space="preserve">Augmentation de R fil corrodé</w:t>
            </w:r>
          </w:p>
        </w:tc>
        <w:tc>
          <w:tcPr/>
          <w:p>
            <w:pPr>
              <w:pStyle w:val="Compact"/>
            </w:pPr>
            <w:r>
              <w:t xml:space="preserve">Continue</w:t>
            </w:r>
          </w:p>
        </w:tc>
        <w:tc>
          <w:tcPr/>
          <w:p>
            <w:pPr>
              <w:pStyle w:val="Compact"/>
            </w:pPr>
            <w:r>
              <w:t xml:space="preserve">±0,01 mΩ</w:t>
            </w:r>
          </w:p>
        </w:tc>
        <w:tc>
          <w:tcPr/>
          <w:p>
            <w:pPr>
              <w:pStyle w:val="Compact"/>
            </w:pPr>
            <w:r>
              <w:t xml:space="preserve">Faible (DIY) à élevé (COTS)</w:t>
            </w:r>
          </w:p>
        </w:tc>
      </w:tr>
      <w:tr>
        <w:tc>
          <w:tcPr/>
          <w:p>
            <w:pPr>
              <w:pStyle w:val="Compact"/>
            </w:pPr>
            <w:r>
              <w:t xml:space="preserve">LPR</w:t>
            </w:r>
          </w:p>
        </w:tc>
        <w:tc>
          <w:tcPr/>
          <w:p>
            <w:pPr>
              <w:pStyle w:val="Compact"/>
            </w:pPr>
            <w:r>
              <w:t xml:space="preserve">Résistance polarisation</w:t>
            </w:r>
          </w:p>
        </w:tc>
        <w:tc>
          <w:tcPr/>
          <w:p>
            <w:pPr>
              <w:pStyle w:val="Compact"/>
            </w:pPr>
            <w:r>
              <w:t xml:space="preserve">Continue</w:t>
            </w:r>
          </w:p>
        </w:tc>
        <w:tc>
          <w:tcPr/>
          <w:p>
            <w:pPr>
              <w:pStyle w:val="Compact"/>
            </w:pPr>
            <w:r>
              <w:t xml:space="preserve">±5 %</w:t>
            </w:r>
          </w:p>
        </w:tc>
        <w:tc>
          <w:tcPr/>
          <w:p>
            <w:pPr>
              <w:pStyle w:val="Compact"/>
            </w:pPr>
            <w:r>
              <w:t xml:space="preserve">Moyen</w:t>
            </w:r>
          </w:p>
        </w:tc>
      </w:tr>
      <w:tr>
        <w:tc>
          <w:tcPr/>
          <w:p>
            <w:pPr>
              <w:pStyle w:val="Compact"/>
            </w:pPr>
            <w:r>
              <w:t xml:space="preserve">EIS</w:t>
            </w:r>
          </w:p>
        </w:tc>
        <w:tc>
          <w:tcPr/>
          <w:p>
            <w:pPr>
              <w:pStyle w:val="Compact"/>
            </w:pPr>
            <w:r>
              <w:t xml:space="preserve">Spectre d’impédance</w:t>
            </w:r>
          </w:p>
        </w:tc>
        <w:tc>
          <w:tcPr/>
          <w:p>
            <w:pPr>
              <w:pStyle w:val="Compact"/>
            </w:pPr>
            <w:r>
              <w:t xml:space="preserve">Discontinue</w:t>
            </w:r>
          </w:p>
        </w:tc>
        <w:tc>
          <w:tcPr/>
          <w:p>
            <w:pPr>
              <w:pStyle w:val="Compact"/>
            </w:pPr>
            <w:r>
              <w:t xml:space="preserve">Très haute</w:t>
            </w:r>
          </w:p>
        </w:tc>
        <w:tc>
          <w:tcPr/>
          <w:p>
            <w:pPr>
              <w:pStyle w:val="Compact"/>
            </w:pPr>
            <w:r>
              <w:t xml:space="preserve">Élevé</w:t>
            </w:r>
          </w:p>
        </w:tc>
      </w:tr>
      <w:tr>
        <w:tc>
          <w:tcPr/>
          <w:p>
            <w:pPr>
              <w:pStyle w:val="Compact"/>
            </w:pPr>
            <w:r>
              <w:t xml:space="preserve">UT</w:t>
            </w:r>
          </w:p>
        </w:tc>
        <w:tc>
          <w:tcPr/>
          <w:p>
            <w:pPr>
              <w:pStyle w:val="Compact"/>
            </w:pPr>
            <w:r>
              <w:t xml:space="preserve">Épaisseur paroi par écho</w:t>
            </w:r>
          </w:p>
        </w:tc>
        <w:tc>
          <w:tcPr/>
          <w:p>
            <w:pPr>
              <w:pStyle w:val="Compact"/>
            </w:pPr>
            <w:r>
              <w:t xml:space="preserve">Ponctuelle</w:t>
            </w:r>
          </w:p>
        </w:tc>
        <w:tc>
          <w:tcPr/>
          <w:p>
            <w:pPr>
              <w:pStyle w:val="Compact"/>
            </w:pPr>
            <w:r>
              <w:t xml:space="preserve">±0,1 mm</w:t>
            </w:r>
          </w:p>
        </w:tc>
        <w:tc>
          <w:tcPr/>
          <w:p>
            <w:pPr>
              <w:pStyle w:val="Compact"/>
            </w:pPr>
            <w:r>
              <w:t xml:space="preserve">Moyen</w:t>
            </w:r>
          </w:p>
        </w:tc>
      </w:tr>
      <w:tr>
        <w:tc>
          <w:tcPr/>
          <w:p>
            <w:pPr>
              <w:pStyle w:val="Compact"/>
            </w:pPr>
            <w:r>
              <w:t xml:space="preserve">Émission acoustique</w:t>
            </w:r>
          </w:p>
        </w:tc>
        <w:tc>
          <w:tcPr/>
          <w:p>
            <w:pPr>
              <w:pStyle w:val="Compact"/>
            </w:pPr>
            <w:r>
              <w:t xml:space="preserve">Détection fissures</w:t>
            </w:r>
          </w:p>
        </w:tc>
        <w:tc>
          <w:tcPr/>
          <w:p>
            <w:pPr>
              <w:pStyle w:val="Compact"/>
            </w:pPr>
            <w:r>
              <w:t xml:space="preserve">Continue</w:t>
            </w:r>
          </w:p>
        </w:tc>
        <w:tc>
          <w:tcPr/>
          <w:p>
            <w:pPr>
              <w:pStyle w:val="Compact"/>
            </w:pPr>
            <w:r>
              <w:t xml:space="preserve">Variable</w:t>
            </w:r>
          </w:p>
        </w:tc>
        <w:tc>
          <w:tcPr/>
          <w:p>
            <w:pPr>
              <w:pStyle w:val="Compact"/>
            </w:pPr>
            <w:r>
              <w:t xml:space="preserve">Élevé</w:t>
            </w:r>
          </w:p>
        </w:tc>
      </w:tr>
    </w:tbl>
    <w:p>
      <w:pPr>
        <w:pStyle w:val="BodyText"/>
      </w:pPr>
      <w:r>
        <w:t xml:space="preserve">Source : Roberge (2008), Mansfeld (2014), Hassanzadeh et al. (2024).</w:t>
      </w:r>
    </w:p>
    <w:p>
      <w:pPr>
        <w:pStyle w:val="BodyText"/>
      </w:pPr>
      <w:r>
        <w:t xml:space="preserve">La</w:t>
      </w:r>
      <w:r>
        <w:t xml:space="preserve"> </w:t>
      </w:r>
      <w:r>
        <w:rPr>
          <w:b/>
          <w:bCs/>
        </w:rPr>
        <w:t xml:space="preserve">sonde à résistance électrique (ER)</w:t>
      </w:r>
      <w:r>
        <w:t xml:space="preserve">, normalisée par l’ASTM G96, exploite la relation entre la résistance d’un fil métallique et sa section transversale. Lorsque le fil se corrode, son rayon</w:t>
      </w:r>
      <w:r>
        <w:t xml:space="preserve"> </w:t>
      </w:r>
      <w:r>
        <w:rPr>
          <w:i/>
          <w:iCs/>
        </w:rPr>
        <w:t xml:space="preserve">r</w:t>
      </w:r>
      <w:r>
        <w:t xml:space="preserve"> </w:t>
      </w:r>
      <w:r>
        <w:t xml:space="preserve">diminue et sa résistance</w:t>
      </w:r>
      <w:r>
        <w:t xml:space="preserve"> </w:t>
      </w:r>
      <w:r>
        <w:rPr>
          <w:i/>
          <w:iCs/>
        </w:rPr>
        <w:t xml:space="preserve">R</w:t>
      </w:r>
      <w:r>
        <w:t xml:space="preserve"> </w:t>
      </w:r>
      <w:r>
        <w:t xml:space="preserve">augmente selon (ASTM, 2018)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t xml:space="preserve">La variation Δ</w:t>
      </w:r>
      <w:r>
        <w:rPr>
          <w:i/>
          <w:iCs/>
        </w:rPr>
        <w:t xml:space="preserve">R</w:t>
      </w:r>
      <w:r>
        <w:t xml:space="preserve"> </w:t>
      </w:r>
      <w:r>
        <w:t xml:space="preserve">=</w:t>
      </w:r>
      <w:r>
        <w:t xml:space="preserve"> </w:t>
      </w:r>
      <w:r>
        <w:rPr>
          <w:i/>
          <w:iCs/>
        </w:rPr>
        <w:t xml:space="preserve">R</w:t>
      </w:r>
      <w:r>
        <w:t xml:space="preserve">(t) −</w:t>
      </w:r>
      <w:r>
        <w:t xml:space="preserve"> </w:t>
      </w:r>
      <w:r>
        <w:rPr>
          <w:i/>
          <w:iCs/>
        </w:rPr>
        <w:t xml:space="preserve">R</w:t>
      </w:r>
      <w:r>
        <w:t xml:space="preserve">(t₀) est directement proportionnelle à la perte de matière. C’est ce principe que reproduisent les sondes commerciales (Cosasco CW-20, Emerson Roxar, Permasense WT) et que reprend le prototype développé dans ce travail.</w:t>
      </w:r>
    </w:p>
    <w:bookmarkEnd w:id="36"/>
    <w:bookmarkStart w:id="37" w:name="i.7.4.-modèles-prédictifs-classiques"/>
    <w:p>
      <w:pPr>
        <w:pStyle w:val="Heading3"/>
      </w:pPr>
      <w:r>
        <w:t xml:space="preserve">I.7.4. Modèles prédictifs classiques</w:t>
      </w:r>
    </w:p>
    <w:p>
      <w:pPr>
        <w:pStyle w:val="FirstParagraph"/>
      </w:pPr>
      <w:r>
        <w:t xml:space="preserve">Le</w:t>
      </w:r>
      <w:r>
        <w:t xml:space="preserve"> </w:t>
      </w:r>
      <w:r>
        <w:rPr>
          <w:b/>
          <w:bCs/>
        </w:rPr>
        <w:t xml:space="preserve">modèle de de Waard et Milliams (1975)</w:t>
      </w:r>
      <w:r>
        <w:t xml:space="preserve">, révisé en 1991 et 1995, constitue la référence industrielle pour la prédiction de la corrosion CO₂ (de Waard et Milliams, 1975 ; de Waard, Lotz et Milliams, 1991). Il exprime le taux de corrosion en fonction de la pression partielle de CO₂ et de la température :</w:t>
      </w:r>
    </w:p>
    <w:p>
      <w:pPr>
        <w:pStyle w:val="BodyText"/>
      </w:pPr>
      <m:oMathPara>
        <m:oMathParaPr>
          <m:jc m:val="center"/>
        </m:oMathParaPr>
        <m:oMath>
          <m:sSub>
            <m:e>
              <m:r>
                <m:rPr>
                  <m:sty m:val="p"/>
                </m:rPr>
                <m:t>log</m:t>
              </m:r>
            </m:e>
            <m:sub>
              <m:r>
                <m:t>10</m:t>
              </m:r>
            </m:sub>
          </m:sSub>
          <m:r>
            <m:t>C</m:t>
          </m:r>
          <m:r>
            <m:t>R</m:t>
          </m:r>
          <m:r>
            <m:rPr>
              <m:sty m:val="p"/>
            </m:rPr>
            <m:t>=</m:t>
          </m:r>
          <m:r>
            <m:t>5</m:t>
          </m:r>
          <m:r>
            <m:rPr>
              <m:sty m:val="p"/>
            </m:rPr>
            <m:t>,</m:t>
          </m:r>
          <m:r>
            <m:t>8</m:t>
          </m:r>
          <m:r>
            <m:rPr>
              <m:sty m:val="p"/>
            </m:rPr>
            <m:t>−</m:t>
          </m:r>
          <m:f>
            <m:fPr>
              <m:type m:val="bar"/>
            </m:fPr>
            <m:num>
              <m:r>
                <m:t>1710</m:t>
              </m:r>
            </m:num>
            <m:den>
              <m:r>
                <m:t>T</m:t>
              </m:r>
              <m:r>
                <m:rPr>
                  <m:sty m:val="p"/>
                </m:rPr>
                <m:t>+</m:t>
              </m:r>
              <m:r>
                <m:t>273</m:t>
              </m:r>
            </m:den>
          </m:f>
          <m:r>
            <m:rPr>
              <m:sty m:val="p"/>
            </m:rPr>
            <m:t>+</m:t>
          </m:r>
          <m:r>
            <m:t>0</m:t>
          </m:r>
          <m:r>
            <m:rPr>
              <m:sty m:val="p"/>
            </m:rPr>
            <m:t>,</m:t>
          </m:r>
          <m:r>
            <m:t>67</m:t>
          </m:r>
          <m:sSub>
            <m:e>
              <m:r>
                <m:rPr>
                  <m:sty m:val="p"/>
                </m:rPr>
                <m:t>log</m:t>
              </m:r>
            </m:e>
            <m:sub>
              <m:r>
                <m:t>10</m:t>
              </m:r>
            </m:sub>
          </m:sSub>
          <m:sSub>
            <m:e>
              <m:r>
                <m:t>P</m:t>
              </m:r>
            </m:e>
            <m:sub>
              <m:r>
                <m:t>C</m:t>
              </m:r>
              <m:sSub>
                <m:e>
                  <m:r>
                    <m:t>O</m:t>
                  </m:r>
                </m:e>
                <m:sub>
                  <m:r>
                    <m:t>2</m:t>
                  </m:r>
                </m:sub>
              </m:sSub>
            </m:sub>
          </m:sSub>
        </m:oMath>
      </m:oMathPara>
    </w:p>
    <w:p>
      <w:pPr>
        <w:pStyle w:val="FirstParagraph"/>
      </w:pPr>
      <w:r>
        <w:t xml:space="preserve">Ce modèle a été progressivement étendu pour inclure le pH, le débit, la composition de l’acier et la teneur en glycol. Cependant, ses</w:t>
      </w:r>
      <w:r>
        <w:t xml:space="preserve"> </w:t>
      </w:r>
      <w:r>
        <w:rPr>
          <w:b/>
          <w:bCs/>
        </w:rPr>
        <w:t xml:space="preserve">limites sont bien documentées</w:t>
      </w:r>
      <w:r>
        <w:t xml:space="preserve"> </w:t>
      </w:r>
      <w:r>
        <w:t xml:space="preserve">(Coelho, 2022 ; Hu et al., 2024) :</w:t>
      </w:r>
    </w:p>
    <w:p>
      <w:pPr>
        <w:pStyle w:val="Compact"/>
        <w:numPr>
          <w:ilvl w:val="0"/>
          <w:numId w:val="1014"/>
        </w:numPr>
      </w:pPr>
      <w:r>
        <w:t xml:space="preserve">Erreurs systématiques de 40 à 60 % en conditions réelles ;</w:t>
      </w:r>
    </w:p>
    <w:p>
      <w:pPr>
        <w:pStyle w:val="Compact"/>
        <w:numPr>
          <w:ilvl w:val="0"/>
          <w:numId w:val="1014"/>
        </w:numPr>
      </w:pPr>
      <w:r>
        <w:t xml:space="preserve">Domaine de validité limité à</w:t>
      </w:r>
      <w:r>
        <w:t xml:space="preserve"> </w:t>
      </w:r>
      <w:r>
        <w:rPr>
          <w:i/>
          <w:iCs/>
        </w:rPr>
        <w:t xml:space="preserve">P</w:t>
      </w:r>
      <w:r>
        <w:t xml:space="preserve">(CO₂) ∈ [0 ; 2 MPa] ;</w:t>
      </w:r>
    </w:p>
    <w:p>
      <w:pPr>
        <w:pStyle w:val="Compact"/>
        <w:numPr>
          <w:ilvl w:val="0"/>
          <w:numId w:val="1014"/>
        </w:numPr>
      </w:pPr>
      <w:r>
        <w:t xml:space="preserve">Recalibration complète nécessaire pour intégrer toute nouvelle donnée ;</w:t>
      </w:r>
    </w:p>
    <w:p>
      <w:pPr>
        <w:pStyle w:val="Compact"/>
        <w:numPr>
          <w:ilvl w:val="0"/>
          <w:numId w:val="1014"/>
        </w:numPr>
      </w:pPr>
      <w:r>
        <w:t xml:space="preserve">Ignorance des interactions entre composants (HCl + H₃PO₄, SRB, etc.).</w:t>
      </w:r>
    </w:p>
    <w:p>
      <w:pPr>
        <w:pStyle w:val="FirstParagraph"/>
      </w:pPr>
      <w:r>
        <w:t xml:space="preserve">La</w:t>
      </w:r>
      <w:r>
        <w:t xml:space="preserve"> </w:t>
      </w:r>
      <w:r>
        <w:rPr>
          <w:b/>
          <w:bCs/>
        </w:rPr>
        <w:t xml:space="preserve">norme NORSOK M-506</w:t>
      </w:r>
      <w:r>
        <w:t xml:space="preserve"> </w:t>
      </w:r>
      <w:r>
        <w:t xml:space="preserve">(Standards Norway, 2017) propose une formulation alternative également limitée par les mêmes contraintes.</w:t>
      </w:r>
    </w:p>
    <w:bookmarkEnd w:id="37"/>
    <w:bookmarkStart w:id="38" w:name="X9a8d465a7b5ecfdaa66be0143a1812558b98e75"/>
    <w:p>
      <w:pPr>
        <w:pStyle w:val="Heading3"/>
      </w:pPr>
      <w:r>
        <w:t xml:space="preserve">I.7.5. Modèles prédictifs par apprentissage automatique</w:t>
      </w:r>
    </w:p>
    <w:p>
      <w:pPr>
        <w:pStyle w:val="FirstParagraph"/>
      </w:pPr>
      <w:r>
        <w:t xml:space="preserve">L’apprentissage automatique offre une alternative capable de capturer les non-linéarités complexes que les modèles physiques ignorent. Les méthodes les plus utilisées dans la littérature récente sur la corrosion incluent :</w:t>
      </w:r>
    </w:p>
    <w:p>
      <w:pPr>
        <w:pStyle w:val="BodyText"/>
      </w:pPr>
      <w:r>
        <w:rPr>
          <w:b/>
          <w:bCs/>
        </w:rPr>
        <w:t xml:space="preserve">XGBoost (eXtreme Gradient Boosting)</w:t>
      </w:r>
      <w:r>
        <w:t xml:space="preserve"> </w:t>
      </w:r>
      <w:r>
        <w:t xml:space="preserve">— introduit par</w:t>
      </w:r>
      <w:r>
        <w:t xml:space="preserve"> </w:t>
      </w:r>
      <w:r>
        <w:rPr>
          <w:b/>
          <w:bCs/>
        </w:rPr>
        <w:t xml:space="preserve">Chen et Guestrin (2016)</w:t>
      </w:r>
      <w:r>
        <w:t xml:space="preserve"> </w:t>
      </w:r>
      <w:r>
        <w:t xml:space="preserve">— est aujourd’hui l’algorithme dominant pour les problèmes de régression tabulaire. Il combine plusieurs centaines d’arbres de décision faibles via une procédure de gradient boosting régularisée. Ses avantages :</w:t>
      </w:r>
    </w:p>
    <w:p>
      <w:pPr>
        <w:pStyle w:val="Compact"/>
        <w:numPr>
          <w:ilvl w:val="0"/>
          <w:numId w:val="1015"/>
        </w:numPr>
      </w:pPr>
      <w:r>
        <w:t xml:space="preserve">Gestion native des variables hétérogènes ;</w:t>
      </w:r>
    </w:p>
    <w:p>
      <w:pPr>
        <w:pStyle w:val="Compact"/>
        <w:numPr>
          <w:ilvl w:val="0"/>
          <w:numId w:val="1015"/>
        </w:numPr>
      </w:pPr>
      <w:r>
        <w:t xml:space="preserve">Robustesse aux valeurs manquantes ;</w:t>
      </w:r>
    </w:p>
    <w:p>
      <w:pPr>
        <w:pStyle w:val="Compact"/>
        <w:numPr>
          <w:ilvl w:val="0"/>
          <w:numId w:val="1015"/>
        </w:numPr>
      </w:pPr>
      <w:r>
        <w:t xml:space="preserve">Régularisation L1 et L2 limitant le surapprentissage ;</w:t>
      </w:r>
    </w:p>
    <w:p>
      <w:pPr>
        <w:pStyle w:val="Compact"/>
        <w:numPr>
          <w:ilvl w:val="0"/>
          <w:numId w:val="1015"/>
        </w:numPr>
      </w:pPr>
      <w:r>
        <w:t xml:space="preserve">Interprétabilité élevée (feature importance, SHAP).</w:t>
      </w:r>
    </w:p>
    <w:p>
      <w:pPr>
        <w:pStyle w:val="FirstParagraph"/>
      </w:pPr>
      <w:r>
        <w:t xml:space="preserve">Les performances rapportées dans la littérature récente sur la corrosion sont remarquables (Wei et al., 2024 ; Yan et Yan, 2024) :</w:t>
      </w:r>
    </w:p>
    <w:p>
      <w:pPr>
        <w:pStyle w:val="Compact"/>
        <w:numPr>
          <w:ilvl w:val="0"/>
          <w:numId w:val="1016"/>
        </w:numPr>
      </w:pPr>
      <w:r>
        <w:rPr>
          <w:b/>
          <w:bCs/>
        </w:rPr>
        <w:t xml:space="preserve">Wei et al. (2024)</w:t>
      </w:r>
      <w:r>
        <w:t xml:space="preserve"> </w:t>
      </w:r>
      <w:r>
        <w:t xml:space="preserve">: XGBoost atteint</w:t>
      </w:r>
      <w:r>
        <w:t xml:space="preserve"> </w:t>
      </w:r>
      <w:r>
        <w:rPr>
          <w:i/>
          <w:iCs/>
        </w:rPr>
        <w:t xml:space="preserve">RMSE</w:t>
      </w:r>
      <w:r>
        <w:t xml:space="preserve"> </w:t>
      </w:r>
      <w:r>
        <w:t xml:space="preserve">= 0,031 mm/an et</w:t>
      </w:r>
      <w:r>
        <w:t xml:space="preserve"> </w:t>
      </w:r>
      <w:r>
        <w:rPr>
          <w:i/>
          <w:iCs/>
        </w:rPr>
        <w:t xml:space="preserve">R²</w:t>
      </w:r>
      <w:r>
        <w:t xml:space="preserve"> </w:t>
      </w:r>
      <w:r>
        <w:t xml:space="preserve">= 0,99 sur la prédiction de corrosion en pipeline d’eau de refroidissement ;</w:t>
      </w:r>
    </w:p>
    <w:p>
      <w:pPr>
        <w:pStyle w:val="Compact"/>
        <w:numPr>
          <w:ilvl w:val="0"/>
          <w:numId w:val="1016"/>
        </w:numPr>
      </w:pPr>
      <w:r>
        <w:rPr>
          <w:b/>
          <w:bCs/>
        </w:rPr>
        <w:t xml:space="preserve">Yan et Yan (2024)</w:t>
      </w:r>
      <w:r>
        <w:t xml:space="preserve"> </w:t>
      </w:r>
      <w:r>
        <w:t xml:space="preserve">: XGBoost et AdaBoost obtiennent</w:t>
      </w:r>
      <w:r>
        <w:t xml:space="preserve"> </w:t>
      </w:r>
      <w:r>
        <w:rPr>
          <w:i/>
          <w:iCs/>
        </w:rPr>
        <w:t xml:space="preserve">RMSE</w:t>
      </w:r>
      <w:r>
        <w:t xml:space="preserve"> </w:t>
      </w:r>
      <w:r>
        <w:t xml:space="preserve">= 0,052 sur la corrosion atmosphérique d’aciers faiblement alliés ;</w:t>
      </w:r>
    </w:p>
    <w:p>
      <w:pPr>
        <w:pStyle w:val="Compact"/>
        <w:numPr>
          <w:ilvl w:val="0"/>
          <w:numId w:val="1016"/>
        </w:numPr>
      </w:pPr>
      <w:r>
        <w:rPr>
          <w:b/>
          <w:bCs/>
        </w:rPr>
        <w:t xml:space="preserve">Hu et al. (2024)</w:t>
      </w:r>
      <w:r>
        <w:t xml:space="preserve"> </w:t>
      </w:r>
      <w:r>
        <w:t xml:space="preserve">: modèle d’ensemble interprétable atteignant</w:t>
      </w:r>
      <w:r>
        <w:t xml:space="preserve"> </w:t>
      </w:r>
      <w:r>
        <w:rPr>
          <w:i/>
          <w:iCs/>
        </w:rPr>
        <w:t xml:space="preserve">RMSE</w:t>
      </w:r>
      <w:r>
        <w:t xml:space="preserve"> </w:t>
      </w:r>
      <w:r>
        <w:t xml:space="preserve">= 0,005876 et</w:t>
      </w:r>
      <w:r>
        <w:t xml:space="preserve"> </w:t>
      </w:r>
      <w:r>
        <w:rPr>
          <w:i/>
          <w:iCs/>
        </w:rPr>
        <w:t xml:space="preserve">R²</w:t>
      </w:r>
      <w:r>
        <w:t xml:space="preserve"> </w:t>
      </w:r>
      <w:r>
        <w:t xml:space="preserve">= 0,9648 sur la corrosion interne O&amp;G.</w:t>
      </w:r>
    </w:p>
    <w:p>
      <w:pPr>
        <w:pStyle w:val="FirstParagraph"/>
      </w:pPr>
      <w:r>
        <w:rPr>
          <w:b/>
          <w:bCs/>
        </w:rPr>
        <w:t xml:space="preserve">SHAP (SHapley Additive exPlanations)</w:t>
      </w:r>
      <w:r>
        <w:t xml:space="preserve">, introduit par</w:t>
      </w:r>
      <w:r>
        <w:t xml:space="preserve"> </w:t>
      </w:r>
      <w:r>
        <w:rPr>
          <w:b/>
          <w:bCs/>
        </w:rPr>
        <w:t xml:space="preserve">Lundberg et Lee (2017)</w:t>
      </w:r>
      <w:r>
        <w:t xml:space="preserve">, permet d’interpréter chaque prédiction individuelle en quantifiant la contribution de chaque variable d’entrée. Les analyses SHAP appliquées à la corrosion identifient typiquement la</w:t>
      </w:r>
      <w:r>
        <w:t xml:space="preserve"> </w:t>
      </w:r>
      <w:r>
        <w:rPr>
          <w:b/>
          <w:bCs/>
        </w:rPr>
        <w:t xml:space="preserve">température</w:t>
      </w:r>
      <w:r>
        <w:t xml:space="preserve">, la</w:t>
      </w:r>
      <w:r>
        <w:t xml:space="preserve"> </w:t>
      </w:r>
      <w:r>
        <w:rPr>
          <w:b/>
          <w:bCs/>
        </w:rPr>
        <w:t xml:space="preserve">pression partielle de CO₂</w:t>
      </w:r>
      <w:r>
        <w:t xml:space="preserve"> </w:t>
      </w:r>
      <w:r>
        <w:t xml:space="preserve">et la</w:t>
      </w:r>
      <w:r>
        <w:t xml:space="preserve"> </w:t>
      </w:r>
      <w:r>
        <w:rPr>
          <w:b/>
          <w:bCs/>
        </w:rPr>
        <w:t xml:space="preserve">pression totale</w:t>
      </w:r>
      <w:r>
        <w:t xml:space="preserve"> </w:t>
      </w:r>
      <w:r>
        <w:t xml:space="preserve">comme les trois variables dominantes (Hu et al., 2024). Le présent travail mobilise SHAP pour identifier les variables dominantes dans le contexte multi-acide Detar Plus.</w:t>
      </w:r>
    </w:p>
    <w:bookmarkEnd w:id="38"/>
    <w:bookmarkStart w:id="39" w:name="X30ac17fbee103ff5fcca34b71d7e33c5d3889bf"/>
    <w:p>
      <w:pPr>
        <w:pStyle w:val="Heading3"/>
      </w:pPr>
      <w:r>
        <w:t xml:space="preserve">I.7.6. Pronostic et durée de vie résiduelle (RUL)</w:t>
      </w:r>
    </w:p>
    <w:p>
      <w:pPr>
        <w:pStyle w:val="FirstParagraph"/>
      </w:pPr>
      <w:r>
        <w:t xml:space="preserve">La</w:t>
      </w:r>
      <w:r>
        <w:t xml:space="preserve"> </w:t>
      </w:r>
      <w:r>
        <w:rPr>
          <w:b/>
          <w:bCs/>
        </w:rPr>
        <w:t xml:space="preserve">norme ISO 13381-1 :2015</w:t>
      </w:r>
      <w:r>
        <w:t xml:space="preserve"> </w:t>
      </w:r>
      <w:r>
        <w:t xml:space="preserve">définit le pronostic comme « l’estimation du temps avant défaillance et le risque d’existence ou d’apparition d’un ou plusieurs modes de défaillance » (ISO, 2015). La</w:t>
      </w:r>
      <w:r>
        <w:t xml:space="preserve"> </w:t>
      </w:r>
      <w:r>
        <w:rPr>
          <w:b/>
          <w:bCs/>
        </w:rPr>
        <w:t xml:space="preserve">durée de vie résiduelle (RUL — Remaining Useful Life)</w:t>
      </w:r>
      <w:r>
        <w:t xml:space="preserve"> </w:t>
      </w:r>
      <w:r>
        <w:t xml:space="preserve">est définie comme « la durée pendant laquelle un système peut continuer à fonctionner avant que sa santé ne tombe sous un seuil prédéfini » (Akash, 2024 ; Liu et al., 2022).</w:t>
      </w:r>
    </w:p>
    <w:p>
      <w:pPr>
        <w:pStyle w:val="BodyText"/>
      </w:pPr>
      <w:r>
        <w:t xml:space="preserve">Quatre familles d’approches existent (Liu et al., 2022) :</w:t>
      </w:r>
    </w:p>
    <w:p>
      <w:pPr>
        <w:pStyle w:val="Compact"/>
        <w:numPr>
          <w:ilvl w:val="0"/>
          <w:numId w:val="1017"/>
        </w:numPr>
      </w:pPr>
      <w:r>
        <w:rPr>
          <w:b/>
          <w:bCs/>
        </w:rPr>
        <w:t xml:space="preserve">Modèles physiques</w:t>
      </w:r>
      <w:r>
        <w:t xml:space="preserve"> </w:t>
      </w:r>
      <w:r>
        <w:t xml:space="preserve">: extrapolation par lois de propagation (fissure, corrosion, fatigue) ;</w:t>
      </w:r>
    </w:p>
    <w:p>
      <w:pPr>
        <w:pStyle w:val="Compact"/>
        <w:numPr>
          <w:ilvl w:val="0"/>
          <w:numId w:val="1017"/>
        </w:numPr>
      </w:pPr>
      <w:r>
        <w:rPr>
          <w:b/>
          <w:bCs/>
        </w:rPr>
        <w:t xml:space="preserve">Modèles statistiques</w:t>
      </w:r>
      <w:r>
        <w:t xml:space="preserve"> </w:t>
      </w:r>
      <w:r>
        <w:t xml:space="preserve">: analyse de survie (Weibull, AFT) ;</w:t>
      </w:r>
    </w:p>
    <w:p>
      <w:pPr>
        <w:pStyle w:val="Compact"/>
        <w:numPr>
          <w:ilvl w:val="0"/>
          <w:numId w:val="1017"/>
        </w:numPr>
      </w:pPr>
      <w:r>
        <w:rPr>
          <w:b/>
          <w:bCs/>
        </w:rPr>
        <w:t xml:space="preserve">Modèles par apprentissage automatique</w:t>
      </w:r>
      <w:r>
        <w:t xml:space="preserve"> </w:t>
      </w:r>
      <w:r>
        <w:t xml:space="preserve">: XGBoost, LSTM, Transformers ;</w:t>
      </w:r>
    </w:p>
    <w:p>
      <w:pPr>
        <w:pStyle w:val="Compact"/>
        <w:numPr>
          <w:ilvl w:val="0"/>
          <w:numId w:val="1017"/>
        </w:numPr>
      </w:pPr>
      <w:r>
        <w:rPr>
          <w:b/>
          <w:bCs/>
        </w:rPr>
        <w:t xml:space="preserve">Approches hybrides</w:t>
      </w:r>
      <w:r>
        <w:t xml:space="preserve"> </w:t>
      </w:r>
      <w:r>
        <w:t xml:space="preserve">: combinaison physique + ML.</w:t>
      </w:r>
    </w:p>
    <w:p>
      <w:pPr>
        <w:pStyle w:val="FirstParagraph"/>
      </w:pPr>
      <w:r>
        <w:t xml:space="preserve">Pour la corrosion spécifiquement, les approches ML</w:t>
      </w:r>
      <w:r>
        <w:t xml:space="preserve"> </w:t>
      </w:r>
      <w:r>
        <w:rPr>
          <w:i/>
          <w:iCs/>
        </w:rPr>
        <w:t xml:space="preserve">run-to-failure</w:t>
      </w:r>
      <w:r>
        <w:t xml:space="preserve"> </w:t>
      </w:r>
      <w:r>
        <w:t xml:space="preserve">sont les mieux adaptées car elles exploitent l’intégralité du cycle de dégradation (état initial → rupture). C’est la voie retenue dans ce travail.</w:t>
      </w:r>
    </w:p>
    <w:bookmarkEnd w:id="39"/>
    <w:bookmarkStart w:id="40" w:name="Xe60ed65546685e6c217a9958671c84794fb3612"/>
    <w:p>
      <w:pPr>
        <w:pStyle w:val="Heading3"/>
      </w:pPr>
      <w:r>
        <w:t xml:space="preserve">I.7.7. Inhibiteurs de corrosion à base d’imidazoline</w:t>
      </w:r>
    </w:p>
    <w:p>
      <w:pPr>
        <w:pStyle w:val="FirstParagraph"/>
      </w:pPr>
      <w:r>
        <w:t xml:space="preserve">Les</w:t>
      </w:r>
      <w:r>
        <w:t xml:space="preserve"> </w:t>
      </w:r>
      <w:r>
        <w:rPr>
          <w:b/>
          <w:bCs/>
        </w:rPr>
        <w:t xml:space="preserve">imidazolines</w:t>
      </w:r>
      <w:r>
        <w:t xml:space="preserve"> </w:t>
      </w:r>
      <w:r>
        <w:t xml:space="preserve">sont une famille d’inhibiteurs de corrosion largement utilisés dans le secteur Oil &amp; Gas, particulièrement efficaces en milieu acide (Heydari et Talebpour, 2024). Leur structure moléculaire présente :</w:t>
      </w:r>
    </w:p>
    <w:p>
      <w:pPr>
        <w:pStyle w:val="Compact"/>
        <w:numPr>
          <w:ilvl w:val="0"/>
          <w:numId w:val="1018"/>
        </w:numPr>
      </w:pPr>
      <w:r>
        <w:t xml:space="preserve">Un</w:t>
      </w:r>
      <w:r>
        <w:t xml:space="preserve"> </w:t>
      </w:r>
      <w:r>
        <w:rPr>
          <w:b/>
          <w:bCs/>
        </w:rPr>
        <w:t xml:space="preserve">cycle imidazoline à 5 atomes</w:t>
      </w:r>
      <w:r>
        <w:t xml:space="preserve"> </w:t>
      </w:r>
      <w:r>
        <w:t xml:space="preserve">contenant deux atomes d’azote (N), dont l’un porte un doublet libre ;</w:t>
      </w:r>
    </w:p>
    <w:p>
      <w:pPr>
        <w:pStyle w:val="Compact"/>
        <w:numPr>
          <w:ilvl w:val="0"/>
          <w:numId w:val="1018"/>
        </w:numPr>
      </w:pPr>
      <w:r>
        <w:t xml:space="preserve">Une</w:t>
      </w:r>
      <w:r>
        <w:t xml:space="preserve"> </w:t>
      </w:r>
      <w:r>
        <w:rPr>
          <w:b/>
          <w:bCs/>
        </w:rPr>
        <w:t xml:space="preserve">chaîne hydrocarbonée hydrophobe</w:t>
      </w:r>
      <w:r>
        <w:t xml:space="preserve"> </w:t>
      </w:r>
      <w:r>
        <w:t xml:space="preserve">assurant l’orientation de la molécule sur la surface métallique.</w:t>
      </w:r>
    </w:p>
    <w:p>
      <w:pPr>
        <w:pStyle w:val="FirstParagraph"/>
      </w:pPr>
      <w:r>
        <w:t xml:space="preserve">Le mécanisme d’inhibition combine</w:t>
      </w:r>
      <w:r>
        <w:t xml:space="preserve"> </w:t>
      </w:r>
      <w:r>
        <w:rPr>
          <w:b/>
          <w:bCs/>
        </w:rPr>
        <w:t xml:space="preserve">physisorption et chimisorption</w:t>
      </w:r>
      <w:r>
        <w:t xml:space="preserve"> </w:t>
      </w:r>
      <w:r>
        <w:t xml:space="preserve">sur la surface du fer, formant une couche monomoléculaire qui isole le métal du milieu corrosif (Lu et Luo, 2016 ; Heydari et Talebpour, 2024). L’isotherme d’adsorption suit typiquement le modèle de</w:t>
      </w:r>
      <w:r>
        <w:t xml:space="preserve"> </w:t>
      </w:r>
      <w:r>
        <w:rPr>
          <w:b/>
          <w:bCs/>
        </w:rPr>
        <w:t xml:space="preserve">Langmuir</w:t>
      </w:r>
      <w:r>
        <w:t xml:space="preserve"> </w:t>
      </w:r>
      <w:r>
        <w:t xml:space="preserve">:</w:t>
      </w:r>
    </w:p>
    <w:p>
      <w:pPr>
        <w:pStyle w:val="BodyText"/>
      </w:pPr>
      <m:oMathPara>
        <m:oMathParaPr>
          <m:jc m:val="center"/>
        </m:oMathParaPr>
        <m:oMath>
          <m:f>
            <m:fPr>
              <m:type m:val="bar"/>
            </m:fPr>
            <m:num>
              <m:r>
                <m:t>C</m:t>
              </m:r>
            </m:num>
            <m:den>
              <m:r>
                <m:t>θ</m:t>
              </m:r>
            </m:den>
          </m:f>
          <m:r>
            <m:rPr>
              <m:sty m:val="p"/>
            </m:rPr>
            <m:t>=</m:t>
          </m:r>
          <m:f>
            <m:fPr>
              <m:type m:val="bar"/>
            </m:fPr>
            <m:num>
              <m:r>
                <m:t>1</m:t>
              </m:r>
            </m:num>
            <m:den>
              <m:sSub>
                <m:e>
                  <m:r>
                    <m:t>K</m:t>
                  </m:r>
                </m:e>
                <m:sub>
                  <m:r>
                    <m:t>a</m:t>
                  </m:r>
                  <m:r>
                    <m:t>d</m:t>
                  </m:r>
                  <m:r>
                    <m:t>s</m:t>
                  </m:r>
                </m:sub>
              </m:sSub>
            </m:den>
          </m:f>
          <m:r>
            <m:rPr>
              <m:sty m:val="p"/>
            </m:rPr>
            <m:t>+</m:t>
          </m:r>
          <m:r>
            <m:t>C</m:t>
          </m:r>
        </m:oMath>
      </m:oMathPara>
    </w:p>
    <w:p>
      <w:pPr>
        <w:pStyle w:val="FirstParagraph"/>
      </w:pPr>
      <w:r>
        <w:t xml:space="preserve">où</w:t>
      </w:r>
      <w:r>
        <w:t xml:space="preserve"> </w:t>
      </w:r>
      <w:r>
        <w:rPr>
          <w:i/>
          <w:iCs/>
        </w:rPr>
        <w:t xml:space="preserve">C</w:t>
      </w:r>
      <w:r>
        <w:t xml:space="preserve"> </w:t>
      </w:r>
      <w:r>
        <w:t xml:space="preserve">est la concentration de l’inhibiteur, θ le taux de couverture surfacique, et</w:t>
      </w:r>
      <w:r>
        <w:t xml:space="preserve"> </w:t>
      </w:r>
      <w:r>
        <w:rPr>
          <w:i/>
          <w:iCs/>
        </w:rPr>
        <w:t xml:space="preserve">K</w:t>
      </w:r>
      <w:r>
        <w:t xml:space="preserve">_ads la constante d’adsorption.</w:t>
      </w:r>
    </w:p>
    <w:p>
      <w:pPr>
        <w:pStyle w:val="BodyText"/>
      </w:pPr>
      <w:r>
        <w:t xml:space="preserve">Les</w:t>
      </w:r>
      <w:r>
        <w:t xml:space="preserve"> </w:t>
      </w:r>
      <w:r>
        <w:rPr>
          <w:b/>
          <w:bCs/>
        </w:rPr>
        <w:t xml:space="preserve">efficacités d’inhibition</w:t>
      </w:r>
      <w:r>
        <w:t xml:space="preserve"> </w:t>
      </w:r>
      <w:r>
        <w:t xml:space="preserve">rapportées dans la littérature pour les imidazolines en milieu HCl sont remarquables :</w:t>
      </w:r>
    </w:p>
    <w:p>
      <w:pPr>
        <w:pStyle w:val="Compact"/>
        <w:numPr>
          <w:ilvl w:val="0"/>
          <w:numId w:val="1019"/>
        </w:numPr>
      </w:pPr>
      <w:r>
        <w:t xml:space="preserve">94,4 % à 500 ppm en HCl 1 N (Heydari et Talebpour, 2024) ;</w:t>
      </w:r>
    </w:p>
    <w:p>
      <w:pPr>
        <w:pStyle w:val="Compact"/>
        <w:numPr>
          <w:ilvl w:val="0"/>
          <w:numId w:val="1019"/>
        </w:numPr>
      </w:pPr>
      <w:r>
        <w:t xml:space="preserve">95,7 % à 80 mg/L sur acier A572 Gr.65 en NaCl 3,5 % (Wang et al., 2023) ;</w:t>
      </w:r>
    </w:p>
    <w:p>
      <w:pPr>
        <w:pStyle w:val="Compact"/>
        <w:numPr>
          <w:ilvl w:val="0"/>
          <w:numId w:val="1019"/>
        </w:numPr>
      </w:pPr>
      <w:r>
        <w:t xml:space="preserve">96,8 % à 500 ppm en HCl 1 N (PMC, 2023).</w:t>
      </w:r>
    </w:p>
    <w:p>
      <w:pPr>
        <w:pStyle w:val="FirstParagraph"/>
      </w:pPr>
      <w:r>
        <w:t xml:space="preserve">L’</w:t>
      </w:r>
      <w:r>
        <w:rPr>
          <w:b/>
          <w:bCs/>
        </w:rPr>
        <w:t xml:space="preserve">inhibiteur retenu dans ce travail</w:t>
      </w:r>
      <w:r>
        <w:t xml:space="preserve"> </w:t>
      </w:r>
      <w:r>
        <w:t xml:space="preserve">appartient à la famille des imidazolines, commercialisé pour l’industrie pétrolière. La référence commerciale précise sera fixée selon la disponibilité sur le marché camerounais ; à titre indicatif, des produits tels qu’AC PROTECT 106, Nalco Champion EC1605A ou équivalents respectent ce profil. L’efficacité fabricant typique déclarée est &gt; 90 % en milieu HCl 1 N pour cette famille de produits.</w:t>
      </w:r>
    </w:p>
    <w:bookmarkEnd w:id="40"/>
    <w:bookmarkStart w:id="41" w:name="Xef9623cb523170b916b02ae920948a7456d2eb4"/>
    <w:p>
      <w:pPr>
        <w:pStyle w:val="Heading3"/>
      </w:pPr>
      <w:r>
        <w:t xml:space="preserve">I.7.8. Diagnostic en maintenance industrielle</w:t>
      </w:r>
    </w:p>
    <w:p>
      <w:pPr>
        <w:pStyle w:val="FirstParagraph"/>
      </w:pPr>
      <w:r>
        <w:t xml:space="preserve">Le</w:t>
      </w:r>
      <w:r>
        <w:t xml:space="preserve"> </w:t>
      </w:r>
      <w:r>
        <w:rPr>
          <w:b/>
          <w:bCs/>
        </w:rPr>
        <w:t xml:space="preserve">diagnostic</w:t>
      </w:r>
      <w:r>
        <w:t xml:space="preserve"> </w:t>
      </w:r>
      <w:r>
        <w:t xml:space="preserve">est l’étape de la chaîne de maintenance prédictive (ISO 13381-1) consistant à</w:t>
      </w:r>
      <w:r>
        <w:t xml:space="preserve"> </w:t>
      </w:r>
      <w:r>
        <w:rPr>
          <w:i/>
          <w:iCs/>
        </w:rPr>
        <w:t xml:space="preserve">identifier la nature, la localisation et la cause d’une défaillance ou d’une dérive</w:t>
      </w:r>
      <w:r>
        <w:t xml:space="preserve">, à partir des informations issues de la phase de détection (Akash, 2024 ; ISO, 2015). Il se distingue du</w:t>
      </w:r>
      <w:r>
        <w:t xml:space="preserve"> </w:t>
      </w:r>
      <w:r>
        <w:rPr>
          <w:b/>
          <w:bCs/>
        </w:rPr>
        <w:t xml:space="preserve">pronostic</w:t>
      </w:r>
      <w:r>
        <w:t xml:space="preserve"> </w:t>
      </w:r>
      <w:r>
        <w:t xml:space="preserve">— qui prédit le moment de la défaillance future — et précède la</w:t>
      </w:r>
      <w:r>
        <w:t xml:space="preserve"> </w:t>
      </w:r>
      <w:r>
        <w:rPr>
          <w:b/>
          <w:bCs/>
        </w:rPr>
        <w:t xml:space="preserve">décision</w:t>
      </w:r>
      <w:r>
        <w:t xml:space="preserve"> </w:t>
      </w:r>
      <w:r>
        <w:t xml:space="preserve">— qui choisit l’action corrective appropriée. La chaîne complète est ainsi :</w:t>
      </w:r>
    </w:p>
    <w:p>
      <w:pPr>
        <w:pStyle w:val="BlockText"/>
      </w:pPr>
      <w:r>
        <w:rPr>
          <w:b/>
          <w:bCs/>
        </w:rPr>
        <w:t xml:space="preserve">Détection → Diagnostic → Pronostic → Décision → Action</w:t>
      </w:r>
    </w:p>
    <w:p>
      <w:pPr>
        <w:pStyle w:val="FirstParagraph"/>
      </w:pPr>
      <w:r>
        <w:t xml:space="preserve">Pour la corrosion spécifiquement, plusieurs approches de diagnostic coexistent dans la littérature (Coelho, 2022 ; Tan et al., 2025) :</w:t>
      </w:r>
    </w:p>
    <w:p>
      <w:pPr>
        <w:pStyle w:val="Compact"/>
        <w:numPr>
          <w:ilvl w:val="0"/>
          <w:numId w:val="1020"/>
        </w:numPr>
      </w:pPr>
      <w:r>
        <w:rPr>
          <w:b/>
          <w:bCs/>
        </w:rPr>
        <w:t xml:space="preserve">Approches par règles métier</w:t>
      </w:r>
      <w:r>
        <w:t xml:space="preserve"> </w:t>
      </w:r>
      <w:r>
        <w:t xml:space="preserve">: seuils sur les variables physiques (dérivée temporelle de R, accélération, niveaux d’agression) — simples et explicables, adaptées aux PME ;</w:t>
      </w:r>
    </w:p>
    <w:p>
      <w:pPr>
        <w:pStyle w:val="Compact"/>
        <w:numPr>
          <w:ilvl w:val="0"/>
          <w:numId w:val="1020"/>
        </w:numPr>
      </w:pPr>
      <w:r>
        <w:rPr>
          <w:b/>
          <w:bCs/>
        </w:rPr>
        <w:t xml:space="preserve">Approches par classification ML</w:t>
      </w:r>
      <w:r>
        <w:t xml:space="preserve"> </w:t>
      </w:r>
      <w:r>
        <w:t xml:space="preserve">: forêts aléatoires, XGBoost classifieur, SVM — performantes mais nécessitent des données labélisées ;</w:t>
      </w:r>
    </w:p>
    <w:p>
      <w:pPr>
        <w:pStyle w:val="Compact"/>
        <w:numPr>
          <w:ilvl w:val="0"/>
          <w:numId w:val="1020"/>
        </w:numPr>
      </w:pPr>
      <w:r>
        <w:rPr>
          <w:b/>
          <w:bCs/>
        </w:rPr>
        <w:t xml:space="preserve">Approches non-supervisées</w:t>
      </w:r>
      <w:r>
        <w:t xml:space="preserve"> </w:t>
      </w:r>
      <w:r>
        <w:t xml:space="preserve">: Isolation Forest, One-Class SVM — adaptées à la détection d’anomalies sans labélisation préalable.</w:t>
      </w:r>
    </w:p>
    <w:p>
      <w:pPr>
        <w:pStyle w:val="FirstParagraph"/>
      </w:pPr>
      <w:r>
        <w:t xml:space="preserve">Dans le contexte de la corrosion en milieu acide multi-composant, plusieurs régimes coexistent et peuvent être diagnostiqués à partir des signatures temporelles du signal ER : (i) corrosion stable nominale (dR/dt constant et faible), (ii) corrosion accélérée (dR/dt croissant — typiquement HCl dominant), (iii) passivation (dR/dt qui décélère sans inhibiteur — typiquement formation de FePO₄ par H₃PO₄), (iv) adsorption d’inhibiteur (changepoint avec chute brutale du dR/dt), et (v) pré-rupture (divergence de dR/dt, RUL faible). Le présent travail mobilise une approche hybride règles métier + sortie XGBoost, simple et explicable pour un déploiement industriel léger.</w:t>
      </w:r>
    </w:p>
    <w:bookmarkEnd w:id="41"/>
    <w:bookmarkStart w:id="42" w:name="Xb6e63608d1fd198c99b883acf602e5736099c27"/>
    <w:p>
      <w:pPr>
        <w:pStyle w:val="Heading3"/>
      </w:pPr>
      <w:r>
        <w:t xml:space="preserve">I.7.9. Systèmes de gestion de la maintenance — GMAO et CMMS</w:t>
      </w:r>
    </w:p>
    <w:p>
      <w:pPr>
        <w:pStyle w:val="FirstParagraph"/>
      </w:pPr>
      <w:r>
        <w:t xml:space="preserve">Une</w:t>
      </w:r>
      <w:r>
        <w:t xml:space="preserve"> </w:t>
      </w:r>
      <w:r>
        <w:rPr>
          <w:b/>
          <w:bCs/>
        </w:rPr>
        <w:t xml:space="preserve">GMAO (Gestion de Maintenance Assistée par Ordinateur)</w:t>
      </w:r>
      <w:r>
        <w:t xml:space="preserve">, ou en anglais</w:t>
      </w:r>
      <w:r>
        <w:t xml:space="preserve"> </w:t>
      </w:r>
      <w:r>
        <w:rPr>
          <w:b/>
          <w:bCs/>
        </w:rPr>
        <w:t xml:space="preserve">CMMS (Computerized Maintenance Management System)</w:t>
      </w:r>
      <w:r>
        <w:t xml:space="preserve">, est une application logicielle dédiée à la planification, au suivi et à l’optimisation des activités de maintenance d’une organisation industrielle (Lopes et al., 2016 ; Roda et Macchi, 2018). Une GMAO moderne intègre typiquement les fonctions suivantes (ISO 14224, 2016 ; Bagheri et al., 2024) :</w:t>
      </w:r>
    </w:p>
    <w:p>
      <w:pPr>
        <w:pStyle w:val="Compact"/>
        <w:numPr>
          <w:ilvl w:val="0"/>
          <w:numId w:val="1021"/>
        </w:numPr>
      </w:pPr>
      <w:r>
        <w:rPr>
          <w:b/>
          <w:bCs/>
        </w:rPr>
        <w:t xml:space="preserve">Gestion des actifs</w:t>
      </w:r>
      <w:r>
        <w:t xml:space="preserve"> </w:t>
      </w:r>
      <w:r>
        <w:t xml:space="preserve">: inventaire des équipements, hiérarchie fonctionnelle, données techniques, criticité ;</w:t>
      </w:r>
    </w:p>
    <w:p>
      <w:pPr>
        <w:pStyle w:val="Compact"/>
        <w:numPr>
          <w:ilvl w:val="0"/>
          <w:numId w:val="1021"/>
        </w:numPr>
      </w:pPr>
      <w:r>
        <w:rPr>
          <w:b/>
          <w:bCs/>
        </w:rPr>
        <w:t xml:space="preserve">Gestion des ordres de travail (OT)</w:t>
      </w:r>
      <w:r>
        <w:t xml:space="preserve"> </w:t>
      </w:r>
      <w:r>
        <w:t xml:space="preserve">: création, assignation, planification, exécution, clôture ;</w:t>
      </w:r>
    </w:p>
    <w:p>
      <w:pPr>
        <w:pStyle w:val="Compact"/>
        <w:numPr>
          <w:ilvl w:val="0"/>
          <w:numId w:val="1021"/>
        </w:numPr>
      </w:pPr>
      <w:r>
        <w:rPr>
          <w:b/>
          <w:bCs/>
        </w:rPr>
        <w:t xml:space="preserve">Historique des interventions</w:t>
      </w:r>
      <w:r>
        <w:t xml:space="preserve"> </w:t>
      </w:r>
      <w:r>
        <w:t xml:space="preserve">: traçabilité complète (qui, quand, quoi, durée, coût) ;</w:t>
      </w:r>
    </w:p>
    <w:p>
      <w:pPr>
        <w:pStyle w:val="Compact"/>
        <w:numPr>
          <w:ilvl w:val="0"/>
          <w:numId w:val="1021"/>
        </w:numPr>
      </w:pPr>
      <w:r>
        <w:rPr>
          <w:b/>
          <w:bCs/>
        </w:rPr>
        <w:t xml:space="preserve">Gestion du stock de pièces de rechange</w:t>
      </w:r>
      <w:r>
        <w:t xml:space="preserve"> </w:t>
      </w:r>
      <w:r>
        <w:t xml:space="preserve">: références, niveaux, mouvements, fournisseurs ;</w:t>
      </w:r>
    </w:p>
    <w:p>
      <w:pPr>
        <w:pStyle w:val="Compact"/>
        <w:numPr>
          <w:ilvl w:val="0"/>
          <w:numId w:val="1021"/>
        </w:numPr>
      </w:pPr>
      <w:r>
        <w:rPr>
          <w:b/>
          <w:bCs/>
        </w:rPr>
        <w:t xml:space="preserve">Indicateurs de performance (KPIs)</w:t>
      </w:r>
      <w:r>
        <w:t xml:space="preserve"> </w:t>
      </w:r>
      <w:r>
        <w:t xml:space="preserve">: MTBF, MTTR, taux de disponibilité, taux de panne, coût total de maintenance ;</w:t>
      </w:r>
    </w:p>
    <w:p>
      <w:pPr>
        <w:pStyle w:val="Compact"/>
        <w:numPr>
          <w:ilvl w:val="0"/>
          <w:numId w:val="1021"/>
        </w:numPr>
      </w:pPr>
      <w:r>
        <w:rPr>
          <w:b/>
          <w:bCs/>
        </w:rPr>
        <w:t xml:space="preserve">Plans de maintenance préventive</w:t>
      </w:r>
      <w:r>
        <w:t xml:space="preserve"> </w:t>
      </w:r>
      <w:r>
        <w:t xml:space="preserve">: déclencheurs temporels ou conditionnels ;</w:t>
      </w:r>
    </w:p>
    <w:p>
      <w:pPr>
        <w:pStyle w:val="Compact"/>
        <w:numPr>
          <w:ilvl w:val="0"/>
          <w:numId w:val="1021"/>
        </w:numPr>
      </w:pPr>
      <w:r>
        <w:rPr>
          <w:b/>
          <w:bCs/>
        </w:rPr>
        <w:t xml:space="preserve">Intégration avec les systèmes de surveillance</w:t>
      </w:r>
      <w:r>
        <w:t xml:space="preserve"> </w:t>
      </w:r>
      <w:r>
        <w:t xml:space="preserve">: ingestion d’alertes, création automatique d’OT.</w:t>
      </w:r>
    </w:p>
    <w:p>
      <w:pPr>
        <w:pStyle w:val="FirstParagraph"/>
      </w:pPr>
      <w:r>
        <w:t xml:space="preserve">Les</w:t>
      </w:r>
      <w:r>
        <w:t xml:space="preserve"> </w:t>
      </w:r>
      <w:r>
        <w:rPr>
          <w:b/>
          <w:bCs/>
        </w:rPr>
        <w:t xml:space="preserve">GMAO industrielles propriétaires</w:t>
      </w:r>
      <w:r>
        <w:t xml:space="preserve"> </w:t>
      </w:r>
      <w:r>
        <w:t xml:space="preserve">(SAP Plant Maintenance, IBM Maximo, Oracle eAM, Infor EAM) dominent le marché des grandes entreprises mais présentent un coût de licence prohibitif (10 000 à 100 000 USD/an par site selon le périmètre), une complexité d’implémentation élevée (consultants spécialisés requis), et une dépendance à l’éditeur. Selon Roda et Macchi (2018), moins de 15 % des PME industrielles dans les pays émergents disposent d’une GMAO professionnelle, contre plus de 80 % des grandes entreprises.</w:t>
      </w:r>
    </w:p>
    <w:p>
      <w:pPr>
        <w:pStyle w:val="BodyText"/>
      </w:pPr>
      <w:r>
        <w:t xml:space="preserve">Plusieurs</w:t>
      </w:r>
      <w:r>
        <w:t xml:space="preserve"> </w:t>
      </w:r>
      <w:r>
        <w:rPr>
          <w:b/>
          <w:bCs/>
        </w:rPr>
        <w:t xml:space="preserve">alternatives open-source</w:t>
      </w:r>
      <w:r>
        <w:t xml:space="preserve"> </w:t>
      </w:r>
      <w:r>
        <w:t xml:space="preserve">existent (CMMS Wikipedia, 2024 ; Murphy, 2021) : GLPI, OpenMaint (CMDBuild), Snipe-IT, Fiix Free, MaintainX, Hippo CMMS Free, Limble. Ces solutions offrent un périmètre fonctionnel comparable aux GMAO propriétaires (gestion d’actifs, ordres de travail, ITIL) avec des API REST documentées qui permettent une intégration tierce. Néanmoins, leur adoption dans le contexte africain présente quelques limites résiduelles : (i) absence de modules de prédiction par apprentissage automatique embarqués (la couche ML reste à raccorder par intégration externe) ; (ii) interfaces parfois en anglais uniquement (GLPI fait exception avec une localisation francophone native) ; (iii) hébergement self-hosted exigeant une compétence IT minimale pour l’administration, ce qui peut être un frein pour les PME sans équipe IT dédiée — frein partiellement levé par les distributions Docker prêtes à déployer.</w:t>
      </w:r>
    </w:p>
    <w:p>
      <w:pPr>
        <w:pStyle w:val="BodyText"/>
      </w:pPr>
      <w:r>
        <w:t xml:space="preserve">L’émergence récente des</w:t>
      </w:r>
      <w:r>
        <w:t xml:space="preserve"> </w:t>
      </w:r>
      <w:r>
        <w:rPr>
          <w:b/>
          <w:bCs/>
        </w:rPr>
        <w:t xml:space="preserve">architectures sans serveur (BaaS — Backend as a Service)</w:t>
      </w:r>
      <w:r>
        <w:t xml:space="preserve"> </w:t>
      </w:r>
      <w:r>
        <w:t xml:space="preserve">comme</w:t>
      </w:r>
      <w:r>
        <w:t xml:space="preserve"> </w:t>
      </w:r>
      <w:r>
        <w:rPr>
          <w:b/>
          <w:bCs/>
        </w:rPr>
        <w:t xml:space="preserve">Supabase</w:t>
      </w:r>
      <w:r>
        <w:t xml:space="preserve"> </w:t>
      </w:r>
      <w:r>
        <w:t xml:space="preserve">(alternative open-source à Firebase) couplée à des frameworks frontend modernes comme</w:t>
      </w:r>
      <w:r>
        <w:t xml:space="preserve"> </w:t>
      </w:r>
      <w:r>
        <w:rPr>
          <w:b/>
          <w:bCs/>
        </w:rPr>
        <w:t xml:space="preserve">Next.js</w:t>
      </w:r>
      <w:r>
        <w:t xml:space="preserve"> </w:t>
      </w:r>
      <w:r>
        <w:t xml:space="preserve">rend désormais possible le développement d’une GMAO sur mesure à un coût d’exploitation marginal nul (offres gratuites jusqu’à des volumes significatifs). C’est cette voie qu’explore l’OS4 du présent mémoire, en proposant une GMAO directement intégrée à la chaîne de surveillance prédictive développée dans les OS1, OS2 et OS3.</w:t>
      </w:r>
    </w:p>
    <w:p>
      <w:pPr>
        <w:pStyle w:val="BodyText"/>
      </w:pPr>
      <w:r>
        <w:t xml:space="preserve">La norme</w:t>
      </w:r>
      <w:r>
        <w:t xml:space="preserve"> </w:t>
      </w:r>
      <w:r>
        <w:rPr>
          <w:b/>
          <w:bCs/>
        </w:rPr>
        <w:t xml:space="preserve">ISO 14224 :2016</w:t>
      </w:r>
      <w:r>
        <w:t xml:space="preserve"> </w:t>
      </w:r>
      <w:r>
        <w:t xml:space="preserve">définit les standards d’échange de données de fiabilité et de maintenance (formats d’OT, codes anomalie, taxonomie d’équipement) et constitue la référence d’interopérabilité pour toute GMAO du secteur Oil &amp; Gas (ISO, 2016).</w:t>
      </w:r>
    </w:p>
    <w:bookmarkEnd w:id="42"/>
    <w:bookmarkStart w:id="43" w:name="Xcdd9eceff5d4fe3261247372629e4b3594083f7"/>
    <w:p>
      <w:pPr>
        <w:pStyle w:val="Heading3"/>
      </w:pPr>
      <w:r>
        <w:t xml:space="preserve">I.7.10. Synthèse de la revue de littérature</w:t>
      </w:r>
    </w:p>
    <w:p>
      <w:pPr>
        <w:pStyle w:val="FirstParagraph"/>
      </w:pPr>
      <w:r>
        <w:t xml:space="preserve">La revue de littérature met en évidence quatre constats majeurs qui structurent ce travail :</w:t>
      </w:r>
    </w:p>
    <w:p>
      <w:pPr>
        <w:pStyle w:val="Compact"/>
        <w:numPr>
          <w:ilvl w:val="0"/>
          <w:numId w:val="1022"/>
        </w:numPr>
      </w:pPr>
      <w:r>
        <w:t xml:space="preserve">La corrosion est un phénomène universel, quantifié par la loi de Faraday et encadré par un corpus normatif international complet (ISO, ASTM, NACE/AMPP, API) ;</w:t>
      </w:r>
    </w:p>
    <w:p>
      <w:pPr>
        <w:pStyle w:val="Compact"/>
        <w:numPr>
          <w:ilvl w:val="0"/>
          <w:numId w:val="1022"/>
        </w:numPr>
      </w:pPr>
      <w:r>
        <w:t xml:space="preserve">Les méthodes de surveillance disponibles — coupons, sondes ER, LPR, UT — présentent des compromis résolution / continuité / niveau d’intégration numérique que les approches IoT (ESP32 + HX711) couplées à un pipeline ML peuvent rééquilibrer ;</w:t>
      </w:r>
    </w:p>
    <w:p>
      <w:pPr>
        <w:pStyle w:val="Compact"/>
        <w:numPr>
          <w:ilvl w:val="0"/>
          <w:numId w:val="1022"/>
        </w:numPr>
      </w:pPr>
      <w:r>
        <w:t xml:space="preserve">Les modèles physiques classiques (de Waard et Milliams) sont insuffisants en milieux multi-composants ; les modèles ML à gradient boosting (XGBoost) et leur extension à l’interprétabilité (SHAP) constituent l’état de l’art récent (2022–2025) ;</w:t>
      </w:r>
    </w:p>
    <w:p>
      <w:pPr>
        <w:pStyle w:val="Compact"/>
        <w:numPr>
          <w:ilvl w:val="0"/>
          <w:numId w:val="1022"/>
        </w:numPr>
      </w:pPr>
      <w:r>
        <w:t xml:space="preserve">La prédiction simultanée CR + RUL en protocole</w:t>
      </w:r>
      <w:r>
        <w:t xml:space="preserve"> </w:t>
      </w:r>
      <w:r>
        <w:rPr>
          <w:i/>
          <w:iCs/>
        </w:rPr>
        <w:t xml:space="preserve">run-to-failure</w:t>
      </w:r>
      <w:r>
        <w:t xml:space="preserve"> </w:t>
      </w:r>
      <w:r>
        <w:t xml:space="preserve">constitue un gap clairement identifié dans la littérature, que le présent travail vise à combler.</w:t>
      </w:r>
    </w:p>
    <w:p>
      <w:r>
        <w:pict>
          <v:rect style="width:0;height:1.5pt" o:hralign="center" o:hrstd="t" o:hr="t"/>
        </w:pict>
      </w:r>
    </w:p>
    <w:bookmarkEnd w:id="43"/>
    <w:bookmarkEnd w:id="44"/>
    <w:bookmarkStart w:id="45" w:name="i.8.-conclusion-du-chapitre-i"/>
    <w:p>
      <w:pPr>
        <w:pStyle w:val="Heading2"/>
      </w:pPr>
      <w:r>
        <w:t xml:space="preserve">I.8. Conclusion du Chapitre I</w:t>
      </w:r>
    </w:p>
    <w:p>
      <w:pPr>
        <w:pStyle w:val="FirstParagraph"/>
      </w:pPr>
      <w:r>
        <w:t xml:space="preserve">Ce premier chapitre a permis de poser les bases théoriques, normatives et contextuelles du présent travail. La revue de la littérature a établi les mécanismes électrochimiques de la corrosion, les méthodes de surveillance disponibles, les limites des modèles prédictifs classiques, l’état de l’art récent sur l’apprentissage automatique appliqué à la corrosion (XGBoost, SHAP, RUL), ainsi que le cadre conceptuel</w:t>
      </w:r>
      <w:r>
        <w:t xml:space="preserve"> </w:t>
      </w:r>
      <w:r>
        <w:rPr>
          <w:b/>
          <w:bCs/>
        </w:rPr>
        <w:t xml:space="preserve">Industrie 3.0 / Industrie 4.0</w:t>
      </w:r>
      <w:r>
        <w:t xml:space="preserve"> </w:t>
      </w:r>
      <w:r>
        <w:t xml:space="preserve">(Lasi et al., 2014 ; Lu, 2017 ; Xu et al., 2018). Le contexte international (étude IMPACT NACE — 2,5 billions USD/an), national (cadre normatif camerounais) et zonal (réseau COTCO Tchad-Cameroun) a mis en évidence que</w:t>
      </w:r>
      <w:r>
        <w:t xml:space="preserve"> </w:t>
      </w:r>
      <w:r>
        <w:rPr>
          <w:b/>
          <w:bCs/>
        </w:rPr>
        <w:t xml:space="preserve">l’instrumentation ER existe déjà</w:t>
      </w:r>
      <w:r>
        <w:t xml:space="preserve"> </w:t>
      </w:r>
      <w:r>
        <w:t xml:space="preserve">chez les opérateurs majeurs comme COTCO, mais que son exploitation reste limitée à un niveau Industrie 3.0. Le besoin opérationnel n’est donc pas la sonde ER en tant que telle, mais bien l’</w:t>
      </w:r>
      <w:r>
        <w:rPr>
          <w:b/>
          <w:bCs/>
        </w:rPr>
        <w:t xml:space="preserve">intelligence applicative</w:t>
      </w:r>
      <w:r>
        <w:t xml:space="preserve"> </w:t>
      </w:r>
      <w:r>
        <w:t xml:space="preserve">— la couche prédictive et la chaîne décision-action — qui caractérise la transition Industrie 4.0. La problématique, les objectifs spécifiques et les questions de recherche ont été formulés en cohérence avec ce besoin. Le</w:t>
      </w:r>
      <w:r>
        <w:t xml:space="preserve"> </w:t>
      </w:r>
      <w:r>
        <w:rPr>
          <w:b/>
          <w:bCs/>
        </w:rPr>
        <w:t xml:space="preserve">Chapitre II</w:t>
      </w:r>
      <w:r>
        <w:t xml:space="preserve"> </w:t>
      </w:r>
      <w:r>
        <w:t xml:space="preserve">présente à présent les outils et la méthodologie retenus pour répondre à ces objectifs, en commençant par une justification des choix technologiques.</w:t>
      </w:r>
    </w:p>
    <w:bookmarkEnd w:id="45"/>
    <w:bookmarkEnd w:id="46"/>
    <w:bookmarkStart w:id="108" w:name="chapitre-ii-outils-et-méthodes"/>
    <w:p>
      <w:pPr>
        <w:pStyle w:val="Heading1"/>
      </w:pPr>
      <w:r>
        <w:t xml:space="preserve">CHAPITRE II : OUTILS ET MÉTHODES</w:t>
      </w:r>
    </w:p>
    <w:p>
      <w:pPr>
        <w:pStyle w:val="FirstParagraph"/>
      </w:pPr>
      <w:r>
        <w:rPr>
          <w:b/>
          <w:bCs/>
        </w:rPr>
        <w:t xml:space="preserve">Sommaire du Chapitre II</w:t>
      </w:r>
    </w:p>
    <w:p>
      <w:pPr>
        <w:pStyle w:val="Compact"/>
        <w:numPr>
          <w:ilvl w:val="0"/>
          <w:numId w:val="1023"/>
        </w:numPr>
      </w:pPr>
      <w:r>
        <w:t xml:space="preserve">II.0. Introduction</w:t>
      </w:r>
    </w:p>
    <w:p>
      <w:pPr>
        <w:pStyle w:val="Compact"/>
        <w:numPr>
          <w:ilvl w:val="0"/>
          <w:numId w:val="1023"/>
        </w:numPr>
      </w:pPr>
      <w:r>
        <w:t xml:space="preserve">II.0.5. Justification des choix technologiques</w:t>
      </w:r>
    </w:p>
    <w:p>
      <w:pPr>
        <w:pStyle w:val="Compact"/>
        <w:numPr>
          <w:ilvl w:val="0"/>
          <w:numId w:val="1023"/>
        </w:numPr>
      </w:pPr>
      <w:r>
        <w:t xml:space="preserve">II.1. Cadre de l’étude</w:t>
      </w:r>
    </w:p>
    <w:p>
      <w:pPr>
        <w:pStyle w:val="Compact"/>
        <w:numPr>
          <w:ilvl w:val="0"/>
          <w:numId w:val="1023"/>
        </w:numPr>
      </w:pPr>
      <w:r>
        <w:t xml:space="preserve">II.2. Présentation du prototype de mesure ER</w:t>
      </w:r>
    </w:p>
    <w:p>
      <w:pPr>
        <w:pStyle w:val="Compact"/>
        <w:numPr>
          <w:ilvl w:val="0"/>
          <w:numId w:val="1023"/>
        </w:numPr>
      </w:pPr>
      <w:r>
        <w:t xml:space="preserve">II.3. Matériels mobilisés</w:t>
      </w:r>
    </w:p>
    <w:p>
      <w:pPr>
        <w:pStyle w:val="Compact"/>
        <w:numPr>
          <w:ilvl w:val="0"/>
          <w:numId w:val="1023"/>
        </w:numPr>
      </w:pPr>
      <w:r>
        <w:t xml:space="preserve">II.4. Méthodes d’acquisition et de traitement des données</w:t>
      </w:r>
    </w:p>
    <w:p>
      <w:pPr>
        <w:pStyle w:val="Compact"/>
        <w:numPr>
          <w:ilvl w:val="0"/>
          <w:numId w:val="1023"/>
        </w:numPr>
      </w:pPr>
      <w:r>
        <w:t xml:space="preserve">II.5. Méthodologie d’entraînement du modèle XGBoost</w:t>
      </w:r>
    </w:p>
    <w:p>
      <w:pPr>
        <w:pStyle w:val="Compact"/>
        <w:numPr>
          <w:ilvl w:val="0"/>
          <w:numId w:val="1023"/>
        </w:numPr>
      </w:pPr>
      <w:r>
        <w:t xml:space="preserve">II.6. Protocole expérimental run-to-failure</w:t>
      </w:r>
    </w:p>
    <w:p>
      <w:pPr>
        <w:pStyle w:val="Compact"/>
        <w:numPr>
          <w:ilvl w:val="0"/>
          <w:numId w:val="1023"/>
        </w:numPr>
      </w:pPr>
      <w:r>
        <w:t xml:space="preserve">II.7. Architecture d’intégration au CMMS open-source par API REST</w:t>
      </w:r>
    </w:p>
    <w:p>
      <w:pPr>
        <w:pStyle w:val="Compact"/>
        <w:numPr>
          <w:ilvl w:val="0"/>
          <w:numId w:val="1023"/>
        </w:numPr>
      </w:pPr>
      <w:r>
        <w:t xml:space="preserve">II.8. Tableau synoptique de la démarche méthodologique</w:t>
      </w:r>
    </w:p>
    <w:p>
      <w:pPr>
        <w:pStyle w:val="Compact"/>
        <w:numPr>
          <w:ilvl w:val="0"/>
          <w:numId w:val="1023"/>
        </w:numPr>
      </w:pPr>
      <w:r>
        <w:t xml:space="preserve">II.9. Conclusion</w:t>
      </w:r>
    </w:p>
    <w:p>
      <w:r>
        <w:pict>
          <v:rect style="width:0;height:1.5pt" o:hralign="center" o:hrstd="t" o:hr="t"/>
        </w:pict>
      </w:r>
    </w:p>
    <w:bookmarkStart w:id="47" w:name="ii.0.-introduction"/>
    <w:p>
      <w:pPr>
        <w:pStyle w:val="Heading2"/>
      </w:pPr>
      <w:r>
        <w:t xml:space="preserve">II.0. Introduction</w:t>
      </w:r>
    </w:p>
    <w:p>
      <w:pPr>
        <w:pStyle w:val="FirstParagraph"/>
      </w:pPr>
      <w:r>
        <w:t xml:space="preserve">Dans ce chapitre, il sera question de présenter (i) la</w:t>
      </w:r>
      <w:r>
        <w:t xml:space="preserve"> </w:t>
      </w:r>
      <w:r>
        <w:rPr>
          <w:b/>
          <w:bCs/>
        </w:rPr>
        <w:t xml:space="preserve">justification des choix technologiques</w:t>
      </w:r>
      <w:r>
        <w:t xml:space="preserve"> </w:t>
      </w:r>
      <w:r>
        <w:t xml:space="preserve">mobilisés à chaque étage du prototype (matrice de décision pour chaque brique : microcontrôleur, amplificateur, capteur de température, méthode de mesure de la corrosion, algorithme ML, méthode de validation, frontend, CMMS), (ii) le cadre institutionnel et physique de l’étude, (iii) l’architecture du prototype de sonde ER développé (description et principe de fonctionnement), (iv) l’ensemble des matériels mobilisés, (v) les méthodes d’acquisition et de traitement des données, (vi) la méthodologie d’entraînement du modèle XGBoost (validation croisée temporelle, hyperparamètres, interprétabilité SHAP), (vii) le protocole expérimental</w:t>
      </w:r>
      <w:r>
        <w:t xml:space="preserve"> </w:t>
      </w:r>
      <w:r>
        <w:rPr>
          <w:i/>
          <w:iCs/>
        </w:rPr>
        <w:t xml:space="preserve">run-to-failure</w:t>
      </w:r>
      <w:r>
        <w:t xml:space="preserve"> </w:t>
      </w:r>
      <w:r>
        <w:t xml:space="preserve">en quatre runs, l’</w:t>
      </w:r>
      <w:r>
        <w:rPr>
          <w:b/>
          <w:bCs/>
        </w:rPr>
        <w:t xml:space="preserve">architecture d’intégration au CMMS open-source par API REST</w:t>
      </w:r>
      <w:r>
        <w:t xml:space="preserve">, et (viii) le tableau synoptique de la démarche méthodologique.</w:t>
      </w:r>
    </w:p>
    <w:p>
      <w:r>
        <w:pict>
          <v:rect style="width:0;height:1.5pt" o:hralign="center" o:hrstd="t" o:hr="t"/>
        </w:pict>
      </w:r>
    </w:p>
    <w:bookmarkEnd w:id="47"/>
    <w:bookmarkStart w:id="57" w:name="X62ea5ddf2e1ede1242e044d64cd8fe90dc891d0"/>
    <w:p>
      <w:pPr>
        <w:pStyle w:val="Heading2"/>
      </w:pPr>
      <w:r>
        <w:t xml:space="preserve">II.0.5. Justification des choix technologiques</w:t>
      </w:r>
    </w:p>
    <w:p>
      <w:pPr>
        <w:pStyle w:val="FirstParagraph"/>
      </w:pPr>
      <w:r>
        <w:t xml:space="preserve">Cette section consolide en un seul endroit les arbitrages techniques qui sous-tendent l’ensemble du prototype, sous forme de matrices de décision. Pour chaque brique, sont précisés (i) les options envisagées, (ii) les critères de comparaison retenus, (iii) le choix retenu et son motif décisif, (iv) la limite acceptée. Les justifications détaillées des paramètres de chaque composant retenu sont reprises dans les sections §II.2 à §II.7 correspondantes.</w:t>
      </w:r>
    </w:p>
    <w:bookmarkStart w:id="48" w:name="ii.0.5.1.-microcontrôleur-esp32"/>
    <w:p>
      <w:pPr>
        <w:pStyle w:val="Heading3"/>
      </w:pPr>
      <w:r>
        <w:t xml:space="preserve">II.0.5.1. Microcontrôleur — ESP32</w:t>
      </w:r>
    </w:p>
    <w:p>
      <w:pPr>
        <w:pStyle w:val="FirstParagraph"/>
      </w:pPr>
      <w:r>
        <w:rPr>
          <w:b/>
          <w:bCs/>
        </w:rPr>
        <w:t xml:space="preserve">Tableau II.0.1 — Comparaison des microcontrôleurs candidats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Microcontrôleur</w:t>
            </w:r>
          </w:p>
        </w:tc>
        <w:tc>
          <w:tcPr/>
          <w:p>
            <w:pPr>
              <w:pStyle w:val="Compact"/>
            </w:pPr>
            <w:r>
              <w:t xml:space="preserve">Coût</w:t>
            </w:r>
          </w:p>
        </w:tc>
        <w:tc>
          <w:tcPr/>
          <w:p>
            <w:pPr>
              <w:pStyle w:val="Compact"/>
            </w:pPr>
            <w:r>
              <w:t xml:space="preserve">Wi-Fi/BLE</w:t>
            </w:r>
          </w:p>
        </w:tc>
        <w:tc>
          <w:tcPr/>
          <w:p>
            <w:pPr>
              <w:pStyle w:val="Compact"/>
            </w:pPr>
            <w:r>
              <w:t xml:space="preserve">Deep sleep (µA)</w:t>
            </w:r>
          </w:p>
        </w:tc>
        <w:tc>
          <w:tcPr/>
          <w:p>
            <w:pPr>
              <w:pStyle w:val="Compact"/>
            </w:pPr>
            <w:r>
              <w:t xml:space="preserve">I/O</w:t>
            </w:r>
          </w:p>
        </w:tc>
        <w:tc>
          <w:tcPr/>
          <w:p>
            <w:pPr>
              <w:pStyle w:val="Compact"/>
            </w:pPr>
            <w:r>
              <w:t xml:space="preserve">Verdict</w:t>
            </w:r>
          </w:p>
        </w:tc>
      </w:tr>
      <w:tr>
        <w:tc>
          <w:tcPr/>
          <w:p>
            <w:pPr>
              <w:pStyle w:val="Compact"/>
            </w:pPr>
            <w:r>
              <w:t xml:space="preserve">Arduino Uno</w:t>
            </w:r>
          </w:p>
        </w:tc>
        <w:tc>
          <w:tcPr/>
          <w:p>
            <w:pPr>
              <w:pStyle w:val="Compact"/>
            </w:pPr>
            <w:r>
              <w:t xml:space="preserve">5 000 FCFA</w:t>
            </w:r>
          </w:p>
        </w:tc>
        <w:tc>
          <w:tcPr/>
          <w:p>
            <w:pPr>
              <w:pStyle w:val="Compact"/>
            </w:pPr>
            <w:r>
              <w:t xml:space="preserve">❌ (modules externes)</w:t>
            </w:r>
          </w:p>
        </w:tc>
        <w:tc>
          <w:tcPr/>
          <w:p>
            <w:pPr>
              <w:pStyle w:val="Compact"/>
            </w:pPr>
            <w:r>
              <w:t xml:space="preserve">~15 mA (dérives)</w:t>
            </w:r>
          </w:p>
        </w:tc>
        <w:tc>
          <w:tcPr/>
          <w:p>
            <w:pPr>
              <w:pStyle w:val="Compact"/>
            </w:pPr>
            <w:r>
              <w:t xml:space="preserve">14 D + 6 A</w:t>
            </w:r>
          </w:p>
        </w:tc>
        <w:tc>
          <w:tcPr/>
          <w:p>
            <w:pPr>
              <w:pStyle w:val="Compact"/>
            </w:pPr>
            <w:r>
              <w:t xml:space="preserve">Insuffisant pour IoT autonome</w:t>
            </w:r>
          </w:p>
        </w:tc>
      </w:tr>
      <w:tr>
        <w:tc>
          <w:tcPr/>
          <w:p>
            <w:pPr>
              <w:pStyle w:val="Compact"/>
            </w:pPr>
            <w:r>
              <w:t xml:space="preserve">Raspberry Pi Zero W</w:t>
            </w:r>
          </w:p>
        </w:tc>
        <w:tc>
          <w:tcPr/>
          <w:p>
            <w:pPr>
              <w:pStyle w:val="Compact"/>
            </w:pPr>
            <w:r>
              <w:t xml:space="preserve">12 000 FCFA</w:t>
            </w:r>
          </w:p>
        </w:tc>
        <w:tc>
          <w:tcPr/>
          <w:p>
            <w:pPr>
              <w:pStyle w:val="Compact"/>
            </w:pPr>
            <w:r>
              <w:t xml:space="preserve">✅</w:t>
            </w:r>
          </w:p>
        </w:tc>
        <w:tc>
          <w:tcPr/>
          <w:p>
            <w:pPr>
              <w:pStyle w:val="Compact"/>
            </w:pPr>
            <w:r>
              <w:t xml:space="preserve">~80 mA</w:t>
            </w:r>
          </w:p>
        </w:tc>
        <w:tc>
          <w:tcPr/>
          <w:p>
            <w:pPr>
              <w:pStyle w:val="Compact"/>
            </w:pPr>
            <w:r>
              <w:t xml:space="preserve">40 GPIO</w:t>
            </w:r>
          </w:p>
        </w:tc>
        <w:tc>
          <w:tcPr/>
          <w:p>
            <w:pPr>
              <w:pStyle w:val="Compact"/>
            </w:pPr>
            <w:r>
              <w:t xml:space="preserve">Surdimensionné, OS Linux complet</w:t>
            </w:r>
          </w:p>
        </w:tc>
      </w:tr>
      <w:tr>
        <w:tc>
          <w:tcPr/>
          <w:p>
            <w:pPr>
              <w:pStyle w:val="Compact"/>
            </w:pPr>
            <w:r>
              <w:rPr>
                <w:b/>
                <w:bCs/>
              </w:rPr>
              <w:t xml:space="preserve">ESP32 (DevKit v1)</w:t>
            </w:r>
          </w:p>
        </w:tc>
        <w:tc>
          <w:tcPr/>
          <w:p>
            <w:pPr>
              <w:pStyle w:val="Compact"/>
            </w:pPr>
            <w:r>
              <w:rPr>
                <w:b/>
                <w:bCs/>
              </w:rPr>
              <w:t xml:space="preserve">6 000 FCFA</w:t>
            </w:r>
          </w:p>
        </w:tc>
        <w:tc>
          <w:tcPr/>
          <w:p>
            <w:pPr>
              <w:pStyle w:val="Compact"/>
            </w:pPr>
            <w:r>
              <w:rPr>
                <w:b/>
                <w:bCs/>
              </w:rPr>
              <w:t xml:space="preserve">✅ Wi-Fi + BLE intégré</w:t>
            </w:r>
          </w:p>
        </w:tc>
        <w:tc>
          <w:tcPr/>
          <w:p>
            <w:pPr>
              <w:pStyle w:val="Compact"/>
            </w:pPr>
            <w:r>
              <w:rPr>
                <w:b/>
                <w:bCs/>
              </w:rPr>
              <w:t xml:space="preserve">~10 µA en deep sleep RTC</w:t>
            </w:r>
          </w:p>
        </w:tc>
        <w:tc>
          <w:tcPr/>
          <w:p>
            <w:pPr>
              <w:pStyle w:val="Compact"/>
            </w:pPr>
            <w:r>
              <w:rPr>
                <w:b/>
                <w:bCs/>
              </w:rPr>
              <w:t xml:space="preserve">34 GPIO</w:t>
            </w:r>
          </w:p>
        </w:tc>
        <w:tc>
          <w:tcPr/>
          <w:p>
            <w:pPr>
              <w:pStyle w:val="Compact"/>
            </w:pPr>
            <w:r>
              <w:rPr>
                <w:b/>
                <w:bCs/>
              </w:rPr>
              <w:t xml:space="preserve">Retenu</w:t>
            </w:r>
          </w:p>
        </w:tc>
      </w:tr>
      <w:tr>
        <w:tc>
          <w:tcPr/>
          <w:p>
            <w:pPr>
              <w:pStyle w:val="Compact"/>
            </w:pPr>
            <w:r>
              <w:t xml:space="preserve">ESP8266</w:t>
            </w:r>
          </w:p>
        </w:tc>
        <w:tc>
          <w:tcPr/>
          <w:p>
            <w:pPr>
              <w:pStyle w:val="Compact"/>
            </w:pPr>
            <w:r>
              <w:t xml:space="preserve">4 000 FCFA</w:t>
            </w:r>
          </w:p>
        </w:tc>
        <w:tc>
          <w:tcPr/>
          <w:p>
            <w:pPr>
              <w:pStyle w:val="Compact"/>
            </w:pPr>
            <w:r>
              <w:t xml:space="preserve">✅ Wi-Fi seul</w:t>
            </w:r>
          </w:p>
        </w:tc>
        <w:tc>
          <w:tcPr/>
          <w:p>
            <w:pPr>
              <w:pStyle w:val="Compact"/>
            </w:pPr>
            <w:r>
              <w:t xml:space="preserve">~20 µA</w:t>
            </w:r>
          </w:p>
        </w:tc>
        <w:tc>
          <w:tcPr/>
          <w:p>
            <w:pPr>
              <w:pStyle w:val="Compact"/>
            </w:pPr>
            <w:r>
              <w:t xml:space="preserve">17 GPIO</w:t>
            </w:r>
          </w:p>
        </w:tc>
        <w:tc>
          <w:tcPr/>
          <w:p>
            <w:pPr>
              <w:pStyle w:val="Compact"/>
            </w:pPr>
            <w:r>
              <w:t xml:space="preserve">Pas de BLE, ADC moins précis</w:t>
            </w:r>
          </w:p>
        </w:tc>
      </w:tr>
    </w:tbl>
    <w:p>
      <w:pPr>
        <w:pStyle w:val="BodyText"/>
      </w:pPr>
      <w:r>
        <w:rPr>
          <w:b/>
          <w:bCs/>
        </w:rPr>
        <w:t xml:space="preserve">Choix retenu : ESP32.</w:t>
      </w:r>
      <w:r>
        <w:t xml:space="preserve"> </w:t>
      </w:r>
      <w:r>
        <w:t xml:space="preserve">Critère décisif : compromis optimal entre Wi-Fi/BLE intégré (suppression du besoin d’un module externe), faible consommation en deep sleep (compatible avec un déploiement sur batterie pendant plusieurs jours), et large communauté pour le firmware Arduino-compatible. Limite acceptée : pas de durcissement industriel ATEX, qui n’est pas un objectif au stade du prototype académique.</w:t>
      </w:r>
    </w:p>
    <w:bookmarkEnd w:id="48"/>
    <w:bookmarkStart w:id="49" w:name="ii.0.5.2.-amplificateur-de-pont-hx711"/>
    <w:p>
      <w:pPr>
        <w:pStyle w:val="Heading3"/>
      </w:pPr>
      <w:r>
        <w:t xml:space="preserve">II.0.5.2. Amplificateur de pont — HX711</w:t>
      </w:r>
    </w:p>
    <w:p>
      <w:pPr>
        <w:pStyle w:val="FirstParagraph"/>
      </w:pPr>
      <w:r>
        <w:rPr>
          <w:b/>
          <w:bCs/>
        </w:rPr>
        <w:t xml:space="preserve">Tableau II.0.2 — Comparaison des amplificateurs de pont de Wheatstone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Amplificateur</w:t>
            </w:r>
          </w:p>
        </w:tc>
        <w:tc>
          <w:tcPr/>
          <w:p>
            <w:pPr>
              <w:pStyle w:val="Compact"/>
            </w:pPr>
            <w:r>
              <w:t xml:space="preserve">Résolution</w:t>
            </w:r>
          </w:p>
        </w:tc>
        <w:tc>
          <w:tcPr/>
          <w:p>
            <w:pPr>
              <w:pStyle w:val="Compact"/>
            </w:pPr>
            <w:r>
              <w:t xml:space="preserve">Disponibilité Cameroun</w:t>
            </w:r>
          </w:p>
        </w:tc>
        <w:tc>
          <w:tcPr/>
          <w:p>
            <w:pPr>
              <w:pStyle w:val="Compact"/>
            </w:pPr>
            <w:r>
              <w:t xml:space="preserve">Librairies</w:t>
            </w:r>
          </w:p>
        </w:tc>
        <w:tc>
          <w:tcPr/>
          <w:p>
            <w:pPr>
              <w:pStyle w:val="Compact"/>
            </w:pPr>
            <w:r>
              <w:t xml:space="preserve">Coût</w:t>
            </w:r>
          </w:p>
        </w:tc>
        <w:tc>
          <w:tcPr/>
          <w:p>
            <w:pPr>
              <w:pStyle w:val="Compact"/>
            </w:pPr>
            <w:r>
              <w:t xml:space="preserve">Verdict</w:t>
            </w:r>
          </w:p>
        </w:tc>
      </w:tr>
      <w:tr>
        <w:tc>
          <w:tcPr/>
          <w:p>
            <w:pPr>
              <w:pStyle w:val="Compact"/>
            </w:pPr>
            <w:r>
              <w:t xml:space="preserve">INA125</w:t>
            </w:r>
          </w:p>
        </w:tc>
        <w:tc>
          <w:tcPr/>
          <w:p>
            <w:pPr>
              <w:pStyle w:val="Compact"/>
            </w:pPr>
            <w:r>
              <w:t xml:space="preserve">12 bits effectifs</w:t>
            </w:r>
          </w:p>
        </w:tc>
        <w:tc>
          <w:tcPr/>
          <w:p>
            <w:pPr>
              <w:pStyle w:val="Compact"/>
            </w:pPr>
            <w:r>
              <w:t xml:space="preserve">Faible</w:t>
            </w:r>
          </w:p>
        </w:tc>
        <w:tc>
          <w:tcPr/>
          <w:p>
            <w:pPr>
              <w:pStyle w:val="Compact"/>
            </w:pPr>
            <w:r>
              <w:t xml:space="preserve">Limitées</w:t>
            </w:r>
          </w:p>
        </w:tc>
        <w:tc>
          <w:tcPr/>
          <w:p>
            <w:pPr>
              <w:pStyle w:val="Compact"/>
            </w:pPr>
            <w:r>
              <w:t xml:space="preserve">8 000 FCFA</w:t>
            </w:r>
          </w:p>
        </w:tc>
        <w:tc>
          <w:tcPr/>
          <w:p>
            <w:pPr>
              <w:pStyle w:val="Compact"/>
            </w:pPr>
            <w:r>
              <w:t xml:space="preserve">Résolution insuffisante</w:t>
            </w:r>
          </w:p>
        </w:tc>
      </w:tr>
      <w:tr>
        <w:tc>
          <w:tcPr/>
          <w:p>
            <w:pPr>
              <w:pStyle w:val="Compact"/>
            </w:pPr>
            <w:r>
              <w:t xml:space="preserve">AD7793</w:t>
            </w:r>
          </w:p>
        </w:tc>
        <w:tc>
          <w:tcPr/>
          <w:p>
            <w:pPr>
              <w:pStyle w:val="Compact"/>
            </w:pPr>
            <w:r>
              <w:t xml:space="preserve">24 bits, faible bruit</w:t>
            </w:r>
          </w:p>
        </w:tc>
        <w:tc>
          <w:tcPr/>
          <w:p>
            <w:pPr>
              <w:pStyle w:val="Compact"/>
            </w:pPr>
            <w:r>
              <w:t xml:space="preserve">Très faible (import)</w:t>
            </w:r>
          </w:p>
        </w:tc>
        <w:tc>
          <w:tcPr/>
          <w:p>
            <w:pPr>
              <w:pStyle w:val="Compact"/>
            </w:pPr>
            <w:r>
              <w:t xml:space="preserve">Moyennes</w:t>
            </w:r>
          </w:p>
        </w:tc>
        <w:tc>
          <w:tcPr/>
          <w:p>
            <w:pPr>
              <w:pStyle w:val="Compact"/>
            </w:pPr>
            <w:r>
              <w:t xml:space="preserve">25 000 FCFA</w:t>
            </w:r>
          </w:p>
        </w:tc>
        <w:tc>
          <w:tcPr/>
          <w:p>
            <w:pPr>
              <w:pStyle w:val="Compact"/>
            </w:pPr>
            <w:r>
              <w:t xml:space="preserve">Excellent mais coût + dispo</w:t>
            </w:r>
          </w:p>
        </w:tc>
      </w:tr>
      <w:tr>
        <w:tc>
          <w:tcPr/>
          <w:p>
            <w:pPr>
              <w:pStyle w:val="Compact"/>
            </w:pPr>
            <w:r>
              <w:rPr>
                <w:b/>
                <w:bCs/>
              </w:rPr>
              <w:t xml:space="preserve">HX711</w:t>
            </w:r>
          </w:p>
        </w:tc>
        <w:tc>
          <w:tcPr/>
          <w:p>
            <w:pPr>
              <w:pStyle w:val="Compact"/>
            </w:pPr>
            <w:r>
              <w:rPr>
                <w:b/>
                <w:bCs/>
              </w:rPr>
              <w:t xml:space="preserve">24 bits, gain 128</w:t>
            </w:r>
          </w:p>
        </w:tc>
        <w:tc>
          <w:tcPr/>
          <w:p>
            <w:pPr>
              <w:pStyle w:val="Compact"/>
            </w:pPr>
            <w:r>
              <w:rPr>
                <w:b/>
                <w:bCs/>
              </w:rPr>
              <w:t xml:space="preserve">Élevée (modules ready-made)</w:t>
            </w:r>
          </w:p>
        </w:tc>
        <w:tc>
          <w:tcPr/>
          <w:p>
            <w:pPr>
              <w:pStyle w:val="Compact"/>
            </w:pPr>
            <w:r>
              <w:rPr>
                <w:b/>
                <w:bCs/>
              </w:rPr>
              <w:t xml:space="preserve">Très matures (Arduino, ESP32)</w:t>
            </w:r>
          </w:p>
        </w:tc>
        <w:tc>
          <w:tcPr/>
          <w:p>
            <w:pPr>
              <w:pStyle w:val="Compact"/>
            </w:pPr>
            <w:r>
              <w:rPr>
                <w:b/>
                <w:bCs/>
              </w:rPr>
              <w:t xml:space="preserve">2 500 FCFA</w:t>
            </w:r>
          </w:p>
        </w:tc>
        <w:tc>
          <w:tcPr/>
          <w:p>
            <w:pPr>
              <w:pStyle w:val="Compact"/>
            </w:pPr>
            <w:r>
              <w:rPr>
                <w:b/>
                <w:bCs/>
              </w:rPr>
              <w:t xml:space="preserve">Retenu</w:t>
            </w:r>
          </w:p>
        </w:tc>
      </w:tr>
    </w:tbl>
    <w:p>
      <w:pPr>
        <w:pStyle w:val="BodyText"/>
      </w:pPr>
      <w:r>
        <w:rPr>
          <w:b/>
          <w:bCs/>
        </w:rPr>
        <w:t xml:space="preserve">Choix retenu : HX711.</w:t>
      </w:r>
      <w:r>
        <w:t xml:space="preserve"> </w:t>
      </w:r>
      <w:r>
        <w:t xml:space="preserve">Critère décisif : 24 bits de résolution effective sur sortie pont à très faible amplitude (Vdiff ~ mV), couplés à une excellente disponibilité locale (modules pré-câblés vendus en kit) et une intégration logicielle triviale. Limite acceptée : taux d’échantillonnage maximum 80 Hz (largement suffisant pour la corrosion lente, à période 10 min).</w:t>
      </w:r>
    </w:p>
    <w:bookmarkEnd w:id="49"/>
    <w:bookmarkStart w:id="50" w:name="ii.0.5.3.-capteur-de-température-ds18b20"/>
    <w:p>
      <w:pPr>
        <w:pStyle w:val="Heading3"/>
      </w:pPr>
      <w:r>
        <w:t xml:space="preserve">II.0.5.3. Capteur de température — DS18B20</w:t>
      </w:r>
    </w:p>
    <w:p>
      <w:pPr>
        <w:pStyle w:val="FirstParagraph"/>
      </w:pPr>
      <w:r>
        <w:rPr>
          <w:b/>
          <w:bCs/>
        </w:rPr>
        <w:t xml:space="preserve">Tableau II.0.3 — Comparaison des capteurs de température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Capteur</w:t>
            </w:r>
          </w:p>
        </w:tc>
        <w:tc>
          <w:tcPr/>
          <w:p>
            <w:pPr>
              <w:pStyle w:val="Compact"/>
            </w:pPr>
            <w:r>
              <w:t xml:space="preserve">Précision</w:t>
            </w:r>
          </w:p>
        </w:tc>
        <w:tc>
          <w:tcPr/>
          <w:p>
            <w:pPr>
              <w:pStyle w:val="Compact"/>
            </w:pPr>
            <w:r>
              <w:t xml:space="preserve">Interface</w:t>
            </w:r>
          </w:p>
        </w:tc>
        <w:tc>
          <w:tcPr/>
          <w:p>
            <w:pPr>
              <w:pStyle w:val="Compact"/>
            </w:pPr>
            <w:r>
              <w:t xml:space="preserve">Étanchéité</w:t>
            </w:r>
          </w:p>
        </w:tc>
        <w:tc>
          <w:tcPr/>
          <w:p>
            <w:pPr>
              <w:pStyle w:val="Compact"/>
            </w:pPr>
            <w:r>
              <w:t xml:space="preserve">Verdict</w:t>
            </w:r>
          </w:p>
        </w:tc>
      </w:tr>
      <w:tr>
        <w:tc>
          <w:tcPr/>
          <w:p>
            <w:pPr>
              <w:pStyle w:val="Compact"/>
            </w:pPr>
            <w:r>
              <w:t xml:space="preserve">LM35</w:t>
            </w:r>
          </w:p>
        </w:tc>
        <w:tc>
          <w:tcPr/>
          <w:p>
            <w:pPr>
              <w:pStyle w:val="Compact"/>
            </w:pPr>
            <w:r>
              <w:t xml:space="preserve">±0,5 °C analogique</w:t>
            </w:r>
          </w:p>
        </w:tc>
        <w:tc>
          <w:tcPr/>
          <w:p>
            <w:pPr>
              <w:pStyle w:val="Compact"/>
            </w:pPr>
            <w:r>
              <w:t xml:space="preserve">Analogique</w:t>
            </w:r>
          </w:p>
        </w:tc>
        <w:tc>
          <w:tcPr/>
          <w:p>
            <w:pPr>
              <w:pStyle w:val="Compact"/>
            </w:pPr>
            <w:r>
              <w:t xml:space="preserve">Non étanche</w:t>
            </w:r>
          </w:p>
        </w:tc>
        <w:tc>
          <w:tcPr/>
          <w:p>
            <w:pPr>
              <w:pStyle w:val="Compact"/>
            </w:pPr>
            <w:r>
              <w:t xml:space="preserve">Convertisseur ADC requis, pas étanche pour milieu acide</w:t>
            </w:r>
          </w:p>
        </w:tc>
      </w:tr>
      <w:tr>
        <w:tc>
          <w:tcPr/>
          <w:p>
            <w:pPr>
              <w:pStyle w:val="Compact"/>
            </w:pPr>
            <w:r>
              <w:t xml:space="preserve">Pt100</w:t>
            </w:r>
          </w:p>
        </w:tc>
        <w:tc>
          <w:tcPr/>
          <w:p>
            <w:pPr>
              <w:pStyle w:val="Compact"/>
            </w:pPr>
            <w:r>
              <w:t xml:space="preserve">±0,1 °C</w:t>
            </w:r>
          </w:p>
        </w:tc>
        <w:tc>
          <w:tcPr/>
          <w:p>
            <w:pPr>
              <w:pStyle w:val="Compact"/>
            </w:pPr>
            <w:r>
              <w:t xml:space="preserve">Analogique 4 fils</w:t>
            </w:r>
          </w:p>
        </w:tc>
        <w:tc>
          <w:tcPr/>
          <w:p>
            <w:pPr>
              <w:pStyle w:val="Compact"/>
            </w:pPr>
            <w:r>
              <w:t xml:space="preserve">Selon montage</w:t>
            </w:r>
          </w:p>
        </w:tc>
        <w:tc>
          <w:tcPr/>
          <w:p>
            <w:pPr>
              <w:pStyle w:val="Compact"/>
            </w:pPr>
            <w:r>
              <w:t xml:space="preserve">Précision excellente mais conditionnement complexe</w:t>
            </w:r>
          </w:p>
        </w:tc>
      </w:tr>
      <w:tr>
        <w:tc>
          <w:tcPr/>
          <w:p>
            <w:pPr>
              <w:pStyle w:val="Compact"/>
            </w:pPr>
            <w:r>
              <w:rPr>
                <w:b/>
                <w:bCs/>
              </w:rPr>
              <w:t xml:space="preserve">DS18B20</w:t>
            </w:r>
          </w:p>
        </w:tc>
        <w:tc>
          <w:tcPr/>
          <w:p>
            <w:pPr>
              <w:pStyle w:val="Compact"/>
            </w:pPr>
            <w:r>
              <w:rPr>
                <w:b/>
                <w:bCs/>
              </w:rPr>
              <w:t xml:space="preserve">±0,5 °C</w:t>
            </w:r>
          </w:p>
        </w:tc>
        <w:tc>
          <w:tcPr/>
          <w:p>
            <w:pPr>
              <w:pStyle w:val="Compact"/>
            </w:pPr>
            <w:r>
              <w:rPr>
                <w:b/>
                <w:bCs/>
              </w:rPr>
              <w:t xml:space="preserve">1-Wire numérique</w:t>
            </w:r>
          </w:p>
        </w:tc>
        <w:tc>
          <w:tcPr/>
          <w:p>
            <w:pPr>
              <w:pStyle w:val="Compact"/>
            </w:pPr>
            <w:r>
              <w:rPr>
                <w:b/>
                <w:bCs/>
              </w:rPr>
              <w:t xml:space="preserve">Sondes étanches disponibles</w:t>
            </w:r>
          </w:p>
        </w:tc>
        <w:tc>
          <w:tcPr/>
          <w:p>
            <w:pPr>
              <w:pStyle w:val="Compact"/>
            </w:pPr>
            <w:r>
              <w:rPr>
                <w:b/>
                <w:bCs/>
              </w:rPr>
              <w:t xml:space="preserve">Retenu</w:t>
            </w:r>
          </w:p>
        </w:tc>
      </w:tr>
    </w:tbl>
    <w:p>
      <w:pPr>
        <w:pStyle w:val="BodyText"/>
      </w:pPr>
      <w:r>
        <w:rPr>
          <w:b/>
          <w:bCs/>
        </w:rPr>
        <w:t xml:space="preserve">Choix retenu : DS18B20.</w:t>
      </w:r>
      <w:r>
        <w:t xml:space="preserve"> </w:t>
      </w:r>
      <w:r>
        <w:t xml:space="preserve">Critère décisif : interface numérique 1-Wire (1 seul GPIO, pas de bruit analogique), précision suffisante pour la compensation thermique (α_Fe = 6,5×10⁻³ °C⁻¹ × ±0,5 °C ≈ ±0,3 % de correction), et disponibilité de versions étanches en gaine inox.</w:t>
      </w:r>
    </w:p>
    <w:bookmarkEnd w:id="50"/>
    <w:bookmarkStart w:id="51" w:name="X03dcf17e624550adf1414794a19a49d2f4aa72b"/>
    <w:p>
      <w:pPr>
        <w:pStyle w:val="Heading3"/>
      </w:pPr>
      <w:r>
        <w:t xml:space="preserve">II.0.5.4. Méthode de mesure de la corrosion — Sonde ER</w:t>
      </w:r>
    </w:p>
    <w:p>
      <w:pPr>
        <w:pStyle w:val="FirstParagraph"/>
      </w:pPr>
      <w:r>
        <w:rPr>
          <w:b/>
          <w:bCs/>
        </w:rPr>
        <w:t xml:space="preserve">Tableau II.0.4 — Comparaison des méthodes de mesure de la corrosion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Méthode</w:t>
            </w:r>
          </w:p>
        </w:tc>
        <w:tc>
          <w:tcPr/>
          <w:p>
            <w:pPr>
              <w:pStyle w:val="Compact"/>
            </w:pPr>
            <w:r>
              <w:t xml:space="preserve">Continu</w:t>
            </w:r>
          </w:p>
        </w:tc>
        <w:tc>
          <w:tcPr/>
          <w:p>
            <w:pPr>
              <w:pStyle w:val="Compact"/>
            </w:pPr>
            <w:r>
              <w:t xml:space="preserve">Sans contact électrolyte direct</w:t>
            </w:r>
          </w:p>
        </w:tc>
        <w:tc>
          <w:tcPr/>
          <w:p>
            <w:pPr>
              <w:pStyle w:val="Compact"/>
            </w:pPr>
            <w:r>
              <w:t xml:space="preserve">Conformité ASTM</w:t>
            </w:r>
          </w:p>
        </w:tc>
        <w:tc>
          <w:tcPr/>
          <w:p>
            <w:pPr>
              <w:pStyle w:val="Compact"/>
            </w:pPr>
            <w:r>
              <w:t xml:space="preserve">Coût matériel</w:t>
            </w:r>
          </w:p>
        </w:tc>
        <w:tc>
          <w:tcPr/>
          <w:p>
            <w:pPr>
              <w:pStyle w:val="Compact"/>
            </w:pPr>
            <w:r>
              <w:t xml:space="preserve">Verdict</w:t>
            </w:r>
          </w:p>
        </w:tc>
      </w:tr>
      <w:tr>
        <w:tc>
          <w:tcPr/>
          <w:p>
            <w:pPr>
              <w:pStyle w:val="Compact"/>
            </w:pPr>
            <w:r>
              <w:t xml:space="preserve">Coupon gravimétrique</w:t>
            </w:r>
          </w:p>
        </w:tc>
        <w:tc>
          <w:tcPr/>
          <w:p>
            <w:pPr>
              <w:pStyle w:val="Compact"/>
            </w:pPr>
            <w:r>
              <w:t xml:space="preserve">❌ (post-mortem)</w:t>
            </w:r>
          </w:p>
        </w:tc>
        <w:tc>
          <w:tcPr/>
          <w:p>
            <w:pPr>
              <w:pStyle w:val="Compact"/>
            </w:pPr>
            <w:r>
              <w:t xml:space="preserve">✅</w:t>
            </w:r>
          </w:p>
        </w:tc>
        <w:tc>
          <w:tcPr/>
          <w:p>
            <w:pPr>
              <w:pStyle w:val="Compact"/>
            </w:pPr>
            <w:r>
              <w:t xml:space="preserve">NACE SP0775</w:t>
            </w:r>
          </w:p>
        </w:tc>
        <w:tc>
          <w:tcPr/>
          <w:p>
            <w:pPr>
              <w:pStyle w:val="Compact"/>
            </w:pPr>
            <w:r>
              <w:t xml:space="preserve">Faible</w:t>
            </w:r>
          </w:p>
        </w:tc>
        <w:tc>
          <w:tcPr/>
          <w:p>
            <w:pPr>
              <w:pStyle w:val="Compact"/>
            </w:pPr>
            <w:r>
              <w:t xml:space="preserve">Validation indépendante uniquement</w:t>
            </w:r>
          </w:p>
        </w:tc>
      </w:tr>
      <w:tr>
        <w:tc>
          <w:tcPr/>
          <w:p>
            <w:pPr>
              <w:pStyle w:val="Compact"/>
            </w:pPr>
            <w:r>
              <w:t xml:space="preserve">LPR (Linear Polarization Resistance)</w:t>
            </w:r>
          </w:p>
        </w:tc>
        <w:tc>
          <w:tcPr/>
          <w:p>
            <w:pPr>
              <w:pStyle w:val="Compact"/>
            </w:pPr>
            <w:r>
              <w:t xml:space="preserve">✅</w:t>
            </w:r>
          </w:p>
        </w:tc>
        <w:tc>
          <w:tcPr/>
          <w:p>
            <w:pPr>
              <w:pStyle w:val="Compact"/>
            </w:pPr>
            <w:r>
              <w:t xml:space="preserve">❌ (3 électrodes en contact)</w:t>
            </w:r>
          </w:p>
        </w:tc>
        <w:tc>
          <w:tcPr/>
          <w:p>
            <w:pPr>
              <w:pStyle w:val="Compact"/>
            </w:pPr>
            <w:r>
              <w:t xml:space="preserve">ASTM G59, G102</w:t>
            </w:r>
          </w:p>
        </w:tc>
        <w:tc>
          <w:tcPr/>
          <w:p>
            <w:pPr>
              <w:pStyle w:val="Compact"/>
            </w:pPr>
            <w:r>
              <w:t xml:space="preserve">Élevé (potentiostat)</w:t>
            </w:r>
          </w:p>
        </w:tc>
        <w:tc>
          <w:tcPr/>
          <w:p>
            <w:pPr>
              <w:pStyle w:val="Compact"/>
            </w:pPr>
            <w:r>
              <w:t xml:space="preserve">Risque de polluer le milieu, instrumentation chère</w:t>
            </w:r>
          </w:p>
        </w:tc>
      </w:tr>
      <w:tr>
        <w:tc>
          <w:tcPr/>
          <w:p>
            <w:pPr>
              <w:pStyle w:val="Compact"/>
            </w:pPr>
            <w:r>
              <w:rPr>
                <w:b/>
                <w:bCs/>
              </w:rPr>
              <w:t xml:space="preserve">ER (Electrical Resistance)</w:t>
            </w:r>
          </w:p>
        </w:tc>
        <w:tc>
          <w:tcPr/>
          <w:p>
            <w:pPr>
              <w:pStyle w:val="Compact"/>
            </w:pPr>
            <w:r>
              <w:rPr>
                <w:b/>
                <w:bCs/>
              </w:rPr>
              <w:t xml:space="preserve">✅</w:t>
            </w:r>
          </w:p>
        </w:tc>
        <w:tc>
          <w:tcPr/>
          <w:p>
            <w:pPr>
              <w:pStyle w:val="Compact"/>
            </w:pPr>
            <w:r>
              <w:rPr>
                <w:b/>
                <w:bCs/>
              </w:rPr>
              <w:t xml:space="preserve">✅ (élément métallique simple)</w:t>
            </w:r>
          </w:p>
        </w:tc>
        <w:tc>
          <w:tcPr/>
          <w:p>
            <w:pPr>
              <w:pStyle w:val="Compact"/>
            </w:pPr>
            <w:r>
              <w:rPr>
                <w:b/>
                <w:bCs/>
              </w:rPr>
              <w:t xml:space="preserve">ASTM G96</w:t>
            </w:r>
          </w:p>
        </w:tc>
        <w:tc>
          <w:tcPr/>
          <w:p>
            <w:pPr>
              <w:pStyle w:val="Compact"/>
            </w:pPr>
            <w:r>
              <w:rPr>
                <w:b/>
                <w:bCs/>
              </w:rPr>
              <w:t xml:space="preserve">Faible</w:t>
            </w:r>
          </w:p>
        </w:tc>
        <w:tc>
          <w:tcPr/>
          <w:p>
            <w:pPr>
              <w:pStyle w:val="Compact"/>
            </w:pPr>
            <w:r>
              <w:rPr>
                <w:b/>
                <w:bCs/>
              </w:rPr>
              <w:t xml:space="preserve">Retenu</w:t>
            </w:r>
          </w:p>
        </w:tc>
      </w:tr>
      <w:tr>
        <w:tc>
          <w:tcPr/>
          <w:p>
            <w:pPr>
              <w:pStyle w:val="Compact"/>
            </w:pPr>
            <w:r>
              <w:t xml:space="preserve">Impédance EIS</w:t>
            </w:r>
          </w:p>
        </w:tc>
        <w:tc>
          <w:tcPr/>
          <w:p>
            <w:pPr>
              <w:pStyle w:val="Compact"/>
            </w:pPr>
            <w:r>
              <w:t xml:space="preserve">✅</w:t>
            </w:r>
          </w:p>
        </w:tc>
        <w:tc>
          <w:tcPr/>
          <w:p>
            <w:pPr>
              <w:pStyle w:val="Compact"/>
            </w:pPr>
            <w:r>
              <w:t xml:space="preserve">❌ (3 électrodes)</w:t>
            </w:r>
          </w:p>
        </w:tc>
        <w:tc>
          <w:tcPr/>
          <w:p>
            <w:pPr>
              <w:pStyle w:val="Compact"/>
            </w:pPr>
            <w:r>
              <w:t xml:space="preserve">ASTM G106</w:t>
            </w:r>
          </w:p>
        </w:tc>
        <w:tc>
          <w:tcPr/>
          <w:p>
            <w:pPr>
              <w:pStyle w:val="Compact"/>
            </w:pPr>
            <w:r>
              <w:t xml:space="preserve">Très élevé</w:t>
            </w:r>
          </w:p>
        </w:tc>
        <w:tc>
          <w:tcPr/>
          <w:p>
            <w:pPr>
              <w:pStyle w:val="Compact"/>
            </w:pPr>
            <w:r>
              <w:t xml:space="preserve">Non transposable terrain à coût raisonnable</w:t>
            </w:r>
          </w:p>
        </w:tc>
      </w:tr>
    </w:tbl>
    <w:p>
      <w:pPr>
        <w:pStyle w:val="BodyText"/>
      </w:pPr>
      <w:r>
        <w:rPr>
          <w:b/>
          <w:bCs/>
        </w:rPr>
        <w:t xml:space="preserve">Choix retenu : ER.</w:t>
      </w:r>
      <w:r>
        <w:t xml:space="preserve"> </w:t>
      </w:r>
      <w:r>
        <w:t xml:space="preserve">Critère décisif : mesure continue sans contact des électrodes avec l’électrolyte, conformité ASTM G96, simplicité de fabrication d’une sonde maison (fil de fer + pont de Wheatstone), et compatibilité avec la transposition aux sondes ER commerciales déjà en place chez COTCO. Limite acceptée : mesure de corrosion généralisée uniquement (la corrosion par piqûres locale n’est pas correctement détectée par ER seule — combinaison avec UT recommandée pour le pipeline réel).</w:t>
      </w:r>
    </w:p>
    <w:bookmarkEnd w:id="51"/>
    <w:bookmarkStart w:id="52" w:name="X1b71251896b9416580651ed2d3fc387a171cf10"/>
    <w:p>
      <w:pPr>
        <w:pStyle w:val="Heading3"/>
      </w:pPr>
      <w:r>
        <w:t xml:space="preserve">II.0.5.5. Algorithme de prédiction — XGBoost</w:t>
      </w:r>
    </w:p>
    <w:p>
      <w:pPr>
        <w:pStyle w:val="FirstParagraph"/>
      </w:pPr>
      <w:r>
        <w:rPr>
          <w:b/>
          <w:bCs/>
        </w:rPr>
        <w:t xml:space="preserve">Tableau II.0.5 — Comparaison des algorithmes ML candidats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Algorithme</w:t>
            </w:r>
          </w:p>
        </w:tc>
        <w:tc>
          <w:tcPr/>
          <w:p>
            <w:pPr>
              <w:pStyle w:val="Compact"/>
            </w:pPr>
            <w:r>
              <w:t xml:space="preserve">Volume de données requis</w:t>
            </w:r>
          </w:p>
        </w:tc>
        <w:tc>
          <w:tcPr/>
          <w:p>
            <w:pPr>
              <w:pStyle w:val="Compact"/>
            </w:pPr>
            <w:r>
              <w:t xml:space="preserve">Performance time-series</w:t>
            </w:r>
          </w:p>
        </w:tc>
        <w:tc>
          <w:tcPr/>
          <w:p>
            <w:pPr>
              <w:pStyle w:val="Compact"/>
            </w:pPr>
            <w:r>
              <w:t xml:space="preserve">Interprétabilité</w:t>
            </w:r>
          </w:p>
        </w:tc>
        <w:tc>
          <w:tcPr/>
          <w:p>
            <w:pPr>
              <w:pStyle w:val="Compact"/>
            </w:pPr>
            <w:r>
              <w:t xml:space="preserve">Verdict</w:t>
            </w:r>
          </w:p>
        </w:tc>
      </w:tr>
      <w:tr>
        <w:tc>
          <w:tcPr/>
          <w:p>
            <w:pPr>
              <w:pStyle w:val="Compact"/>
            </w:pPr>
            <w:r>
              <w:t xml:space="preserve">Régression linéaire</w:t>
            </w:r>
          </w:p>
        </w:tc>
        <w:tc>
          <w:tcPr/>
          <w:p>
            <w:pPr>
              <w:pStyle w:val="Compact"/>
            </w:pPr>
            <w:r>
              <w:t xml:space="preserve">Faible</w:t>
            </w:r>
          </w:p>
        </w:tc>
        <w:tc>
          <w:tcPr/>
          <w:p>
            <w:pPr>
              <w:pStyle w:val="Compact"/>
            </w:pPr>
            <w:r>
              <w:t xml:space="preserve">Médiocre (non-linéarités absentes)</w:t>
            </w:r>
          </w:p>
        </w:tc>
        <w:tc>
          <w:tcPr/>
          <w:p>
            <w:pPr>
              <w:pStyle w:val="Compact"/>
            </w:pPr>
            <w:r>
              <w:t xml:space="preserve">Triviale</w:t>
            </w:r>
          </w:p>
        </w:tc>
        <w:tc>
          <w:tcPr/>
          <w:p>
            <w:pPr>
              <w:pStyle w:val="Compact"/>
            </w:pPr>
            <w:r>
              <w:t xml:space="preserve">Insuffisant pour cinétique multi-mécanismes</w:t>
            </w:r>
          </w:p>
        </w:tc>
      </w:tr>
      <w:tr>
        <w:tc>
          <w:tcPr/>
          <w:p>
            <w:pPr>
              <w:pStyle w:val="Compact"/>
            </w:pPr>
            <w:r>
              <w:t xml:space="preserve">Random Forest</w:t>
            </w:r>
          </w:p>
        </w:tc>
        <w:tc>
          <w:tcPr/>
          <w:p>
            <w:pPr>
              <w:pStyle w:val="Compact"/>
            </w:pPr>
            <w:r>
              <w:t xml:space="preserve">Moyen</w:t>
            </w:r>
          </w:p>
        </w:tc>
        <w:tc>
          <w:tcPr/>
          <w:p>
            <w:pPr>
              <w:pStyle w:val="Compact"/>
            </w:pPr>
            <w:r>
              <w:t xml:space="preserve">Bonne</w:t>
            </w:r>
          </w:p>
        </w:tc>
        <w:tc>
          <w:tcPr/>
          <w:p>
            <w:pPr>
              <w:pStyle w:val="Compact"/>
            </w:pPr>
            <w:r>
              <w:t xml:space="preserve">Moyenne (importance variables)</w:t>
            </w:r>
          </w:p>
        </w:tc>
        <w:tc>
          <w:tcPr/>
          <w:p>
            <w:pPr>
              <w:pStyle w:val="Compact"/>
            </w:pPr>
            <w:r>
              <w:t xml:space="preserve">Bon baseline mais sous-XGBoost en time-series</w:t>
            </w:r>
          </w:p>
        </w:tc>
      </w:tr>
      <w:tr>
        <w:tc>
          <w:tcPr/>
          <w:p>
            <w:pPr>
              <w:pStyle w:val="Compact"/>
            </w:pPr>
            <w:r>
              <w:rPr>
                <w:b/>
                <w:bCs/>
              </w:rPr>
              <w:t xml:space="preserve">XGBoost</w:t>
            </w:r>
          </w:p>
        </w:tc>
        <w:tc>
          <w:tcPr/>
          <w:p>
            <w:pPr>
              <w:pStyle w:val="Compact"/>
            </w:pPr>
            <w:r>
              <w:rPr>
                <w:b/>
                <w:bCs/>
              </w:rPr>
              <w:t xml:space="preserve">Faible à moyen</w:t>
            </w:r>
          </w:p>
        </w:tc>
        <w:tc>
          <w:tcPr/>
          <w:p>
            <w:pPr>
              <w:pStyle w:val="Compact"/>
            </w:pPr>
            <w:r>
              <w:rPr>
                <w:b/>
                <w:bCs/>
              </w:rPr>
              <w:t xml:space="preserve">Excellente (gradient boosting régularisé)</w:t>
            </w:r>
          </w:p>
        </w:tc>
        <w:tc>
          <w:tcPr/>
          <w:p>
            <w:pPr>
              <w:pStyle w:val="Compact"/>
            </w:pPr>
            <w:r>
              <w:rPr>
                <w:b/>
                <w:bCs/>
              </w:rPr>
              <w:t xml:space="preserve">Excellente avec SHAP</w:t>
            </w:r>
          </w:p>
        </w:tc>
        <w:tc>
          <w:tcPr/>
          <w:p>
            <w:pPr>
              <w:pStyle w:val="Compact"/>
            </w:pPr>
            <w:r>
              <w:rPr>
                <w:b/>
                <w:bCs/>
              </w:rPr>
              <w:t xml:space="preserve">Retenu</w:t>
            </w:r>
          </w:p>
        </w:tc>
      </w:tr>
      <w:tr>
        <w:tc>
          <w:tcPr/>
          <w:p>
            <w:pPr>
              <w:pStyle w:val="Compact"/>
            </w:pPr>
            <w:r>
              <w:t xml:space="preserve">LSTM</w:t>
            </w:r>
          </w:p>
        </w:tc>
        <w:tc>
          <w:tcPr/>
          <w:p>
            <w:pPr>
              <w:pStyle w:val="Compact"/>
            </w:pPr>
            <w:r>
              <w:t xml:space="preserve">Élevé (&gt;1000 séquences)</w:t>
            </w:r>
          </w:p>
        </w:tc>
        <w:tc>
          <w:tcPr/>
          <w:p>
            <w:pPr>
              <w:pStyle w:val="Compact"/>
            </w:pPr>
            <w:r>
              <w:t xml:space="preserve">Excellente</w:t>
            </w:r>
          </w:p>
        </w:tc>
        <w:tc>
          <w:tcPr/>
          <w:p>
            <w:pPr>
              <w:pStyle w:val="Compact"/>
            </w:pPr>
            <w:r>
              <w:t xml:space="preserve">Faible (boîte noire)</w:t>
            </w:r>
          </w:p>
        </w:tc>
        <w:tc>
          <w:tcPr/>
          <w:p>
            <w:pPr>
              <w:pStyle w:val="Compact"/>
            </w:pPr>
            <w:r>
              <w:t xml:space="preserve">Volume de données insuffisant ici</w:t>
            </w:r>
          </w:p>
        </w:tc>
      </w:tr>
      <w:tr>
        <w:tc>
          <w:tcPr/>
          <w:p>
            <w:pPr>
              <w:pStyle w:val="Compact"/>
            </w:pPr>
            <w:r>
              <w:t xml:space="preserve">Transformer temporel</w:t>
            </w:r>
          </w:p>
        </w:tc>
        <w:tc>
          <w:tcPr/>
          <w:p>
            <w:pPr>
              <w:pStyle w:val="Compact"/>
            </w:pPr>
            <w:r>
              <w:t xml:space="preserve">Très élevé</w:t>
            </w:r>
          </w:p>
        </w:tc>
        <w:tc>
          <w:tcPr/>
          <w:p>
            <w:pPr>
              <w:pStyle w:val="Compact"/>
            </w:pPr>
            <w:r>
              <w:t xml:space="preserve">Excellente</w:t>
            </w:r>
          </w:p>
        </w:tc>
        <w:tc>
          <w:tcPr/>
          <w:p>
            <w:pPr>
              <w:pStyle w:val="Compact"/>
            </w:pPr>
            <w:r>
              <w:t xml:space="preserve">Faible</w:t>
            </w:r>
          </w:p>
        </w:tc>
        <w:tc>
          <w:tcPr/>
          <w:p>
            <w:pPr>
              <w:pStyle w:val="Compact"/>
            </w:pPr>
            <w:r>
              <w:t xml:space="preserve">Surdimensionné pour 4 runs RTF</w:t>
            </w:r>
          </w:p>
        </w:tc>
      </w:tr>
    </w:tbl>
    <w:p>
      <w:pPr>
        <w:pStyle w:val="BodyText"/>
      </w:pPr>
      <w:r>
        <w:rPr>
          <w:b/>
          <w:bCs/>
        </w:rPr>
        <w:t xml:space="preserve">Choix retenu : XGBoost.</w:t>
      </w:r>
      <w:r>
        <w:t xml:space="preserve"> </w:t>
      </w:r>
      <w:r>
        <w:t xml:space="preserve">Critère décisif : performance reconnue en time-series sur faibles volumes (Chen et Guestrin, 2016 ; Ma et al., 2021 ; Wei et al., 2024), interprétabilité native par SHAP (Lundberg et Lee, 2017), régularisation L1/L2 limitant le sur-apprentissage. Limite acceptée : architecture point-par-point (pas de mémoire séquentielle native comme LSTM) — compensée par feature engineering temporel explicite (EMA, pente locale, lag).</w:t>
      </w:r>
    </w:p>
    <w:bookmarkEnd w:id="52"/>
    <w:bookmarkStart w:id="53" w:name="X32a640c17ebbd8d896435068f1e9ec227be26c3"/>
    <w:p>
      <w:pPr>
        <w:pStyle w:val="Heading3"/>
      </w:pPr>
      <w:r>
        <w:t xml:space="preserve">II.0.5.6. Méthode de validation croisée — TimeSeriesSplit</w:t>
      </w:r>
    </w:p>
    <w:p>
      <w:pPr>
        <w:pStyle w:val="FirstParagraph"/>
      </w:pPr>
      <w:r>
        <w:rPr>
          <w:b/>
          <w:bCs/>
        </w:rPr>
        <w:t xml:space="preserve">Tableau II.0.6 — Comparaison des méthodes de validation croisée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Méthode</w:t>
            </w:r>
          </w:p>
        </w:tc>
        <w:tc>
          <w:tcPr/>
          <w:p>
            <w:pPr>
              <w:pStyle w:val="Compact"/>
            </w:pPr>
            <w:r>
              <w:t xml:space="preserve">Causalité respectée</w:t>
            </w:r>
          </w:p>
        </w:tc>
        <w:tc>
          <w:tcPr/>
          <w:p>
            <w:pPr>
              <w:pStyle w:val="Compact"/>
            </w:pPr>
            <w:r>
              <w:t xml:space="preserve">Risque de fuite future→passé</w:t>
            </w:r>
          </w:p>
        </w:tc>
        <w:tc>
          <w:tcPr/>
          <w:p>
            <w:pPr>
              <w:pStyle w:val="Compact"/>
            </w:pPr>
            <w:r>
              <w:t xml:space="preserve">Verdict</w:t>
            </w:r>
          </w:p>
        </w:tc>
      </w:tr>
      <w:tr>
        <w:tc>
          <w:tcPr/>
          <w:p>
            <w:pPr>
              <w:pStyle w:val="Compact"/>
            </w:pPr>
            <w:r>
              <w:t xml:space="preserve">Hold-out simple (80/20)</w:t>
            </w:r>
          </w:p>
        </w:tc>
        <w:tc>
          <w:tcPr/>
          <w:p>
            <w:pPr>
              <w:pStyle w:val="Compact"/>
            </w:pPr>
            <w:r>
              <w:t xml:space="preserve">✅ si chronologique</w:t>
            </w:r>
          </w:p>
        </w:tc>
        <w:tc>
          <w:tcPr/>
          <w:p>
            <w:pPr>
              <w:pStyle w:val="Compact"/>
            </w:pPr>
            <w:r>
              <w:t xml:space="preserve">Faible</w:t>
            </w:r>
          </w:p>
        </w:tc>
        <w:tc>
          <w:tcPr/>
          <w:p>
            <w:pPr>
              <w:pStyle w:val="Compact"/>
            </w:pPr>
            <w:r>
              <w:t xml:space="preserve">Acceptable mais une seule estimation</w:t>
            </w:r>
          </w:p>
        </w:tc>
      </w:tr>
      <w:tr>
        <w:tc>
          <w:tcPr/>
          <w:p>
            <w:pPr>
              <w:pStyle w:val="Compact"/>
            </w:pPr>
            <w:r>
              <w:t xml:space="preserve">k-fold standard</w:t>
            </w:r>
          </w:p>
        </w:tc>
        <w:tc>
          <w:tcPr/>
          <w:p>
            <w:pPr>
              <w:pStyle w:val="Compact"/>
            </w:pPr>
            <w:r>
              <w:t xml:space="preserve">❌</w:t>
            </w:r>
          </w:p>
        </w:tc>
        <w:tc>
          <w:tcPr/>
          <w:p>
            <w:pPr>
              <w:pStyle w:val="Compact"/>
            </w:pPr>
            <w:r>
              <w:rPr>
                <w:b/>
                <w:bCs/>
              </w:rPr>
              <w:t xml:space="preserve">Élevé (fuite garantie)</w:t>
            </w:r>
          </w:p>
        </w:tc>
        <w:tc>
          <w:tcPr/>
          <w:p>
            <w:pPr>
              <w:pStyle w:val="Compact"/>
            </w:pPr>
            <w:r>
              <w:t xml:space="preserve">À proscrire en time-series</w:t>
            </w:r>
          </w:p>
        </w:tc>
      </w:tr>
      <w:tr>
        <w:tc>
          <w:tcPr/>
          <w:p>
            <w:pPr>
              <w:pStyle w:val="Compact"/>
            </w:pPr>
            <w:r>
              <w:rPr>
                <w:b/>
                <w:bCs/>
              </w:rPr>
              <w:t xml:space="preserve">TimeSeriesSplit</w:t>
            </w:r>
            <w:r>
              <w:t xml:space="preserve"> </w:t>
            </w:r>
            <w:r>
              <w:t xml:space="preserve">(n=4)</w:t>
            </w:r>
          </w:p>
        </w:tc>
        <w:tc>
          <w:tcPr/>
          <w:p>
            <w:pPr>
              <w:pStyle w:val="Compact"/>
            </w:pPr>
            <w:r>
              <w:rPr>
                <w:b/>
                <w:bCs/>
              </w:rPr>
              <w:t xml:space="preserve">✅</w:t>
            </w:r>
          </w:p>
        </w:tc>
        <w:tc>
          <w:tcPr/>
          <w:p>
            <w:pPr>
              <w:pStyle w:val="Compact"/>
            </w:pPr>
            <w:r>
              <w:rPr>
                <w:b/>
                <w:bCs/>
              </w:rPr>
              <w:t xml:space="preserve">Aucune</w:t>
            </w:r>
          </w:p>
        </w:tc>
        <w:tc>
          <w:tcPr/>
          <w:p>
            <w:pPr>
              <w:pStyle w:val="Compact"/>
            </w:pPr>
            <w:r>
              <w:rPr>
                <w:b/>
                <w:bCs/>
              </w:rPr>
              <w:t xml:space="preserve">Retenu</w:t>
            </w:r>
          </w:p>
        </w:tc>
      </w:tr>
    </w:tbl>
    <w:p>
      <w:pPr>
        <w:pStyle w:val="BodyText"/>
      </w:pPr>
      <w:r>
        <w:rPr>
          <w:b/>
          <w:bCs/>
        </w:rPr>
        <w:t xml:space="preserve">Choix retenu : TimeSeriesSplit (Scikit-learn) avec n=4 folds.</w:t>
      </w:r>
      <w:r>
        <w:t xml:space="preserve"> </w:t>
      </w:r>
      <w:r>
        <w:t xml:space="preserve">Critère décisif : seule méthode garantissant que le modèle n’apprend jamais sur un échantillon temporellement postérieur à un échantillon de test — exigence stricte en pronostic (ISO 13381-1).</w:t>
      </w:r>
    </w:p>
    <w:bookmarkEnd w:id="53"/>
    <w:bookmarkStart w:id="54" w:name="Xc0875736bdad7f5e02b0a358e05f947e2d44a95"/>
    <w:p>
      <w:pPr>
        <w:pStyle w:val="Heading3"/>
      </w:pPr>
      <w:r>
        <w:t xml:space="preserve">II.0.5.7. Frontend ML / dashboard — Streamlit</w:t>
      </w:r>
    </w:p>
    <w:p>
      <w:pPr>
        <w:pStyle w:val="FirstParagraph"/>
      </w:pPr>
      <w:r>
        <w:rPr>
          <w:b/>
          <w:bCs/>
        </w:rPr>
        <w:t xml:space="preserve">Tableau II.0.7 — Comparaison des frameworks frontend ML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Langage</w:t>
            </w:r>
          </w:p>
        </w:tc>
        <w:tc>
          <w:tcPr/>
          <w:p>
            <w:pPr>
              <w:pStyle w:val="Compact"/>
            </w:pPr>
            <w:r>
              <w:t xml:space="preserve">Rapidité prototypage</w:t>
            </w:r>
          </w:p>
        </w:tc>
        <w:tc>
          <w:tcPr/>
          <w:p>
            <w:pPr>
              <w:pStyle w:val="Compact"/>
            </w:pPr>
            <w:r>
              <w:t xml:space="preserve">Composants ML natifs</w:t>
            </w:r>
          </w:p>
        </w:tc>
        <w:tc>
          <w:tcPr/>
          <w:p>
            <w:pPr>
              <w:pStyle w:val="Compact"/>
            </w:pPr>
            <w:r>
              <w:t xml:space="preserve">Verdict</w:t>
            </w:r>
          </w:p>
        </w:tc>
      </w:tr>
      <w:tr>
        <w:tc>
          <w:tcPr/>
          <w:p>
            <w:pPr>
              <w:pStyle w:val="Compact"/>
            </w:pPr>
            <w:r>
              <w:rPr>
                <w:b/>
                <w:bCs/>
              </w:rPr>
              <w:t xml:space="preserve">Streamlit</w:t>
            </w:r>
          </w:p>
        </w:tc>
        <w:tc>
          <w:tcPr/>
          <w:p>
            <w:pPr>
              <w:pStyle w:val="Compact"/>
            </w:pPr>
            <w:r>
              <w:rPr>
                <w:b/>
                <w:bCs/>
              </w:rPr>
              <w:t xml:space="preserve">Python</w:t>
            </w:r>
          </w:p>
        </w:tc>
        <w:tc>
          <w:tcPr/>
          <w:p>
            <w:pPr>
              <w:pStyle w:val="Compact"/>
            </w:pPr>
            <w:r>
              <w:rPr>
                <w:b/>
                <w:bCs/>
              </w:rPr>
              <w:t xml:space="preserve">Excellente</w:t>
            </w:r>
          </w:p>
        </w:tc>
        <w:tc>
          <w:tcPr/>
          <w:p>
            <w:pPr>
              <w:pStyle w:val="Compact"/>
            </w:pPr>
            <w:r>
              <w:rPr>
                <w:b/>
                <w:bCs/>
              </w:rPr>
              <w:t xml:space="preserve">✅ (charts, sliders, file uploaders)</w:t>
            </w:r>
          </w:p>
        </w:tc>
        <w:tc>
          <w:tcPr/>
          <w:p>
            <w:pPr>
              <w:pStyle w:val="Compact"/>
            </w:pPr>
            <w:r>
              <w:rPr>
                <w:b/>
                <w:bCs/>
              </w:rPr>
              <w:t xml:space="preserve">Retenu</w:t>
            </w:r>
          </w:p>
        </w:tc>
      </w:tr>
      <w:tr>
        <w:tc>
          <w:tcPr/>
          <w:p>
            <w:pPr>
              <w:pStyle w:val="Compact"/>
            </w:pPr>
            <w:r>
              <w:t xml:space="preserve">Dash (Plotly)</w:t>
            </w:r>
          </w:p>
        </w:tc>
        <w:tc>
          <w:tcPr/>
          <w:p>
            <w:pPr>
              <w:pStyle w:val="Compact"/>
            </w:pPr>
            <w:r>
              <w:t xml:space="preserve">Python</w:t>
            </w:r>
          </w:p>
        </w:tc>
        <w:tc>
          <w:tcPr/>
          <w:p>
            <w:pPr>
              <w:pStyle w:val="Compact"/>
            </w:pPr>
            <w:r>
              <w:t xml:space="preserve">Bonne</w:t>
            </w:r>
          </w:p>
        </w:tc>
        <w:tc>
          <w:tcPr/>
          <w:p>
            <w:pPr>
              <w:pStyle w:val="Compact"/>
            </w:pPr>
            <w:r>
              <w:t xml:space="preserve">Plotly natif</w:t>
            </w:r>
          </w:p>
        </w:tc>
        <w:tc>
          <w:tcPr/>
          <w:p>
            <w:pPr>
              <w:pStyle w:val="Compact"/>
            </w:pPr>
            <w:r>
              <w:t xml:space="preserve">Plus verbose que Streamlit</w:t>
            </w:r>
          </w:p>
        </w:tc>
      </w:tr>
      <w:tr>
        <w:tc>
          <w:tcPr/>
          <w:p>
            <w:pPr>
              <w:pStyle w:val="Compact"/>
            </w:pPr>
            <w:r>
              <w:t xml:space="preserve">Next.js / React</w:t>
            </w:r>
          </w:p>
        </w:tc>
        <w:tc>
          <w:tcPr/>
          <w:p>
            <w:pPr>
              <w:pStyle w:val="Compact"/>
            </w:pPr>
            <w:r>
              <w:t xml:space="preserve">TypeScript</w:t>
            </w:r>
          </w:p>
        </w:tc>
        <w:tc>
          <w:tcPr/>
          <w:p>
            <w:pPr>
              <w:pStyle w:val="Compact"/>
            </w:pPr>
            <w:r>
              <w:t xml:space="preserve">Faible (courbe d’apprentissage)</w:t>
            </w:r>
          </w:p>
        </w:tc>
        <w:tc>
          <w:tcPr/>
          <w:p>
            <w:pPr>
              <w:pStyle w:val="Compact"/>
            </w:pPr>
            <w:r>
              <w:t xml:space="preserve">Non</w:t>
            </w:r>
          </w:p>
        </w:tc>
        <w:tc>
          <w:tcPr/>
          <w:p>
            <w:pPr>
              <w:pStyle w:val="Compact"/>
            </w:pPr>
            <w:r>
              <w:t xml:space="preserve">Surdimensionné, langage différent du pipeline ML</w:t>
            </w:r>
          </w:p>
        </w:tc>
      </w:tr>
      <w:tr>
        <w:tc>
          <w:tcPr/>
          <w:p>
            <w:pPr>
              <w:pStyle w:val="Compact"/>
            </w:pPr>
            <w:r>
              <w:t xml:space="preserve">Gradio</w:t>
            </w:r>
          </w:p>
        </w:tc>
        <w:tc>
          <w:tcPr/>
          <w:p>
            <w:pPr>
              <w:pStyle w:val="Compact"/>
            </w:pPr>
            <w:r>
              <w:t xml:space="preserve">Python</w:t>
            </w:r>
          </w:p>
        </w:tc>
        <w:tc>
          <w:tcPr/>
          <w:p>
            <w:pPr>
              <w:pStyle w:val="Compact"/>
            </w:pPr>
            <w:r>
              <w:t xml:space="preserve">Excellente</w:t>
            </w:r>
          </w:p>
        </w:tc>
        <w:tc>
          <w:tcPr/>
          <w:p>
            <w:pPr>
              <w:pStyle w:val="Compact"/>
            </w:pPr>
            <w:r>
              <w:t xml:space="preserve">Démos ML simples</w:t>
            </w:r>
          </w:p>
        </w:tc>
        <w:tc>
          <w:tcPr/>
          <w:p>
            <w:pPr>
              <w:pStyle w:val="Compact"/>
            </w:pPr>
            <w:r>
              <w:t xml:space="preserve">Plus orienté demo modèle, moins dashboard</w:t>
            </w:r>
          </w:p>
        </w:tc>
      </w:tr>
    </w:tbl>
    <w:p>
      <w:pPr>
        <w:pStyle w:val="BodyText"/>
      </w:pPr>
      <w:r>
        <w:rPr>
          <w:b/>
          <w:bCs/>
        </w:rPr>
        <w:t xml:space="preserve">Choix retenu : Streamlit.</w:t>
      </w:r>
      <w:r>
        <w:t xml:space="preserve"> </w:t>
      </w:r>
      <w:r>
        <w:t xml:space="preserve">Critère décisif : permet de coder le dashboard et le pipeline ML dans le même langage (Python), avec un déploiement gratuit sur Streamlit Community Cloud. Limite acceptée : moins flexible qu’une stack full-web pour la personnalisation visuelle avancée.</w:t>
      </w:r>
    </w:p>
    <w:bookmarkEnd w:id="54"/>
    <w:bookmarkStart w:id="55" w:name="ii.0.5.8.-cmms-glpi-open-source"/>
    <w:p>
      <w:pPr>
        <w:pStyle w:val="Heading3"/>
      </w:pPr>
      <w:r>
        <w:t xml:space="preserve">II.0.5.8. CMMS — GLPI (open-source)</w:t>
      </w:r>
    </w:p>
    <w:p>
      <w:pPr>
        <w:pStyle w:val="FirstParagraph"/>
      </w:pPr>
      <w:r>
        <w:t xml:space="preserve">Justification déjà détaillée en §II.7.2 (matrice comparative GLPI / OpenMaint / Snipe-IT / Fiix / MaintainX).</w:t>
      </w:r>
      <w:r>
        <w:t xml:space="preserve"> </w:t>
      </w:r>
      <w:r>
        <w:rPr>
          <w:b/>
          <w:bCs/>
        </w:rPr>
        <w:t xml:space="preserve">Choix retenu : GLPI</w:t>
      </w:r>
      <w:r>
        <w:t xml:space="preserve"> </w:t>
      </w:r>
      <w:r>
        <w:t xml:space="preserve">pour sa maturité, son API REST native, sa communauté francophone et sa compatibilité on-premise.</w:t>
      </w:r>
    </w:p>
    <w:bookmarkEnd w:id="55"/>
    <w:bookmarkStart w:id="56" w:name="X022e09cf0ae739b4a8597fbb104bbed149526e7"/>
    <w:p>
      <w:pPr>
        <w:pStyle w:val="Heading3"/>
      </w:pPr>
      <w:r>
        <w:t xml:space="preserve">II.0.5.9. Synthèse des choix technologiques</w:t>
      </w:r>
    </w:p>
    <w:p>
      <w:pPr>
        <w:pStyle w:val="FirstParagraph"/>
      </w:pPr>
      <w:r>
        <w:t xml:space="preserve">L’ensemble des choix forme une</w:t>
      </w:r>
      <w:r>
        <w:t xml:space="preserve"> </w:t>
      </w:r>
      <w:r>
        <w:rPr>
          <w:b/>
          <w:bCs/>
        </w:rPr>
        <w:t xml:space="preserve">chaîne cohérente</w:t>
      </w:r>
      <w:r>
        <w:t xml:space="preserve"> </w:t>
      </w:r>
      <w:r>
        <w:t xml:space="preserve">orientée par trois principes : (i)</w:t>
      </w:r>
      <w:r>
        <w:t xml:space="preserve"> </w:t>
      </w:r>
      <w:r>
        <w:rPr>
          <w:b/>
          <w:bCs/>
        </w:rPr>
        <w:t xml:space="preserve">simplicité d’intégration locale</w:t>
      </w:r>
      <w:r>
        <w:t xml:space="preserve"> </w:t>
      </w:r>
      <w:r>
        <w:t xml:space="preserve">(composants disponibles au Cameroun, langages Python pour la majeure partie de la chaîne ML+frontend), (ii)</w:t>
      </w:r>
      <w:r>
        <w:t xml:space="preserve"> </w:t>
      </w:r>
      <w:r>
        <w:rPr>
          <w:b/>
          <w:bCs/>
        </w:rPr>
        <w:t xml:space="preserve">rigueur méthodologique</w:t>
      </w:r>
      <w:r>
        <w:t xml:space="preserve"> </w:t>
      </w:r>
      <w:r>
        <w:t xml:space="preserve">(TimeSeriesSplit, SHAP, conformité ASTM/ISO), (iii)</w:t>
      </w:r>
      <w:r>
        <w:t xml:space="preserve"> </w:t>
      </w:r>
      <w:r>
        <w:rPr>
          <w:b/>
          <w:bCs/>
        </w:rPr>
        <w:t xml:space="preserve">transposabilité industrielle</w:t>
      </w:r>
      <w:r>
        <w:t xml:space="preserve"> </w:t>
      </w:r>
      <w:r>
        <w:t xml:space="preserve">(ER conformes ASTM G96 ; CMMS open-source on-premise compatible OT/réseau industriel).</w:t>
      </w:r>
    </w:p>
    <w:p>
      <w:r>
        <w:pict>
          <v:rect style="width:0;height:1.5pt" o:hralign="center" o:hrstd="t" o:hr="t"/>
        </w:pict>
      </w:r>
    </w:p>
    <w:bookmarkEnd w:id="56"/>
    <w:bookmarkEnd w:id="57"/>
    <w:bookmarkStart w:id="60" w:name="ii.1.-cadre-de-létude"/>
    <w:p>
      <w:pPr>
        <w:pStyle w:val="Heading2"/>
      </w:pPr>
      <w:r>
        <w:t xml:space="preserve">II.1. Cadre de l’étude</w:t>
      </w:r>
    </w:p>
    <w:bookmarkStart w:id="58" w:name="ii.1.1.-cadre-institutionnel"/>
    <w:p>
      <w:pPr>
        <w:pStyle w:val="Heading3"/>
      </w:pPr>
      <w:r>
        <w:t xml:space="preserve">II.1.1. Cadre institutionnel</w:t>
      </w:r>
    </w:p>
    <w:p>
      <w:pPr>
        <w:pStyle w:val="FirstParagraph"/>
      </w:pPr>
      <w:r>
        <w:t xml:space="preserve">Le présent travail est réalisé dans le cadre du</w:t>
      </w:r>
      <w:r>
        <w:t xml:space="preserve"> </w:t>
      </w:r>
      <w:r>
        <w:rPr>
          <w:b/>
          <w:bCs/>
        </w:rPr>
        <w:t xml:space="preserve">Master 2 Professionnel en Maintenance Industrielle</w:t>
      </w:r>
      <w:r>
        <w:t xml:space="preserve"> </w:t>
      </w:r>
      <w:r>
        <w:t xml:space="preserve">du Département de Génie Industriel et Maintenance de l’</w:t>
      </w:r>
      <w:r>
        <w:rPr>
          <w:b/>
          <w:bCs/>
        </w:rPr>
        <w:t xml:space="preserve">École Supérieure Technique La Salle (ESTL)</w:t>
      </w:r>
      <w:r>
        <w:t xml:space="preserve">. La validation expérimentale est conduite en laboratoire à Douala. La projection industrielle vise le contexte applicatif de la</w:t>
      </w:r>
      <w:r>
        <w:t xml:space="preserve"> </w:t>
      </w:r>
      <w:r>
        <w:rPr>
          <w:b/>
          <w:bCs/>
        </w:rPr>
        <w:t xml:space="preserve">Cameroon Oil Transportation Company (COTCO)</w:t>
      </w:r>
      <w:r>
        <w:t xml:space="preserve">, exploitant le pipeline Tchad-Cameroun depuis 2003 (COTCO, 2024).</w:t>
      </w:r>
    </w:p>
    <w:bookmarkEnd w:id="58"/>
    <w:bookmarkStart w:id="59" w:name="ii.1.2.-cadre-physique-du-prototype"/>
    <w:p>
      <w:pPr>
        <w:pStyle w:val="Heading3"/>
      </w:pPr>
      <w:r>
        <w:t xml:space="preserve">II.1.2. Cadre physique du prototype</w:t>
      </w:r>
    </w:p>
    <w:p>
      <w:pPr>
        <w:pStyle w:val="FirstParagraph"/>
      </w:pPr>
      <w:r>
        <w:t xml:space="preserve">Le prototype reproduit en laboratoire des conditions de</w:t>
      </w:r>
      <w:r>
        <w:t xml:space="preserve"> </w:t>
      </w:r>
      <w:r>
        <w:rPr>
          <w:b/>
          <w:bCs/>
        </w:rPr>
        <w:t xml:space="preserve">corrosion généralisée accélérée en milieu acide multi-composant</w:t>
      </w:r>
      <w:r>
        <w:t xml:space="preserve">. Il est constitué d’une cellule de corrosion ouverte (récipient en HDPE de 2 litres) contenant le milieu corrosif, dans laquelle est immergé le fil de fer ER. La sonde est connectée à un pont de Wheatstone instrumenté par un amplificateur HX711 24 bits, lui-même piloté par un microcontrôleur ESP32 en mode deep sleep pulsé (cycle réveil → mesure → sommeil de 10 minutes). La température du milieu est mesurée par un capteur DS18B20 numérique 1-Wire.</w:t>
      </w:r>
    </w:p>
    <w:p>
      <w:pPr>
        <w:pStyle w:val="BodyText"/>
      </w:pPr>
      <w:r>
        <w:t xml:space="preserve">Le</w:t>
      </w:r>
      <w:r>
        <w:t xml:space="preserve"> </w:t>
      </w:r>
      <w:r>
        <w:rPr>
          <w:b/>
          <w:bCs/>
        </w:rPr>
        <w:t xml:space="preserve">milieu corrosif de référence</w:t>
      </w:r>
      <w:r>
        <w:t xml:space="preserve"> </w:t>
      </w:r>
      <w:r>
        <w:t xml:space="preserve">est le</w:t>
      </w:r>
      <w:r>
        <w:t xml:space="preserve"> </w:t>
      </w:r>
      <w:r>
        <w:rPr>
          <w:b/>
          <w:bCs/>
        </w:rPr>
        <w:t xml:space="preserve">Detar Plus</w:t>
      </w:r>
      <w:r>
        <w:t xml:space="preserve">, détartrant industriel commercial dont la composition déclarée par le fabricant est :</w:t>
      </w:r>
    </w:p>
    <w:p>
      <w:pPr>
        <w:pStyle w:val="Compact"/>
        <w:numPr>
          <w:ilvl w:val="0"/>
          <w:numId w:val="1024"/>
        </w:numPr>
      </w:pPr>
      <w:r>
        <w:t xml:space="preserve">Acide chlorhydrique (HCl) : 5–15 % en masse ;</w:t>
      </w:r>
    </w:p>
    <w:p>
      <w:pPr>
        <w:pStyle w:val="Compact"/>
        <w:numPr>
          <w:ilvl w:val="0"/>
          <w:numId w:val="1024"/>
        </w:numPr>
      </w:pPr>
      <w:r>
        <w:t xml:space="preserve">Acide phosphorique (H₃PO₄) : 10–30 % en masse ;</w:t>
      </w:r>
    </w:p>
    <w:p>
      <w:pPr>
        <w:pStyle w:val="Compact"/>
        <w:numPr>
          <w:ilvl w:val="0"/>
          <w:numId w:val="1024"/>
        </w:numPr>
      </w:pPr>
      <w:r>
        <w:t xml:space="preserve">Agents tensioactifs et additifs.</w:t>
      </w:r>
    </w:p>
    <w:p>
      <w:pPr>
        <w:pStyle w:val="FirstParagraph"/>
      </w:pPr>
      <w:r>
        <w:t xml:space="preserve">Ce milieu génère un</w:t>
      </w:r>
      <w:r>
        <w:t xml:space="preserve"> </w:t>
      </w:r>
      <w:r>
        <w:rPr>
          <w:b/>
          <w:bCs/>
        </w:rPr>
        <w:t xml:space="preserve">pH ≈ 1</w:t>
      </w:r>
      <w:r>
        <w:t xml:space="preserve">, mesuré par pH-mètre papier avant chaque run, et constant durant la durée d’un run (vérifié par mesures répétées). La température ambiante du laboratoire varie entre 25 et 30 °C.</w:t>
      </w:r>
    </w:p>
    <w:p>
      <w:pPr>
        <w:pStyle w:val="BodyText"/>
      </w:pPr>
      <w:r>
        <w:t xml:space="preserve">Le</w:t>
      </w:r>
      <w:r>
        <w:t xml:space="preserve"> </w:t>
      </w:r>
      <w:r>
        <w:rPr>
          <w:b/>
          <w:bCs/>
        </w:rPr>
        <w:t xml:space="preserve">choix de ce milieu</w:t>
      </w:r>
      <w:r>
        <w:t xml:space="preserve"> </w:t>
      </w:r>
      <w:r>
        <w:t xml:space="preserve">est scientifiquement motivé : la coexistence de HCl (mécanisme d’attaque acide pure : H⁺ + Fe → Fe²⁺ + H₂) et de H₃PO₄ (mécanisme partiellement passivant via la formation de FePO₄ — voir Persian Utab, 2023 ; Schweitzer, 2010) crée une cinétique multi-mécanismes non-monotone, impossible à prédire par les modèles physiques classiques. C’est précisément le type de complexité que l’approche XGBoost vise à capturer (justification ML).</w:t>
      </w:r>
    </w:p>
    <w:p>
      <w:r>
        <w:pict>
          <v:rect style="width:0;height:1.5pt" o:hralign="center" o:hrstd="t" o:hr="t"/>
        </w:pict>
      </w:r>
    </w:p>
    <w:bookmarkEnd w:id="59"/>
    <w:bookmarkEnd w:id="60"/>
    <w:bookmarkStart w:id="71" w:name="Xefde6584f8f1b1bc527f3b267e24575f527761d"/>
    <w:p>
      <w:pPr>
        <w:pStyle w:val="Heading2"/>
      </w:pPr>
      <w:r>
        <w:t xml:space="preserve">II.2. Présentation du prototype de mesure ER</w:t>
      </w:r>
    </w:p>
    <w:bookmarkStart w:id="61" w:name="Xdb4f32296f15eb3778c1dc0f370941c60102306"/>
    <w:p>
      <w:pPr>
        <w:pStyle w:val="Heading3"/>
      </w:pPr>
      <w:r>
        <w:t xml:space="preserve">II.2.1. Principe de la sonde à résistance électrique</w:t>
      </w:r>
    </w:p>
    <w:p>
      <w:pPr>
        <w:pStyle w:val="FirstParagraph"/>
      </w:pPr>
      <w:r>
        <w:t xml:space="preserve">La sonde ER exploite la relation entre la résistance électrique d’un fil métallique et sa section transversale. Lorsque le fil se corrode, son rayon</w:t>
      </w:r>
      <w:r>
        <w:t xml:space="preserve"> </w:t>
      </w:r>
      <w:r>
        <w:rPr>
          <w:i/>
          <w:iCs/>
        </w:rPr>
        <w:t xml:space="preserve">r</w:t>
      </w:r>
      <w:r>
        <w:t xml:space="preserve"> </w:t>
      </w:r>
      <w:r>
        <w:t xml:space="preserve">diminue et sa résistance</w:t>
      </w:r>
      <w:r>
        <w:t xml:space="preserve"> </w:t>
      </w:r>
      <w:r>
        <w:rPr>
          <w:i/>
          <w:iCs/>
        </w:rPr>
        <w:t xml:space="preserve">R</w:t>
      </w:r>
      <w:r>
        <w:t xml:space="preserve"> </w:t>
      </w:r>
      <w:r>
        <w:t xml:space="preserve">augmente selon (ASTM, 2018 ; Roberge, 2008)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t xml:space="preserve">avec ρ_Fe = 1,0 × 10⁻⁷ Ω·m (résistivité électrique du fer),</w:t>
      </w:r>
      <w:r>
        <w:t xml:space="preserve"> </w:t>
      </w:r>
      <w:r>
        <w:rPr>
          <w:i/>
          <w:iCs/>
        </w:rPr>
        <w:t xml:space="preserve">L</w:t>
      </w:r>
      <w:r>
        <w:t xml:space="preserve"> </w:t>
      </w:r>
      <w:r>
        <w:t xml:space="preserve">= 1,1 m (longueur du fil), et</w:t>
      </w:r>
      <w:r>
        <w:t xml:space="preserve"> </w:t>
      </w:r>
      <w:r>
        <w:rPr>
          <w:i/>
          <w:iCs/>
        </w:rPr>
        <w:t xml:space="preserve">r</w:t>
      </w:r>
      <w:r>
        <w:t xml:space="preserve"> </w:t>
      </w:r>
      <w:r>
        <w:t xml:space="preserve">le rayon (m). La variation Δ</w:t>
      </w:r>
      <w:r>
        <w:rPr>
          <w:i/>
          <w:iCs/>
        </w:rPr>
        <w:t xml:space="preserve">R</w:t>
      </w:r>
      <w:r>
        <w:t xml:space="preserve"> </w:t>
      </w:r>
      <w:r>
        <w:t xml:space="preserve">=</w:t>
      </w:r>
      <w:r>
        <w:t xml:space="preserve"> </w:t>
      </w:r>
      <w:r>
        <w:rPr>
          <w:i/>
          <w:iCs/>
        </w:rPr>
        <w:t xml:space="preserve">R</w:t>
      </w:r>
      <w:r>
        <w:t xml:space="preserve">(t) −</w:t>
      </w:r>
      <w:r>
        <w:t xml:space="preserve"> </w:t>
      </w:r>
      <w:r>
        <w:rPr>
          <w:i/>
          <w:iCs/>
        </w:rPr>
        <w:t xml:space="preserve">R</w:t>
      </w:r>
      <w:r>
        <w:t xml:space="preserve">(t₀) est directement proportionnelle à la perte de matière. En inversant la relation, le rayon à l’instant</w:t>
      </w:r>
      <w:r>
        <w:t xml:space="preserve"> </w:t>
      </w:r>
      <w:r>
        <w:rPr>
          <w:i/>
          <w:iCs/>
        </w:rPr>
        <w:t xml:space="preserve">t</w:t>
      </w:r>
      <w:r>
        <w:t xml:space="preserve"> </w:t>
      </w:r>
      <w:r>
        <w:t xml:space="preserve">est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sSub>
                    <m:e>
                      <m:r>
                        <m:t>ρ</m:t>
                      </m:r>
                    </m:e>
                    <m:sub>
                      <m:r>
                        <m:t>F</m:t>
                      </m:r>
                      <m:r>
                        <m:t>e</m:t>
                      </m:r>
                    </m:sub>
                  </m:sSub>
                  <m:r>
                    <m:rPr>
                      <m:sty m:val="p"/>
                    </m:rPr>
                    <m:t>⋅</m:t>
                  </m:r>
                  <m:r>
                    <m:t>L</m:t>
                  </m:r>
                </m:num>
                <m:den>
                  <m:r>
                    <m:t>π</m:t>
                  </m:r>
                  <m:r>
                    <m:rPr>
                      <m:sty m:val="p"/>
                    </m:rPr>
                    <m:t>⋅</m:t>
                  </m:r>
                  <m:r>
                    <m:t>R</m:t>
                  </m:r>
                  <m:r>
                    <m:rPr>
                      <m:sty m:val="p"/>
                    </m:rPr>
                    <m:t>(</m:t>
                  </m:r>
                  <m:r>
                    <m:t>t</m:t>
                  </m:r>
                  <m:r>
                    <m:rPr>
                      <m:sty m:val="p"/>
                    </m:rPr>
                    <m:t>)</m:t>
                  </m:r>
                </m:den>
              </m:f>
            </m:e>
          </m:rad>
        </m:oMath>
      </m:oMathPara>
    </w:p>
    <w:p>
      <w:pPr>
        <w:pStyle w:val="FirstParagraph"/>
      </w:pPr>
      <w:r>
        <w:t xml:space="preserve">et le taux de corrosion s’obtient par dérivation numérique :</w:t>
      </w:r>
    </w:p>
    <w:p>
      <w:pPr>
        <w:pStyle w:val="BodyText"/>
      </w:pPr>
      <m:oMathPara>
        <m:oMathParaPr>
          <m:jc m:val="center"/>
        </m:oMathParaPr>
        <m:oMath>
          <m:r>
            <m:t>C</m:t>
          </m:r>
          <m:r>
            <m:t>R</m:t>
          </m:r>
          <m:r>
            <m:rPr>
              <m:sty m:val="p"/>
            </m:rPr>
            <m:t>(</m:t>
          </m:r>
          <m:r>
            <m:t>t</m:t>
          </m:r>
          <m:r>
            <m:rPr>
              <m:sty m:val="p"/>
            </m:rPr>
            <m:t>)</m:t>
          </m:r>
          <m:r>
            <m:t> </m:t>
          </m:r>
          <m:r>
            <m:rPr>
              <m:sty m:val="p"/>
            </m:rPr>
            <m:t>(</m:t>
          </m:r>
          <m:r>
            <m:rPr>
              <m:nor/>
              <m:sty m:val="p"/>
            </m:rPr>
            <m:t>mm/an</m:t>
          </m:r>
          <m:r>
            <m:rPr>
              <m:sty m:val="p"/>
            </m:rPr>
            <m:t>)</m:t>
          </m:r>
          <m:r>
            <m:rPr>
              <m:sty m:val="p"/>
            </m:rPr>
            <m:t>=</m:t>
          </m:r>
          <m:d>
            <m:dPr>
              <m:begChr m:val="|"/>
              <m:sepChr m:val=""/>
              <m:endChr m:val="|"/>
              <m:grow/>
            </m:dPr>
            <m:e>
              <m:f>
                <m:fPr>
                  <m:type m:val="bar"/>
                </m:fPr>
                <m:num>
                  <m:r>
                    <m:t>d</m:t>
                  </m:r>
                  <m:r>
                    <m:t>r</m:t>
                  </m:r>
                </m:num>
                <m:den>
                  <m:r>
                    <m:t>d</m:t>
                  </m:r>
                  <m:r>
                    <m:t>t</m:t>
                  </m:r>
                </m:den>
              </m:f>
            </m:e>
          </m:d>
          <m:r>
            <m:rPr>
              <m:sty m:val="p"/>
            </m:rPr>
            <m:t>×</m:t>
          </m:r>
          <m:r>
            <m:t>8760</m:t>
          </m:r>
          <m:r>
            <m:rPr>
              <m:sty m:val="p"/>
            </m:rPr>
            <m:t>×</m:t>
          </m:r>
          <m:r>
            <m:t>1000</m:t>
          </m:r>
        </m:oMath>
      </m:oMathPara>
    </w:p>
    <w:p>
      <w:pPr>
        <w:pStyle w:val="FirstParagraph"/>
      </w:pPr>
      <w:r>
        <w:t xml:space="preserve">(facteur 8760 = nombre d’heures par an, facteur 1000 = conversion m → mm).</w:t>
      </w:r>
    </w:p>
    <w:bookmarkEnd w:id="61"/>
    <w:bookmarkStart w:id="65" w:name="X35c6190bd1cc60e97bf9fdddcd29f071459df4b"/>
    <w:p>
      <w:pPr>
        <w:pStyle w:val="Heading3"/>
      </w:pPr>
      <w:r>
        <w:t xml:space="preserve">II.2.2. Architecture du pont de Wheatstone</w:t>
      </w:r>
    </w:p>
    <w:p>
      <w:pPr>
        <w:pStyle w:val="FirstParagraph"/>
      </w:pPr>
      <w:r>
        <w:t xml:space="preserve">Pour détecter des variations de résistance de l’ordre du dixième de milliohm (ΔR ~ 0,1 mΩ) sur un fil de résistance initiale</w:t>
      </w:r>
      <w:r>
        <w:t xml:space="preserve"> </w:t>
      </w:r>
      <w:r>
        <w:rPr>
          <w:i/>
          <w:iCs/>
        </w:rPr>
        <w:t xml:space="preserve">R</w:t>
      </w:r>
      <w:r>
        <w:t xml:space="preserve">ₓ₀ ≈ 0,13 Ω, la mesure directe par multimètre standard (résolution typique 0,1 Ω) est totalement insuffisante. Le</w:t>
      </w:r>
      <w:r>
        <w:t xml:space="preserve"> </w:t>
      </w:r>
      <w:r>
        <w:rPr>
          <w:b/>
          <w:bCs/>
        </w:rPr>
        <w:t xml:space="preserve">pont de Wheatstone</w:t>
      </w:r>
      <w:r>
        <w:t xml:space="preserve">, configuré en mode déséquilibré, permet de mesurer uniquement la</w:t>
      </w:r>
      <w:r>
        <w:t xml:space="preserve"> </w:t>
      </w:r>
      <w:r>
        <w:rPr>
          <w:b/>
          <w:bCs/>
        </w:rPr>
        <w:t xml:space="preserve">variation différentielle</w:t>
      </w:r>
      <w:r>
        <w:t xml:space="preserve"> </w:t>
      </w:r>
      <w:r>
        <w:t xml:space="preserve">Δ</w:t>
      </w:r>
      <w:r>
        <w:rPr>
          <w:i/>
          <w:iCs/>
        </w:rPr>
        <w:t xml:space="preserve">R</w:t>
      </w:r>
      <w:r>
        <w:t xml:space="preserve">, amplifiant le signal utile d’un facteur 10³ à 10⁴ (Webster, 2014).</w:t>
      </w:r>
    </w:p>
    <w:p>
      <w:pPr>
        <w:pStyle w:val="BodyText"/>
      </w:pPr>
      <w:r>
        <w:rPr>
          <w:b/>
          <w:bCs/>
        </w:rPr>
        <w:t xml:space="preserve">Tableau II.1 — Configuration du pont de Wheatstone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Bras</w:t>
            </w:r>
          </w:p>
        </w:tc>
        <w:tc>
          <w:tcPr/>
          <w:p>
            <w:pPr>
              <w:pStyle w:val="Compact"/>
            </w:pPr>
            <w:r>
              <w:t xml:space="preserve">Composant</w:t>
            </w:r>
          </w:p>
        </w:tc>
        <w:tc>
          <w:tcPr/>
          <w:p>
            <w:pPr>
              <w:pStyle w:val="Compact"/>
            </w:pPr>
            <w:r>
              <w:t xml:space="preserve">Valeur</w:t>
            </w:r>
          </w:p>
        </w:tc>
        <w:tc>
          <w:tcPr/>
          <w:p>
            <w:pPr>
              <w:pStyle w:val="Compact"/>
            </w:pPr>
            <w:r>
              <w:t xml:space="preserve">Rôle</w:t>
            </w:r>
          </w:p>
        </w:tc>
      </w:tr>
      <w:tr>
        <w:tc>
          <w:tcPr/>
          <w:p>
            <w:pPr>
              <w:pStyle w:val="Compact"/>
            </w:pPr>
            <w:r>
              <w:t xml:space="preserve">Bras 1</w:t>
            </w:r>
          </w:p>
        </w:tc>
        <w:tc>
          <w:tcPr/>
          <w:p>
            <w:pPr>
              <w:pStyle w:val="Compact"/>
            </w:pPr>
            <w:r>
              <w:t xml:space="preserve">Résistance fixe</w:t>
            </w:r>
            <w:r>
              <w:t xml:space="preserve"> </w:t>
            </w:r>
            <w:r>
              <w:rPr>
                <w:i/>
                <w:iCs/>
              </w:rPr>
              <w:t xml:space="preserve">R</w:t>
            </w:r>
            <w:r>
              <w:t xml:space="preserve">₁</w:t>
            </w:r>
          </w:p>
        </w:tc>
        <w:tc>
          <w:tcPr/>
          <w:p>
            <w:pPr>
              <w:pStyle w:val="Compact"/>
            </w:pPr>
            <w:r>
              <w:t xml:space="preserve">10 Ω (1 % précision)</w:t>
            </w:r>
          </w:p>
        </w:tc>
        <w:tc>
          <w:tcPr/>
          <w:p>
            <w:pPr>
              <w:pStyle w:val="Compact"/>
            </w:pPr>
            <w:r>
              <w:t xml:space="preserve">Référence haute</w:t>
            </w:r>
          </w:p>
        </w:tc>
      </w:tr>
      <w:tr>
        <w:tc>
          <w:tcPr/>
          <w:p>
            <w:pPr>
              <w:pStyle w:val="Compact"/>
            </w:pPr>
            <w:r>
              <w:t xml:space="preserve">Bras 2</w:t>
            </w:r>
          </w:p>
        </w:tc>
        <w:tc>
          <w:tcPr/>
          <w:p>
            <w:pPr>
              <w:pStyle w:val="Compact"/>
            </w:pPr>
            <w:r>
              <w:t xml:space="preserve">Résistance fixe</w:t>
            </w:r>
            <w:r>
              <w:t xml:space="preserve"> </w:t>
            </w:r>
            <w:r>
              <w:rPr>
                <w:i/>
                <w:iCs/>
              </w:rPr>
              <w:t xml:space="preserve">R</w:t>
            </w:r>
            <w:r>
              <w:t xml:space="preserve">₂</w:t>
            </w:r>
          </w:p>
        </w:tc>
        <w:tc>
          <w:tcPr/>
          <w:p>
            <w:pPr>
              <w:pStyle w:val="Compact"/>
            </w:pPr>
            <w:r>
              <w:t xml:space="preserve">10 Ω (1 % précision)</w:t>
            </w:r>
          </w:p>
        </w:tc>
        <w:tc>
          <w:tcPr/>
          <w:p>
            <w:pPr>
              <w:pStyle w:val="Compact"/>
            </w:pPr>
            <w:r>
              <w:t xml:space="preserve">Référence basse</w:t>
            </w:r>
          </w:p>
        </w:tc>
      </w:tr>
      <w:tr>
        <w:tc>
          <w:tcPr/>
          <w:p>
            <w:pPr>
              <w:pStyle w:val="Compact"/>
            </w:pPr>
            <w:r>
              <w:t xml:space="preserve">Bras 3</w:t>
            </w:r>
          </w:p>
        </w:tc>
        <w:tc>
          <w:tcPr/>
          <w:p>
            <w:pPr>
              <w:pStyle w:val="Compact"/>
            </w:pPr>
            <w:r>
              <w:t xml:space="preserve">Résistance de référence</w:t>
            </w:r>
            <w:r>
              <w:t xml:space="preserve"> </w:t>
            </w:r>
            <w:r>
              <w:rPr>
                <w:i/>
                <w:iCs/>
              </w:rPr>
              <w:t xml:space="preserve">R</w:t>
            </w:r>
            <w:r>
              <w:t xml:space="preserve">_REF</w:t>
            </w:r>
          </w:p>
        </w:tc>
        <w:tc>
          <w:tcPr/>
          <w:p>
            <w:pPr>
              <w:pStyle w:val="Compact"/>
            </w:pPr>
            <w:r>
              <w:t xml:space="preserve">0,5 Ω (1 % précision)</w:t>
            </w:r>
          </w:p>
        </w:tc>
        <w:tc>
          <w:tcPr/>
          <w:p>
            <w:pPr>
              <w:pStyle w:val="Compact"/>
            </w:pPr>
            <w:r>
              <w:t xml:space="preserve">Bras passif (fil protégé)</w:t>
            </w:r>
          </w:p>
        </w:tc>
      </w:tr>
      <w:tr>
        <w:tc>
          <w:tcPr/>
          <w:p>
            <w:pPr>
              <w:pStyle w:val="Compact"/>
            </w:pPr>
            <w:r>
              <w:t xml:space="preserve">Bras 4</w:t>
            </w:r>
          </w:p>
        </w:tc>
        <w:tc>
          <w:tcPr/>
          <w:p>
            <w:pPr>
              <w:pStyle w:val="Compact"/>
            </w:pPr>
            <w:r>
              <w:t xml:space="preserve">Résistance active</w:t>
            </w:r>
            <w:r>
              <w:t xml:space="preserve"> </w:t>
            </w:r>
            <w:r>
              <w:rPr>
                <w:i/>
                <w:iCs/>
              </w:rPr>
              <w:t xml:space="preserve">R</w:t>
            </w:r>
            <w:r>
              <w:t xml:space="preserve">ₓ(t)</w:t>
            </w:r>
          </w:p>
        </w:tc>
        <w:tc>
          <w:tcPr/>
          <w:p>
            <w:pPr>
              <w:pStyle w:val="Compact"/>
            </w:pPr>
            <w:r>
              <w:t xml:space="preserve">≈ 0,13 Ω initial</w:t>
            </w:r>
          </w:p>
        </w:tc>
        <w:tc>
          <w:tcPr/>
          <w:p>
            <w:pPr>
              <w:pStyle w:val="Compact"/>
            </w:pPr>
            <w:r>
              <w:t xml:space="preserve">Fil ER exposé au milieu</w:t>
            </w:r>
          </w:p>
        </w:tc>
      </w:tr>
    </w:tbl>
    <w:p>
      <w:pPr>
        <w:pStyle w:val="CaptionedFigure"/>
      </w:pPr>
      <w:r>
        <w:drawing>
          <wp:inline>
            <wp:extent cx="4000500" cy="3250573"/>
            <wp:effectExtent b="0" l="0" r="0" t="0"/>
            <wp:docPr descr="Figure II.2 — Pont de Wheatstone instrumenté par HX711 (Rx = fil de fer immergé dans le milieu corrosif)" title="" id="63" name="Picture"/>
            <a:graphic>
              <a:graphicData uri="http://schemas.openxmlformats.org/drawingml/2006/picture">
                <pic:pic>
                  <pic:nvPicPr>
                    <pic:cNvPr descr="figures/fig_ii2_wheatstone.png" id="64" name="Picture"/>
                    <pic:cNvPicPr>
                      <a:picLocks noChangeArrowheads="1" noChangeAspect="1"/>
                    </pic:cNvPicPr>
                  </pic:nvPicPr>
                  <pic:blipFill>
                    <a:blip r:embed="rId62"/>
                    <a:stretch>
                      <a:fillRect/>
                    </a:stretch>
                  </pic:blipFill>
                  <pic:spPr bwMode="auto">
                    <a:xfrm>
                      <a:off x="0" y="0"/>
                      <a:ext cx="4000500" cy="3250573"/>
                    </a:xfrm>
                    <a:prstGeom prst="rect">
                      <a:avLst/>
                    </a:prstGeom>
                    <a:noFill/>
                    <a:ln w="9525">
                      <a:noFill/>
                      <a:headEnd/>
                      <a:tailEnd/>
                    </a:ln>
                  </pic:spPr>
                </pic:pic>
              </a:graphicData>
            </a:graphic>
          </wp:inline>
        </w:drawing>
      </w:r>
    </w:p>
    <w:p>
      <w:pPr>
        <w:pStyle w:val="ImageCaption"/>
      </w:pPr>
      <w:r>
        <w:t xml:space="preserve">Figure II.2 — Pont de Wheatstone instrumenté par HX711 (Rx = fil de fer immergé dans le milieu corrosif)</w:t>
      </w:r>
    </w:p>
    <w:p>
      <w:pPr>
        <w:pStyle w:val="BodyText"/>
      </w:pPr>
      <w:r>
        <w:t xml:space="preserve">La tension différentielle aux bornes du pont est donnée par :</w:t>
      </w:r>
    </w:p>
    <w:p>
      <w:pPr>
        <w:pStyle w:val="BodyText"/>
      </w:pPr>
      <m:oMathPara>
        <m:oMathParaPr>
          <m:jc m:val="center"/>
        </m:oMathParaPr>
        <m:oMath>
          <m:sSub>
            <m:e>
              <m:r>
                <m:t>V</m:t>
              </m:r>
            </m:e>
            <m:sub>
              <m:r>
                <m:t>d</m:t>
              </m:r>
              <m:r>
                <m:t>i</m:t>
              </m:r>
              <m:r>
                <m:t>f</m:t>
              </m:r>
              <m:r>
                <m:t>f</m:t>
              </m:r>
            </m:sub>
          </m:sSub>
          <m:r>
            <m:rPr>
              <m:sty m:val="p"/>
            </m:rPr>
            <m:t>=</m:t>
          </m:r>
          <m:sSub>
            <m:e>
              <m:r>
                <m:t>V</m:t>
              </m:r>
            </m:e>
            <m:sub>
              <m:r>
                <m:t>e</m:t>
              </m:r>
              <m:r>
                <m:t>x</m:t>
              </m:r>
              <m:r>
                <m:t>c</m:t>
              </m:r>
              <m:r>
                <m:rPr>
                  <m:sty m:val="p"/>
                </m:rPr>
                <m:t>,</m:t>
              </m:r>
              <m:r>
                <m:t>e</m:t>
              </m:r>
              <m:r>
                <m:t>f</m:t>
              </m:r>
              <m:r>
                <m:t>f</m:t>
              </m:r>
            </m:sub>
          </m:sSub>
          <m:r>
            <m:rPr>
              <m:sty m:val="p"/>
            </m:rPr>
            <m:t>⋅</m:t>
          </m:r>
          <m:d>
            <m:dPr>
              <m:begChr m:val="("/>
              <m:sepChr m:val=""/>
              <m:endChr m:val=")"/>
              <m:grow/>
            </m:dPr>
            <m:e>
              <m:f>
                <m:fPr>
                  <m:type m:val="bar"/>
                </m:fPr>
                <m:num>
                  <m:sSub>
                    <m:e>
                      <m:r>
                        <m:t>R</m:t>
                      </m:r>
                    </m:e>
                    <m:sub>
                      <m:r>
                        <m:t>x</m:t>
                      </m:r>
                    </m:sub>
                  </m:sSub>
                </m:num>
                <m:den>
                  <m:sSub>
                    <m:e>
                      <m:r>
                        <m:t>R</m:t>
                      </m:r>
                    </m:e>
                    <m:sub>
                      <m:r>
                        <m:t>2</m:t>
                      </m:r>
                    </m:sub>
                  </m:sSub>
                  <m:r>
                    <m:rPr>
                      <m:sty m:val="p"/>
                    </m:rPr>
                    <m:t>+</m:t>
                  </m:r>
                  <m:sSub>
                    <m:e>
                      <m:r>
                        <m:t>R</m:t>
                      </m:r>
                    </m:e>
                    <m:sub>
                      <m:r>
                        <m:t>x</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e>
          </m:d>
        </m:oMath>
      </m:oMathPara>
    </w:p>
    <w:p>
      <w:pPr>
        <w:pStyle w:val="FirstParagraph"/>
      </w:pPr>
      <w:r>
        <w:t xml:space="preserve">Une</w:t>
      </w:r>
      <w:r>
        <w:t xml:space="preserve"> </w:t>
      </w:r>
      <w:r>
        <w:rPr>
          <w:b/>
          <w:bCs/>
        </w:rPr>
        <w:t xml:space="preserve">résistance série</w:t>
      </w:r>
      <w:r>
        <w:t xml:space="preserve"> </w:t>
      </w:r>
      <w:r>
        <w:rPr>
          <w:i/>
          <w:iCs/>
        </w:rPr>
        <w:t xml:space="preserve">R</w:t>
      </w:r>
      <w:r>
        <w:t xml:space="preserve">_SERIE = 100 Ω placée entre l’alimentation ESP32 (3,3 V) et le pont assure deux fonctions : (i) limitation du courant pour éviter l’</w:t>
      </w:r>
      <w:r>
        <w:rPr>
          <w:b/>
          <w:bCs/>
        </w:rPr>
        <w:t xml:space="preserve">effet Joule</w:t>
      </w:r>
      <w:r>
        <w:t xml:space="preserve"> </w:t>
      </w:r>
      <w:r>
        <w:t xml:space="preserve">sur le fil de fer (qui fausserait la mesure de température), et (ii) protection du HX711 en cas de court-circuit. La tension d’excitation effective devient :</w:t>
      </w:r>
    </w:p>
    <w:p>
      <w:pPr>
        <w:pStyle w:val="BodyText"/>
      </w:pPr>
      <m:oMathPara>
        <m:oMathParaPr>
          <m:jc m:val="center"/>
        </m:oMathParaPr>
        <m:oMath>
          <m:sSub>
            <m:e>
              <m:r>
                <m:t>V</m:t>
              </m:r>
            </m:e>
            <m:sub>
              <m:r>
                <m:t>e</m:t>
              </m:r>
              <m:r>
                <m:t>x</m:t>
              </m:r>
              <m:r>
                <m:t>c</m:t>
              </m:r>
              <m:r>
                <m:rPr>
                  <m:sty m:val="p"/>
                </m:rPr>
                <m:t>,</m:t>
              </m:r>
              <m:r>
                <m:t>e</m:t>
              </m:r>
              <m:r>
                <m:t>f</m:t>
              </m:r>
              <m:r>
                <m:t>f</m:t>
              </m:r>
            </m:sub>
          </m:sSub>
          <m:r>
            <m:rPr>
              <m:sty m:val="p"/>
            </m:rPr>
            <m:t>=</m:t>
          </m:r>
          <m:sSub>
            <m:e>
              <m:r>
                <m:t>V</m:t>
              </m:r>
            </m:e>
            <m:sub>
              <m:r>
                <m:t>A</m:t>
              </m:r>
              <m:r>
                <m:t>L</m:t>
              </m:r>
              <m:r>
                <m:t>I</m:t>
              </m:r>
              <m:r>
                <m:t>M</m:t>
              </m:r>
            </m:sub>
          </m:sSub>
          <m:r>
            <m:rPr>
              <m:sty m:val="p"/>
            </m:rPr>
            <m:t>⋅</m:t>
          </m:r>
          <m:f>
            <m:fPr>
              <m:type m:val="bar"/>
            </m:fPr>
            <m:num>
              <m:sSub>
                <m:e>
                  <m:r>
                    <m:t>R</m:t>
                  </m:r>
                </m:e>
                <m:sub>
                  <m:r>
                    <m:t>1</m:t>
                  </m:r>
                </m:sub>
              </m:sSub>
              <m:r>
                <m:rPr>
                  <m:sty m:val="p"/>
                </m:rPr>
                <m:t>+</m:t>
              </m:r>
              <m:sSub>
                <m:e>
                  <m:r>
                    <m:t>R</m:t>
                  </m:r>
                </m:e>
                <m:sub>
                  <m:r>
                    <m:t>R</m:t>
                  </m:r>
                  <m:r>
                    <m:t>E</m:t>
                  </m:r>
                  <m:r>
                    <m:t>F</m:t>
                  </m:r>
                </m:sub>
              </m:sSub>
            </m:num>
            <m:den>
              <m:sSub>
                <m:e>
                  <m:r>
                    <m:t>R</m:t>
                  </m:r>
                </m:e>
                <m:sub>
                  <m:r>
                    <m:t>S</m:t>
                  </m:r>
                  <m:r>
                    <m:t>E</m:t>
                  </m:r>
                  <m:r>
                    <m:t>R</m:t>
                  </m:r>
                  <m:r>
                    <m:t>I</m:t>
                  </m:r>
                  <m:r>
                    <m:t>E</m:t>
                  </m:r>
                </m:sub>
              </m:sSub>
              <m:r>
                <m:rPr>
                  <m:sty m:val="p"/>
                </m:rPr>
                <m:t>+</m:t>
              </m:r>
              <m:sSub>
                <m:e>
                  <m:r>
                    <m:t>R</m:t>
                  </m:r>
                </m:e>
                <m:sub>
                  <m:r>
                    <m:t>1</m:t>
                  </m:r>
                </m:sub>
              </m:sSub>
              <m:r>
                <m:rPr>
                  <m:sty m:val="p"/>
                </m:rPr>
                <m:t>+</m:t>
              </m:r>
              <m:sSub>
                <m:e>
                  <m:r>
                    <m:t>R</m:t>
                  </m:r>
                </m:e>
                <m:sub>
                  <m:r>
                    <m:t>R</m:t>
                  </m:r>
                  <m:r>
                    <m:t>E</m:t>
                  </m:r>
                  <m:r>
                    <m:t>F</m:t>
                  </m:r>
                </m:sub>
              </m:sSub>
            </m:den>
          </m:f>
          <m:r>
            <m:rPr>
              <m:sty m:val="p"/>
            </m:rPr>
            <m:t>=</m:t>
          </m:r>
          <m:r>
            <m:t>3</m:t>
          </m:r>
          <m:r>
            <m:rPr>
              <m:sty m:val="p"/>
            </m:rPr>
            <m:t>,</m:t>
          </m:r>
          <m:r>
            <m:t>3</m:t>
          </m:r>
          <m:r>
            <m:rPr>
              <m:sty m:val="p"/>
            </m:rPr>
            <m:t>⋅</m:t>
          </m:r>
          <m:f>
            <m:fPr>
              <m:type m:val="bar"/>
            </m:fPr>
            <m:num>
              <m:r>
                <m:t>10</m:t>
              </m:r>
              <m:r>
                <m:rPr>
                  <m:sty m:val="p"/>
                </m:rPr>
                <m:t>,</m:t>
              </m:r>
              <m:r>
                <m:t>5</m:t>
              </m:r>
            </m:num>
            <m:den>
              <m:r>
                <m:t>110</m:t>
              </m:r>
              <m:r>
                <m:rPr>
                  <m:sty m:val="p"/>
                </m:rPr>
                <m:t>,</m:t>
              </m:r>
              <m:r>
                <m:t>5</m:t>
              </m:r>
            </m:den>
          </m:f>
          <m:r>
            <m:rPr>
              <m:sty m:val="p"/>
            </m:rPr>
            <m:t>≈</m:t>
          </m:r>
          <m:r>
            <m:t>0</m:t>
          </m:r>
          <m:r>
            <m:rPr>
              <m:sty m:val="p"/>
            </m:rPr>
            <m:t>,</m:t>
          </m:r>
          <m:r>
            <m:t>313</m:t>
          </m:r>
          <m:r>
            <m:rPr>
              <m:nor/>
              <m:sty m:val="p"/>
            </m:rPr>
            <m:t> V</m:t>
          </m:r>
        </m:oMath>
      </m:oMathPara>
    </w:p>
    <w:bookmarkEnd w:id="65"/>
    <w:bookmarkStart w:id="66" w:name="Xb1678c44d9c1c974a4fc32ac4a0d35b21e8d3e3"/>
    <w:p>
      <w:pPr>
        <w:pStyle w:val="Heading3"/>
      </w:pPr>
      <w:r>
        <w:t xml:space="preserve">II.2.3. Conversion analogique-numérique par HX711</w:t>
      </w:r>
    </w:p>
    <w:p>
      <w:pPr>
        <w:pStyle w:val="FirstParagraph"/>
      </w:pPr>
      <w:r>
        <w:t xml:space="preserve">Le</w:t>
      </w:r>
      <w:r>
        <w:t xml:space="preserve"> </w:t>
      </w:r>
      <w:r>
        <w:rPr>
          <w:b/>
          <w:bCs/>
        </w:rPr>
        <w:t xml:space="preserve">HX711</w:t>
      </w:r>
      <w:r>
        <w:t xml:space="preserve"> </w:t>
      </w:r>
      <w:r>
        <w:t xml:space="preserve">est un amplificateur d’instrumentation différentiel couplé à un convertisseur ADC sigma-delta 24 bits, spécialement conçu pour les capteurs en pont de Wheatstone (cellules de charge, jauges de déformation) (Adafruit, 2024 ; AVIA Semiconductor, 2017). À gain 128, sa résolution théorique est :</w:t>
      </w:r>
    </w:p>
    <w:p>
      <w:pPr>
        <w:pStyle w:val="BodyText"/>
      </w:pPr>
      <m:oMathPara>
        <m:oMathParaPr>
          <m:jc m:val="center"/>
        </m:oMathParaPr>
        <m:oMath>
          <m:sSub>
            <m:e>
              <m:r>
                <m:rPr>
                  <m:nor/>
                  <m:sty m:val="p"/>
                </m:rPr>
                <m:t>Résolution</m:t>
              </m:r>
            </m:e>
            <m:sub>
              <m:r>
                <m:t>L</m:t>
              </m:r>
              <m:r>
                <m:t>S</m:t>
              </m:r>
              <m:r>
                <m:t>B</m:t>
              </m:r>
            </m:sub>
          </m:sSub>
          <m:r>
            <m:rPr>
              <m:sty m:val="p"/>
            </m:rPr>
            <m:t>=</m:t>
          </m:r>
          <m:f>
            <m:fPr>
              <m:type m:val="bar"/>
            </m:fPr>
            <m:num>
              <m:sSub>
                <m:e>
                  <m:r>
                    <m:t>V</m:t>
                  </m:r>
                </m:e>
                <m:sub>
                  <m:r>
                    <m:t>e</m:t>
                  </m:r>
                  <m:r>
                    <m:t>x</m:t>
                  </m:r>
                  <m:r>
                    <m:t>c</m:t>
                  </m:r>
                  <m:r>
                    <m:rPr>
                      <m:sty m:val="p"/>
                    </m:rPr>
                    <m:t>,</m:t>
                  </m:r>
                  <m:r>
                    <m:t>e</m:t>
                  </m:r>
                  <m:r>
                    <m:t>f</m:t>
                  </m:r>
                  <m:r>
                    <m:t>f</m:t>
                  </m:r>
                </m:sub>
              </m:sSub>
            </m:num>
            <m:den>
              <m:sSup>
                <m:e>
                  <m:r>
                    <m:t>2</m:t>
                  </m:r>
                </m:e>
                <m:sup>
                  <m:r>
                    <m:t>23</m:t>
                  </m:r>
                </m:sup>
              </m:sSup>
              <m:r>
                <m:rPr>
                  <m:sty m:val="p"/>
                </m:rPr>
                <m:t>×</m:t>
              </m:r>
              <m:r>
                <m:t>128</m:t>
              </m:r>
            </m:den>
          </m:f>
          <m:r>
            <m:rPr>
              <m:sty m:val="p"/>
            </m:rPr>
            <m:t>≈</m:t>
          </m:r>
          <m:f>
            <m:fPr>
              <m:type m:val="bar"/>
            </m:fPr>
            <m:num>
              <m:r>
                <m:t>0</m:t>
              </m:r>
              <m:r>
                <m:rPr>
                  <m:sty m:val="p"/>
                </m:rPr>
                <m:t>,</m:t>
              </m:r>
              <m:r>
                <m:t>313</m:t>
              </m:r>
            </m:num>
            <m:den>
              <m:r>
                <m:t>1</m:t>
              </m:r>
              <m:r>
                <m:rPr>
                  <m:sty m:val="p"/>
                </m:rPr>
                <m:t>,</m:t>
              </m:r>
              <m:r>
                <m:t>07</m:t>
              </m:r>
              <m:r>
                <m:rPr>
                  <m:sty m:val="p"/>
                </m:rPr>
                <m:t>×</m:t>
              </m:r>
              <m:sSup>
                <m:e>
                  <m:r>
                    <m:t>10</m:t>
                  </m:r>
                </m:e>
                <m:sup>
                  <m:r>
                    <m:t>9</m:t>
                  </m:r>
                </m:sup>
              </m:sSup>
            </m:den>
          </m:f>
          <m:r>
            <m:rPr>
              <m:sty m:val="p"/>
            </m:rPr>
            <m:t>≈</m:t>
          </m:r>
          <m:r>
            <m:t>0</m:t>
          </m:r>
          <m:r>
            <m:rPr>
              <m:sty m:val="p"/>
            </m:rPr>
            <m:t>,</m:t>
          </m:r>
          <m:r>
            <m:t>29</m:t>
          </m:r>
          <m:r>
            <m:rPr>
              <m:nor/>
              <m:sty m:val="p"/>
            </m:rPr>
            <m:t> nV</m:t>
          </m:r>
        </m:oMath>
      </m:oMathPara>
    </w:p>
    <w:p>
      <w:pPr>
        <w:pStyle w:val="FirstParagraph"/>
      </w:pPr>
      <w:r>
        <w:t xml:space="preserve">Cette résolution sub-nanovolts permet de détecter des variations de résistance du fil ER de l’ordre de 0,01 mΩ (limite pratique imposée par le bruit thermique et électromagnétique du système). Le HX711 dispose d’un taux d’échantillonnage configurable de 10 ou 80 échantillons par seconde ; le mode 10 SPS est retenu ici pour minimiser le bruit (Adafruit, 2024).</w:t>
      </w:r>
    </w:p>
    <w:p>
      <w:pPr>
        <w:pStyle w:val="BodyText"/>
      </w:pPr>
      <w:r>
        <w:t xml:space="preserve">La conversion du code ADC en résistance</w:t>
      </w:r>
      <w:r>
        <w:t xml:space="preserve"> </w:t>
      </w:r>
      <w:r>
        <w:rPr>
          <w:i/>
          <w:iCs/>
        </w:rPr>
        <w:t xml:space="preserve">R</w:t>
      </w:r>
      <w:r>
        <w:t xml:space="preserve">ₓ est effectuée par le firmware ESP32 :</w:t>
      </w:r>
    </w:p>
    <w:p>
      <w:pPr>
        <w:pStyle w:val="BodyText"/>
      </w:pPr>
      <m:oMathPara>
        <m:oMathParaPr>
          <m:jc m:val="center"/>
        </m:oMathParaPr>
        <m:oMath>
          <m:sSub>
            <m:e>
              <m:r>
                <m:t>V</m:t>
              </m:r>
            </m:e>
            <m:sub>
              <m:r>
                <m:t>d</m:t>
              </m:r>
              <m:r>
                <m:t>i</m:t>
              </m:r>
              <m:r>
                <m:t>f</m:t>
              </m:r>
              <m:r>
                <m:t>f</m:t>
              </m:r>
              <m:r>
                <m:rPr>
                  <m:sty m:val="p"/>
                </m:rPr>
                <m:t>,</m:t>
              </m:r>
              <m:r>
                <m:t>r</m:t>
              </m:r>
              <m:r>
                <m:t>a</m:t>
              </m:r>
              <m:r>
                <m:t>w</m:t>
              </m:r>
            </m:sub>
          </m:sSub>
          <m:r>
            <m:rPr>
              <m:sty m:val="p"/>
            </m:rPr>
            <m:t>=</m:t>
          </m:r>
          <m:f>
            <m:fPr>
              <m:type m:val="bar"/>
            </m:fPr>
            <m:num>
              <m:sSub>
                <m:e>
                  <m:r>
                    <m:rPr>
                      <m:nor/>
                      <m:sty m:val="p"/>
                    </m:rPr>
                    <m:t>code</m:t>
                  </m:r>
                </m:e>
                <m:sub>
                  <m:r>
                    <m:t>H</m:t>
                  </m:r>
                  <m:r>
                    <m:t>X</m:t>
                  </m:r>
                  <m:r>
                    <m:t>711</m:t>
                  </m:r>
                </m:sub>
              </m:sSub>
            </m:num>
            <m:den>
              <m:sSup>
                <m:e>
                  <m:r>
                    <m:t>2</m:t>
                  </m:r>
                </m:e>
                <m:sup>
                  <m:r>
                    <m:t>23</m:t>
                  </m:r>
                </m:sup>
              </m:sSup>
              <m:r>
                <m:rPr>
                  <m:sty m:val="p"/>
                </m:rPr>
                <m:t>×</m:t>
              </m:r>
              <m:r>
                <m:t>128</m:t>
              </m:r>
            </m:den>
          </m:f>
          <m:r>
            <m:rPr>
              <m:sty m:val="p"/>
            </m:rPr>
            <m:t>×</m:t>
          </m:r>
          <m:sSub>
            <m:e>
              <m:r>
                <m:t>V</m:t>
              </m:r>
            </m:e>
            <m:sub>
              <m:r>
                <m:t>e</m:t>
              </m:r>
              <m:r>
                <m:t>x</m:t>
              </m:r>
              <m:r>
                <m:t>c</m:t>
              </m:r>
              <m:r>
                <m:rPr>
                  <m:sty m:val="p"/>
                </m:rPr>
                <m:t>,</m:t>
              </m:r>
              <m:r>
                <m:t>e</m:t>
              </m:r>
              <m:r>
                <m:t>f</m:t>
              </m:r>
              <m:r>
                <m:t>f</m:t>
              </m:r>
            </m:sub>
          </m:sSub>
        </m:oMath>
      </m:oMathPara>
    </w:p>
    <w:p>
      <w:pPr>
        <w:pStyle w:val="FirstParagraph"/>
      </w:pPr>
      <m:oMathPara>
        <m:oMathParaPr>
          <m:jc m:val="center"/>
        </m:oMathParaPr>
        <m:oMath>
          <m:sSub>
            <m:e>
              <m:r>
                <m:rPr>
                  <m:nor/>
                  <m:sty m:val="p"/>
                </m:rPr>
                <m:t>ratio</m:t>
              </m:r>
            </m:e>
            <m:sub>
              <m:r>
                <m:t>R</m:t>
              </m:r>
              <m:r>
                <m:t>x</m:t>
              </m:r>
            </m:sub>
          </m:sSub>
          <m:r>
            <m:rPr>
              <m:sty m:val="p"/>
            </m:rPr>
            <m:t>=</m:t>
          </m:r>
          <m:f>
            <m:fPr>
              <m:type m:val="bar"/>
            </m:fPr>
            <m:num>
              <m:sSub>
                <m:e>
                  <m:r>
                    <m:t>V</m:t>
                  </m:r>
                </m:e>
                <m:sub>
                  <m:r>
                    <m:t>d</m:t>
                  </m:r>
                  <m:r>
                    <m:t>i</m:t>
                  </m:r>
                  <m:r>
                    <m:t>f</m:t>
                  </m:r>
                  <m:r>
                    <m:t>f</m:t>
                  </m:r>
                  <m:r>
                    <m:rPr>
                      <m:sty m:val="p"/>
                    </m:rPr>
                    <m:t>,</m:t>
                  </m:r>
                  <m:r>
                    <m:t>r</m:t>
                  </m:r>
                  <m:r>
                    <m:t>a</m:t>
                  </m:r>
                  <m:r>
                    <m:t>w</m:t>
                  </m:r>
                </m:sub>
              </m:sSub>
            </m:num>
            <m:den>
              <m:sSub>
                <m:e>
                  <m:r>
                    <m:t>V</m:t>
                  </m:r>
                </m:e>
                <m:sub>
                  <m:r>
                    <m:t>e</m:t>
                  </m:r>
                  <m:r>
                    <m:t>x</m:t>
                  </m:r>
                  <m:r>
                    <m:t>c</m:t>
                  </m:r>
                  <m:r>
                    <m:rPr>
                      <m:sty m:val="p"/>
                    </m:rPr>
                    <m:t>,</m:t>
                  </m:r>
                  <m:r>
                    <m:t>e</m:t>
                  </m:r>
                  <m:r>
                    <m:t>f</m:t>
                  </m:r>
                  <m:r>
                    <m:t>f</m:t>
                  </m:r>
                </m:sub>
              </m:sSub>
            </m:den>
          </m:f>
          <m:r>
            <m:rPr>
              <m:sty m:val="p"/>
            </m:rPr>
            <m:t>+</m:t>
          </m:r>
          <m:f>
            <m:fPr>
              <m:type m:val="bar"/>
            </m:fPr>
            <m:num>
              <m:sSub>
                <m:e>
                  <m:r>
                    <m:t>R</m:t>
                  </m:r>
                </m:e>
                <m:sub>
                  <m:r>
                    <m:t>R</m:t>
                  </m:r>
                  <m:r>
                    <m:t>E</m:t>
                  </m:r>
                  <m:r>
                    <m:t>F</m:t>
                  </m:r>
                </m:sub>
              </m:sSub>
            </m:num>
            <m:den>
              <m:sSub>
                <m:e>
                  <m:r>
                    <m:t>R</m:t>
                  </m:r>
                </m:e>
                <m:sub>
                  <m:r>
                    <m:t>1</m:t>
                  </m:r>
                </m:sub>
              </m:sSub>
              <m:r>
                <m:rPr>
                  <m:sty m:val="p"/>
                </m:rPr>
                <m:t>+</m:t>
              </m:r>
              <m:sSub>
                <m:e>
                  <m:r>
                    <m:t>R</m:t>
                  </m:r>
                </m:e>
                <m:sub>
                  <m:r>
                    <m:t>R</m:t>
                  </m:r>
                  <m:r>
                    <m:t>E</m:t>
                  </m:r>
                  <m:r>
                    <m:t>F</m:t>
                  </m:r>
                </m:sub>
              </m:sSub>
            </m:den>
          </m:f>
        </m:oMath>
      </m:oMathPara>
    </w:p>
    <w:p>
      <w:pPr>
        <w:pStyle w:val="FirstParagraph"/>
      </w:pPr>
      <m:oMathPara>
        <m:oMathParaPr>
          <m:jc m:val="center"/>
        </m:oMathParaPr>
        <m:oMath>
          <m:sSub>
            <m:e>
              <m:r>
                <m:t>R</m:t>
              </m:r>
            </m:e>
            <m:sub>
              <m:r>
                <m:t>x</m:t>
              </m:r>
            </m:sub>
          </m:sSub>
          <m:r>
            <m:rPr>
              <m:sty m:val="p"/>
            </m:rPr>
            <m:t>=</m:t>
          </m:r>
          <m:sSub>
            <m:e>
              <m:r>
                <m:t>R</m:t>
              </m:r>
            </m:e>
            <m:sub>
              <m:r>
                <m:t>2</m:t>
              </m:r>
            </m:sub>
          </m:sSub>
          <m:r>
            <m:rPr>
              <m:sty m:val="p"/>
            </m:rPr>
            <m:t>⋅</m:t>
          </m:r>
          <m:f>
            <m:fPr>
              <m:type m:val="bar"/>
            </m:fPr>
            <m:num>
              <m:sSub>
                <m:e>
                  <m:r>
                    <m:rPr>
                      <m:nor/>
                      <m:sty m:val="p"/>
                    </m:rPr>
                    <m:t>ratio</m:t>
                  </m:r>
                </m:e>
                <m:sub>
                  <m:r>
                    <m:t>R</m:t>
                  </m:r>
                  <m:r>
                    <m:t>x</m:t>
                  </m:r>
                </m:sub>
              </m:sSub>
            </m:num>
            <m:den>
              <m:r>
                <m:t>1</m:t>
              </m:r>
              <m:r>
                <m:rPr>
                  <m:sty m:val="p"/>
                </m:rPr>
                <m:t>−</m:t>
              </m:r>
              <m:sSub>
                <m:e>
                  <m:r>
                    <m:rPr>
                      <m:nor/>
                      <m:sty m:val="p"/>
                    </m:rPr>
                    <m:t>ratio</m:t>
                  </m:r>
                </m:e>
                <m:sub>
                  <m:r>
                    <m:t>R</m:t>
                  </m:r>
                  <m:r>
                    <m:t>x</m:t>
                  </m:r>
                </m:sub>
              </m:sSub>
            </m:den>
          </m:f>
        </m:oMath>
      </m:oMathPara>
    </w:p>
    <w:bookmarkEnd w:id="66"/>
    <w:bookmarkStart w:id="70" w:name="Xbb16ac8524b73be8ea1078b499461bed8d4a0c5"/>
    <w:p>
      <w:pPr>
        <w:pStyle w:val="Heading3"/>
      </w:pPr>
      <w:r>
        <w:t xml:space="preserve">II.2.4. Système d’acquisition IoT — ESP32 en deep sleep pulsé</w:t>
      </w:r>
    </w:p>
    <w:p>
      <w:pPr>
        <w:pStyle w:val="FirstParagraph"/>
      </w:pPr>
      <w:r>
        <w:t xml:space="preserve">L’</w:t>
      </w:r>
      <w:r>
        <w:rPr>
          <w:b/>
          <w:bCs/>
        </w:rPr>
        <w:t xml:space="preserve">ESP32 DevKit V1</w:t>
      </w:r>
      <w:r>
        <w:t xml:space="preserve"> </w:t>
      </w:r>
      <w:r>
        <w:t xml:space="preserve">est un microcontrôleur bi-cœur Wi-Fi + Bluetooth (Espressif Systems) intégrant un mode</w:t>
      </w:r>
      <w:r>
        <w:t xml:space="preserve"> </w:t>
      </w:r>
      <w:r>
        <w:rPr>
          <w:b/>
          <w:bCs/>
        </w:rPr>
        <w:t xml:space="preserve">deep sleep</w:t>
      </w:r>
      <w:r>
        <w:t xml:space="preserve"> </w:t>
      </w:r>
      <w:r>
        <w:t xml:space="preserve">à très faible consommation (~10 µA) (Espressif, 2024). Le firmware développé suit le cycle suivant à chaque réveil :</w:t>
      </w:r>
    </w:p>
    <w:p>
      <w:pPr>
        <w:pStyle w:val="Compact"/>
        <w:numPr>
          <w:ilvl w:val="0"/>
          <w:numId w:val="1025"/>
        </w:numPr>
      </w:pPr>
      <w:r>
        <w:rPr>
          <w:b/>
          <w:bCs/>
        </w:rPr>
        <w:t xml:space="preserve">Réveil</w:t>
      </w:r>
      <w:r>
        <w:t xml:space="preserve"> </w:t>
      </w:r>
      <w:r>
        <w:t xml:space="preserve">depuis le deep sleep (timer RTC) ;</w:t>
      </w:r>
    </w:p>
    <w:p>
      <w:pPr>
        <w:pStyle w:val="Compact"/>
        <w:numPr>
          <w:ilvl w:val="0"/>
          <w:numId w:val="1025"/>
        </w:numPr>
      </w:pPr>
      <w:r>
        <w:rPr>
          <w:b/>
          <w:bCs/>
        </w:rPr>
        <w:t xml:space="preserve">Initialisation</w:t>
      </w:r>
      <w:r>
        <w:t xml:space="preserve"> </w:t>
      </w:r>
      <w:r>
        <w:t xml:space="preserve">des bibliothèques HX711 et DallasTemperature ;</w:t>
      </w:r>
    </w:p>
    <w:p>
      <w:pPr>
        <w:pStyle w:val="Compact"/>
        <w:numPr>
          <w:ilvl w:val="0"/>
          <w:numId w:val="1025"/>
        </w:numPr>
      </w:pPr>
      <w:r>
        <w:rPr>
          <w:b/>
          <w:bCs/>
        </w:rPr>
        <w:t xml:space="preserve">Lecture HX711</w:t>
      </w:r>
      <w:r>
        <w:t xml:space="preserve"> </w:t>
      </w:r>
      <w:r>
        <w:t xml:space="preserve">: moyenne sur 10 échantillons →</w:t>
      </w:r>
      <w:r>
        <w:t xml:space="preserve"> </w:t>
      </w:r>
      <w:r>
        <w:rPr>
          <w:i/>
          <w:iCs/>
        </w:rPr>
        <w:t xml:space="preserve">R</w:t>
      </w:r>
      <w:r>
        <w:t xml:space="preserve">ₓ ;</w:t>
      </w:r>
    </w:p>
    <w:p>
      <w:pPr>
        <w:pStyle w:val="Compact"/>
        <w:numPr>
          <w:ilvl w:val="0"/>
          <w:numId w:val="1025"/>
        </w:numPr>
      </w:pPr>
      <w:r>
        <w:rPr>
          <w:b/>
          <w:bCs/>
        </w:rPr>
        <w:t xml:space="preserve">Lecture DS18B20</w:t>
      </w:r>
      <w:r>
        <w:t xml:space="preserve"> </w:t>
      </w:r>
      <w:r>
        <w:t xml:space="preserve">: conversion 12 bits (0,0625 °C) →</w:t>
      </w:r>
      <w:r>
        <w:t xml:space="preserve"> </w:t>
      </w:r>
      <w:r>
        <w:rPr>
          <w:i/>
          <w:iCs/>
        </w:rPr>
        <w:t xml:space="preserve">T</w:t>
      </w:r>
      <w:r>
        <w:t xml:space="preserve"> </w:t>
      </w:r>
      <w:r>
        <w:t xml:space="preserve">;</w:t>
      </w:r>
    </w:p>
    <w:p>
      <w:pPr>
        <w:pStyle w:val="Compact"/>
        <w:numPr>
          <w:ilvl w:val="0"/>
          <w:numId w:val="1025"/>
        </w:numPr>
      </w:pPr>
      <w:r>
        <w:rPr>
          <w:b/>
          <w:bCs/>
        </w:rPr>
        <w:t xml:space="preserve">Connexion Wi-Fi</w:t>
      </w:r>
      <w:r>
        <w:t xml:space="preserve"> </w:t>
      </w:r>
      <w:r>
        <w:t xml:space="preserve">et</w:t>
      </w:r>
      <w:r>
        <w:t xml:space="preserve"> </w:t>
      </w:r>
      <w:r>
        <w:rPr>
          <w:b/>
          <w:bCs/>
        </w:rPr>
        <w:t xml:space="preserve">envoi HTTPS POST</w:t>
      </w:r>
      <w:r>
        <w:t xml:space="preserve"> </w:t>
      </w:r>
      <w:r>
        <w:t xml:space="preserve">vers la base de données</w:t>
      </w:r>
      <w:r>
        <w:t xml:space="preserve"> </w:t>
      </w:r>
      <w:r>
        <w:rPr>
          <w:b/>
          <w:bCs/>
        </w:rPr>
        <w:t xml:space="preserve">Supabase</w:t>
      </w:r>
      <w:r>
        <w:t xml:space="preserve"> </w:t>
      </w:r>
      <w:r>
        <w:t xml:space="preserve">(PostgreSQL managé) via son API REST PostgREST, payload JSON ;</w:t>
      </w:r>
    </w:p>
    <w:p>
      <w:pPr>
        <w:pStyle w:val="Compact"/>
        <w:numPr>
          <w:ilvl w:val="0"/>
          <w:numId w:val="1025"/>
        </w:numPr>
      </w:pPr>
      <w:r>
        <w:rPr>
          <w:b/>
          <w:bCs/>
        </w:rPr>
        <w:t xml:space="preserve">Power-down HX711</w:t>
      </w:r>
      <w:r>
        <w:t xml:space="preserve"> </w:t>
      </w:r>
      <w:r>
        <w:t xml:space="preserve">(SCK HIGH &gt; 60 µs) ;</w:t>
      </w:r>
    </w:p>
    <w:p>
      <w:pPr>
        <w:pStyle w:val="Compact"/>
        <w:numPr>
          <w:ilvl w:val="0"/>
          <w:numId w:val="1025"/>
        </w:numPr>
      </w:pPr>
      <w:r>
        <w:rPr>
          <w:b/>
          <w:bCs/>
        </w:rPr>
        <w:t xml:space="preserve">Programmation du deep sleep</w:t>
      </w:r>
      <w:r>
        <w:t xml:space="preserve"> </w:t>
      </w:r>
      <w:r>
        <w:t xml:space="preserve">suivant (600 secondes = 10 minutes) ;</w:t>
      </w:r>
    </w:p>
    <w:p>
      <w:pPr>
        <w:pStyle w:val="Compact"/>
        <w:numPr>
          <w:ilvl w:val="0"/>
          <w:numId w:val="1025"/>
        </w:numPr>
      </w:pPr>
      <w:r>
        <w:rPr>
          <w:b/>
          <w:bCs/>
        </w:rPr>
        <w:t xml:space="preserve">Mise en deep sleep</w:t>
      </w:r>
      <w:r>
        <w:t xml:space="preserve">.</w:t>
      </w:r>
    </w:p>
    <w:p>
      <w:pPr>
        <w:pStyle w:val="CaptionedFigure"/>
      </w:pPr>
      <w:r>
        <w:drawing>
          <wp:inline>
            <wp:extent cx="5067300" cy="2288270"/>
            <wp:effectExtent b="0" l="0" r="0" t="0"/>
            <wp:docPr descr="Figure II.3 — Cycle de fonctionnement ESP32 en deep sleep pulsé" title="" id="68" name="Picture"/>
            <a:graphic>
              <a:graphicData uri="http://schemas.openxmlformats.org/drawingml/2006/picture">
                <pic:pic>
                  <pic:nvPicPr>
                    <pic:cNvPr descr="figures/fig_ii3_cycle_esp32.png" id="69" name="Picture"/>
                    <pic:cNvPicPr>
                      <a:picLocks noChangeArrowheads="1" noChangeAspect="1"/>
                    </pic:cNvPicPr>
                  </pic:nvPicPr>
                  <pic:blipFill>
                    <a:blip r:embed="rId67"/>
                    <a:stretch>
                      <a:fillRect/>
                    </a:stretch>
                  </pic:blipFill>
                  <pic:spPr bwMode="auto">
                    <a:xfrm>
                      <a:off x="0" y="0"/>
                      <a:ext cx="5067300" cy="2288270"/>
                    </a:xfrm>
                    <a:prstGeom prst="rect">
                      <a:avLst/>
                    </a:prstGeom>
                    <a:noFill/>
                    <a:ln w="9525">
                      <a:noFill/>
                      <a:headEnd/>
                      <a:tailEnd/>
                    </a:ln>
                  </pic:spPr>
                </pic:pic>
              </a:graphicData>
            </a:graphic>
          </wp:inline>
        </w:drawing>
      </w:r>
    </w:p>
    <w:p>
      <w:pPr>
        <w:pStyle w:val="ImageCaption"/>
      </w:pPr>
      <w:r>
        <w:t xml:space="preserve">Figure II.3 — Cycle de fonctionnement ESP32 en deep sleep pulsé</w:t>
      </w:r>
    </w:p>
    <w:p>
      <w:pPr>
        <w:pStyle w:val="BodyText"/>
      </w:pPr>
      <w:r>
        <w:t xml:space="preserve">La</w:t>
      </w:r>
      <w:r>
        <w:t xml:space="preserve"> </w:t>
      </w:r>
      <w:r>
        <w:rPr>
          <w:b/>
          <w:bCs/>
        </w:rPr>
        <w:t xml:space="preserve">persistance locale</w:t>
      </w:r>
      <w:r>
        <w:t xml:space="preserve"> </w:t>
      </w:r>
      <w:r>
        <w:t xml:space="preserve">entre cycles de deep sleep est assurée par la mémoire RTC (variables</w:t>
      </w:r>
      <w:r>
        <w:t xml:space="preserve"> </w:t>
      </w:r>
      <w:r>
        <w:rPr>
          <w:rStyle w:val="VerbatimChar"/>
        </w:rPr>
        <w:t xml:space="preserve">RTC_DATA_ATTR</w:t>
      </w:r>
      <w:r>
        <w:t xml:space="preserve">) qui conserve le compteur de mesures, la dernière valeur de</w:t>
      </w:r>
      <w:r>
        <w:t xml:space="preserve"> </w:t>
      </w:r>
      <w:r>
        <w:rPr>
          <w:i/>
          <w:iCs/>
        </w:rPr>
        <w:t xml:space="preserve">R</w:t>
      </w:r>
      <w:r>
        <w:t xml:space="preserve">ₓ et l’horodatage de la dernière transmission. La</w:t>
      </w:r>
      <w:r>
        <w:t xml:space="preserve"> </w:t>
      </w:r>
      <w:r>
        <w:rPr>
          <w:b/>
          <w:bCs/>
        </w:rPr>
        <w:t xml:space="preserve">persistance distante</w:t>
      </w:r>
      <w:r>
        <w:t xml:space="preserve"> </w:t>
      </w:r>
      <w:r>
        <w:t xml:space="preserve">des mesures est assurée côté Supabase dans la table</w:t>
      </w:r>
      <w:r>
        <w:t xml:space="preserve"> </w:t>
      </w:r>
      <w:r>
        <w:rPr>
          <w:rStyle w:val="VerbatimChar"/>
        </w:rPr>
        <w:t xml:space="preserve">measurements</w:t>
      </w:r>
      <w:r>
        <w:t xml:space="preserve"> </w:t>
      </w:r>
      <w:r>
        <w:t xml:space="preserve">(voir Annexe F). En cas d’échec Wi-Fi, la mesure est mise en file d’attente en mémoire RTC et retransmise au cycle suivant. Le</w:t>
      </w:r>
      <w:r>
        <w:t xml:space="preserve"> </w:t>
      </w:r>
      <w:r>
        <w:rPr>
          <w:b/>
          <w:bCs/>
        </w:rPr>
        <w:t xml:space="preserve">payload JSON</w:t>
      </w:r>
      <w:r>
        <w:t xml:space="preserve"> </w:t>
      </w:r>
      <w:r>
        <w:t xml:space="preserve">émis est :</w:t>
      </w:r>
    </w:p>
    <w:p>
      <w:pPr>
        <w:pStyle w:val="SourceCode"/>
      </w:pPr>
      <w:r>
        <w:rPr>
          <w:rStyle w:val="FunctionTok"/>
        </w:rPr>
        <w:t xml:space="preserve">{</w:t>
      </w:r>
      <w:r>
        <w:br/>
      </w:r>
      <w:r>
        <w:rPr>
          <w:rStyle w:val="NormalTok"/>
        </w:rPr>
        <w:t xml:space="preserve">  </w:t>
      </w:r>
      <w:r>
        <w:rPr>
          <w:rStyle w:val="DataTypeTok"/>
        </w:rPr>
        <w:t xml:space="preserve">"timestamp_s"</w:t>
      </w:r>
      <w:r>
        <w:rPr>
          <w:rStyle w:val="FunctionTok"/>
        </w:rPr>
        <w:t xml:space="preserve">:</w:t>
      </w:r>
      <w:r>
        <w:rPr>
          <w:rStyle w:val="NormalTok"/>
        </w:rPr>
        <w:t xml:space="preserve"> </w:t>
      </w:r>
      <w:r>
        <w:rPr>
          <w:rStyle w:val="DecValTok"/>
        </w:rPr>
        <w:t xml:space="preserve">1714500000</w:t>
      </w:r>
      <w:r>
        <w:rPr>
          <w:rStyle w:val="FunctionTok"/>
        </w:rPr>
        <w:t xml:space="preserve">,</w:t>
      </w:r>
      <w:r>
        <w:br/>
      </w:r>
      <w:r>
        <w:rPr>
          <w:rStyle w:val="NormalTok"/>
        </w:rPr>
        <w:t xml:space="preserve">  </w:t>
      </w:r>
      <w:r>
        <w:rPr>
          <w:rStyle w:val="DataTypeTok"/>
        </w:rPr>
        <w:t xml:space="preserve">"vdiff_v"</w:t>
      </w:r>
      <w:r>
        <w:rPr>
          <w:rStyle w:val="FunctionTok"/>
        </w:rPr>
        <w:t xml:space="preserve">:</w:t>
      </w:r>
      <w:r>
        <w:rPr>
          <w:rStyle w:val="NormalTok"/>
        </w:rPr>
        <w:t xml:space="preserve"> </w:t>
      </w:r>
      <w:r>
        <w:rPr>
          <w:rStyle w:val="FloatTok"/>
        </w:rPr>
        <w:t xml:space="preserve">-1.23e-6</w:t>
      </w:r>
      <w:r>
        <w:rPr>
          <w:rStyle w:val="FunctionTok"/>
        </w:rPr>
        <w:t xml:space="preserve">,</w:t>
      </w:r>
      <w:r>
        <w:br/>
      </w:r>
      <w:r>
        <w:rPr>
          <w:rStyle w:val="NormalTok"/>
        </w:rPr>
        <w:t xml:space="preserve">  </w:t>
      </w:r>
      <w:r>
        <w:rPr>
          <w:rStyle w:val="DataTypeTok"/>
        </w:rPr>
        <w:t xml:space="preserve">"rx_ohm"</w:t>
      </w:r>
      <w:r>
        <w:rPr>
          <w:rStyle w:val="FunctionTok"/>
        </w:rPr>
        <w:t xml:space="preserve">:</w:t>
      </w:r>
      <w:r>
        <w:rPr>
          <w:rStyle w:val="NormalTok"/>
        </w:rPr>
        <w:t xml:space="preserve"> </w:t>
      </w:r>
      <w:r>
        <w:rPr>
          <w:rStyle w:val="FloatTok"/>
        </w:rPr>
        <w:t xml:space="preserve">0.132156</w:t>
      </w:r>
      <w:r>
        <w:rPr>
          <w:rStyle w:val="FunctionTok"/>
        </w:rPr>
        <w:t xml:space="preserve">,</w:t>
      </w:r>
      <w:r>
        <w:br/>
      </w:r>
      <w:r>
        <w:rPr>
          <w:rStyle w:val="NormalTok"/>
        </w:rPr>
        <w:t xml:space="preserve">  </w:t>
      </w:r>
      <w:r>
        <w:rPr>
          <w:rStyle w:val="DataTypeTok"/>
        </w:rPr>
        <w:t xml:space="preserve">"temp_c"</w:t>
      </w:r>
      <w:r>
        <w:rPr>
          <w:rStyle w:val="FunctionTok"/>
        </w:rPr>
        <w:t xml:space="preserve">:</w:t>
      </w:r>
      <w:r>
        <w:rPr>
          <w:rStyle w:val="NormalTok"/>
        </w:rPr>
        <w:t xml:space="preserve"> </w:t>
      </w:r>
      <w:r>
        <w:rPr>
          <w:rStyle w:val="FloatTok"/>
        </w:rPr>
        <w:t xml:space="preserve">26.44</w:t>
      </w:r>
      <w:r>
        <w:rPr>
          <w:rStyle w:val="FunctionTok"/>
        </w:rPr>
        <w:t xml:space="preserve">,</w:t>
      </w:r>
      <w:r>
        <w:br/>
      </w:r>
      <w:r>
        <w:rPr>
          <w:rStyle w:val="NormalTok"/>
        </w:rPr>
        <w:t xml:space="preserve">  </w:t>
      </w:r>
      <w:r>
        <w:rPr>
          <w:rStyle w:val="DataTypeTok"/>
        </w:rPr>
        <w:t xml:space="preserve">"delta_r_per_h"</w:t>
      </w:r>
      <w:r>
        <w:rPr>
          <w:rStyle w:val="FunctionTok"/>
        </w:rPr>
        <w:t xml:space="preserve">:</w:t>
      </w:r>
      <w:r>
        <w:rPr>
          <w:rStyle w:val="NormalTok"/>
        </w:rPr>
        <w:t xml:space="preserve"> </w:t>
      </w:r>
      <w:r>
        <w:rPr>
          <w:rStyle w:val="FloatTok"/>
        </w:rPr>
        <w:t xml:space="preserve">2.7e-7</w:t>
      </w:r>
      <w:r>
        <w:br/>
      </w:r>
      <w:r>
        <w:rPr>
          <w:rStyle w:val="FunctionTok"/>
        </w:rPr>
        <w:t xml:space="preserve">}</w:t>
      </w:r>
    </w:p>
    <w:p>
      <w:pPr>
        <w:pStyle w:val="FirstParagraph"/>
      </w:pPr>
      <w:r>
        <w:t xml:space="preserve">Le</w:t>
      </w:r>
      <w:r>
        <w:t xml:space="preserve"> </w:t>
      </w:r>
      <w:r>
        <w:rPr>
          <w:b/>
          <w:bCs/>
        </w:rPr>
        <w:t xml:space="preserve">code source du firmware</w:t>
      </w:r>
      <w:r>
        <w:t xml:space="preserve"> </w:t>
      </w:r>
      <w:r>
        <w:t xml:space="preserve">est versionné sur</w:t>
      </w:r>
      <w:r>
        <w:t xml:space="preserve"> </w:t>
      </w:r>
      <w:r>
        <w:rPr>
          <w:b/>
          <w:bCs/>
        </w:rPr>
        <w:t xml:space="preserve">GitHub</w:t>
      </w:r>
      <w:r>
        <w:t xml:space="preserve"> </w:t>
      </w:r>
      <w:r>
        <w:t xml:space="preserve">(dépôt</w:t>
      </w:r>
      <w:r>
        <w:t xml:space="preserve"> </w:t>
      </w:r>
      <w:r>
        <w:rPr>
          <w:rStyle w:val="VerbatimChar"/>
        </w:rPr>
        <w:t xml:space="preserve">londola13/predictive-maintenance-corrosion</w:t>
      </w:r>
      <w:r>
        <w:t xml:space="preserve">, répertoire</w:t>
      </w:r>
      <w:r>
        <w:t xml:space="preserve"> </w:t>
      </w:r>
      <w:r>
        <w:rPr>
          <w:rStyle w:val="VerbatimChar"/>
        </w:rPr>
        <w:t xml:space="preserve">firmware/</w:t>
      </w:r>
      <w:r>
        <w:t xml:space="preserve">), de même que l’ensemble du pipeline Python ML, le code de l’application Streamlit, les notebooks d’analyse et le présent mémoire — assurant traçabilité, reproductibilité et historisation des évolutions tout au long du projet.</w:t>
      </w:r>
    </w:p>
    <w:p>
      <w:r>
        <w:pict>
          <v:rect style="width:0;height:1.5pt" o:hralign="center" o:hrstd="t" o:hr="t"/>
        </w:pict>
      </w:r>
    </w:p>
    <w:bookmarkEnd w:id="70"/>
    <w:bookmarkEnd w:id="71"/>
    <w:bookmarkStart w:id="75" w:name="ii.3.-matériels-mobilisés"/>
    <w:p>
      <w:pPr>
        <w:pStyle w:val="Heading2"/>
      </w:pPr>
      <w:r>
        <w:t xml:space="preserve">II.3. Matériels mobilisés</w:t>
      </w:r>
    </w:p>
    <w:bookmarkStart w:id="72" w:name="ii.3.1.-matériels-expérimentaux"/>
    <w:p>
      <w:pPr>
        <w:pStyle w:val="Heading3"/>
      </w:pPr>
      <w:r>
        <w:t xml:space="preserve">II.3.1. Matériels expérimentaux</w:t>
      </w:r>
    </w:p>
    <w:p>
      <w:pPr>
        <w:pStyle w:val="FirstParagraph"/>
      </w:pPr>
      <w:r>
        <w:t xml:space="preserve">Le tableau ci-dessous consolide la totalité des matériels mobilisés dans le cadre de cette recherche.</w:t>
      </w:r>
    </w:p>
    <w:p>
      <w:pPr>
        <w:pStyle w:val="BodyText"/>
      </w:pPr>
      <w:r>
        <w:rPr>
          <w:b/>
          <w:bCs/>
        </w:rPr>
        <w:t xml:space="preserve">Tableau II.2 — Récapitulatif des matériels expérimentaux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Utilité</w:t>
            </w:r>
          </w:p>
        </w:tc>
        <w:tc>
          <w:tcPr/>
          <w:p>
            <w:pPr>
              <w:pStyle w:val="Compact"/>
            </w:pPr>
            <w:r>
              <w:t xml:space="preserve">Outils / Spécifications</w:t>
            </w:r>
          </w:p>
        </w:tc>
      </w:tr>
      <w:tr>
        <w:tc>
          <w:tcPr/>
          <w:p>
            <w:pPr>
              <w:pStyle w:val="Compact"/>
            </w:pPr>
            <w:r>
              <w:t xml:space="preserve">Microcontrôleur</w:t>
            </w:r>
          </w:p>
        </w:tc>
        <w:tc>
          <w:tcPr/>
          <w:p>
            <w:pPr>
              <w:pStyle w:val="Compact"/>
            </w:pPr>
            <w:r>
              <w:t xml:space="preserve">Acquisition, calcul, transmission</w:t>
            </w:r>
          </w:p>
        </w:tc>
        <w:tc>
          <w:tcPr/>
          <w:p>
            <w:pPr>
              <w:pStyle w:val="Compact"/>
            </w:pPr>
            <w:r>
              <w:t xml:space="preserve">ESP32 DevKit V1 (Espressif)</w:t>
            </w:r>
          </w:p>
        </w:tc>
      </w:tr>
      <w:tr>
        <w:tc>
          <w:tcPr/>
          <w:p>
            <w:pPr>
              <w:pStyle w:val="Compact"/>
            </w:pPr>
            <w:r>
              <w:t xml:space="preserve">Amplificateur ADC</w:t>
            </w:r>
          </w:p>
        </w:tc>
        <w:tc>
          <w:tcPr/>
          <w:p>
            <w:pPr>
              <w:pStyle w:val="Compact"/>
            </w:pPr>
            <w:r>
              <w:t xml:space="preserve">Conversion pont Wheatstone</w:t>
            </w:r>
          </w:p>
        </w:tc>
        <w:tc>
          <w:tcPr/>
          <w:p>
            <w:pPr>
              <w:pStyle w:val="Compact"/>
            </w:pPr>
            <w:r>
              <w:t xml:space="preserve">HX711 24 bits, gain 128</w:t>
            </w:r>
          </w:p>
        </w:tc>
      </w:tr>
      <w:tr>
        <w:tc>
          <w:tcPr/>
          <w:p>
            <w:pPr>
              <w:pStyle w:val="Compact"/>
            </w:pPr>
            <w:r>
              <w:t xml:space="preserve">Capteur de température</w:t>
            </w:r>
          </w:p>
        </w:tc>
        <w:tc>
          <w:tcPr/>
          <w:p>
            <w:pPr>
              <w:pStyle w:val="Compact"/>
            </w:pPr>
            <w:r>
              <w:t xml:space="preserve">Compensation thermique</w:t>
            </w:r>
          </w:p>
        </w:tc>
        <w:tc>
          <w:tcPr/>
          <w:p>
            <w:pPr>
              <w:pStyle w:val="Compact"/>
            </w:pPr>
            <w:r>
              <w:t xml:space="preserve">DS18B20, bus 1-Wire, résolution 12 bits</w:t>
            </w:r>
          </w:p>
        </w:tc>
      </w:tr>
      <w:tr>
        <w:tc>
          <w:tcPr/>
          <w:p>
            <w:pPr>
              <w:pStyle w:val="Compact"/>
            </w:pPr>
            <w:r>
              <w:t xml:space="preserve">Fil ER actif</w:t>
            </w:r>
          </w:p>
        </w:tc>
        <w:tc>
          <w:tcPr/>
          <w:p>
            <w:pPr>
              <w:pStyle w:val="Compact"/>
            </w:pPr>
            <w:r>
              <w:t xml:space="preserve">Élément corrodable</w:t>
            </w:r>
          </w:p>
        </w:tc>
        <w:tc>
          <w:tcPr/>
          <w:p>
            <w:pPr>
              <w:pStyle w:val="Compact"/>
            </w:pPr>
            <w:r>
              <w:t xml:space="preserve">Fil de fer recuit, Ø 0,3 mm,</w:t>
            </w:r>
            <w:r>
              <w:t xml:space="preserve"> </w:t>
            </w:r>
            <w:r>
              <w:rPr>
                <w:i/>
                <w:iCs/>
              </w:rPr>
              <w:t xml:space="preserve">L</w:t>
            </w:r>
            <w:r>
              <w:t xml:space="preserve"> </w:t>
            </w:r>
            <w:r>
              <w:t xml:space="preserve">= 1,1 m</w:t>
            </w:r>
          </w:p>
        </w:tc>
      </w:tr>
      <w:tr>
        <w:tc>
          <w:tcPr/>
          <w:p>
            <w:pPr>
              <w:pStyle w:val="Compact"/>
            </w:pPr>
            <w:r>
              <w:t xml:space="preserve">Résistances pont</w:t>
            </w:r>
          </w:p>
        </w:tc>
        <w:tc>
          <w:tcPr/>
          <w:p>
            <w:pPr>
              <w:pStyle w:val="Compact"/>
            </w:pPr>
            <w:r>
              <w:t xml:space="preserve">Bras de référence</w:t>
            </w:r>
          </w:p>
        </w:tc>
        <w:tc>
          <w:tcPr/>
          <w:p>
            <w:pPr>
              <w:pStyle w:val="Compact"/>
            </w:pPr>
            <w:r>
              <w:rPr>
                <w:i/>
                <w:iCs/>
              </w:rPr>
              <w:t xml:space="preserve">R</w:t>
            </w:r>
            <w:r>
              <w:t xml:space="preserve">₁ =</w:t>
            </w:r>
            <w:r>
              <w:t xml:space="preserve"> </w:t>
            </w:r>
            <w:r>
              <w:rPr>
                <w:i/>
                <w:iCs/>
              </w:rPr>
              <w:t xml:space="preserve">R</w:t>
            </w:r>
            <w:r>
              <w:t xml:space="preserve">₂ = 10 Ω,</w:t>
            </w:r>
            <w:r>
              <w:t xml:space="preserve"> </w:t>
            </w:r>
            <w:r>
              <w:rPr>
                <w:i/>
                <w:iCs/>
              </w:rPr>
              <w:t xml:space="preserve">R</w:t>
            </w:r>
            <w:r>
              <w:t xml:space="preserve">_REF = 0,5 Ω (1 %)</w:t>
            </w:r>
          </w:p>
        </w:tc>
      </w:tr>
      <w:tr>
        <w:tc>
          <w:tcPr/>
          <w:p>
            <w:pPr>
              <w:pStyle w:val="Compact"/>
            </w:pPr>
            <w:r>
              <w:t xml:space="preserve">Résistance série</w:t>
            </w:r>
          </w:p>
        </w:tc>
        <w:tc>
          <w:tcPr/>
          <w:p>
            <w:pPr>
              <w:pStyle w:val="Compact"/>
            </w:pPr>
            <w:r>
              <w:t xml:space="preserve">Limitation courant</w:t>
            </w:r>
          </w:p>
        </w:tc>
        <w:tc>
          <w:tcPr/>
          <w:p>
            <w:pPr>
              <w:pStyle w:val="Compact"/>
            </w:pPr>
            <w:r>
              <w:rPr>
                <w:i/>
                <w:iCs/>
              </w:rPr>
              <w:t xml:space="preserve">R</w:t>
            </w:r>
            <w:r>
              <w:t xml:space="preserve">_SERIE = 100 Ω (1 %)</w:t>
            </w:r>
          </w:p>
        </w:tc>
      </w:tr>
      <w:tr>
        <w:tc>
          <w:tcPr/>
          <w:p>
            <w:pPr>
              <w:pStyle w:val="Compact"/>
            </w:pPr>
            <w:r>
              <w:t xml:space="preserve">Pull-up DS18B20</w:t>
            </w:r>
          </w:p>
        </w:tc>
        <w:tc>
          <w:tcPr/>
          <w:p>
            <w:pPr>
              <w:pStyle w:val="Compact"/>
            </w:pPr>
            <w:r>
              <w:t xml:space="preserve">Bus 1-Wire</w:t>
            </w:r>
          </w:p>
        </w:tc>
        <w:tc>
          <w:tcPr/>
          <w:p>
            <w:pPr>
              <w:pStyle w:val="Compact"/>
            </w:pPr>
            <w:r>
              <w:t xml:space="preserve">4,7 kΩ</w:t>
            </w:r>
          </w:p>
        </w:tc>
      </w:tr>
      <w:tr>
        <w:tc>
          <w:tcPr/>
          <w:p>
            <w:pPr>
              <w:pStyle w:val="Compact"/>
            </w:pPr>
            <w:r>
              <w:t xml:space="preserve">Cellule de corrosion</w:t>
            </w:r>
          </w:p>
        </w:tc>
        <w:tc>
          <w:tcPr/>
          <w:p>
            <w:pPr>
              <w:pStyle w:val="Compact"/>
            </w:pPr>
            <w:r>
              <w:t xml:space="preserve">Contenant milieu</w:t>
            </w:r>
          </w:p>
        </w:tc>
        <w:tc>
          <w:tcPr/>
          <w:p>
            <w:pPr>
              <w:pStyle w:val="Compact"/>
            </w:pPr>
            <w:r>
              <w:t xml:space="preserve">Récipient HDPE 2 L</w:t>
            </w:r>
          </w:p>
        </w:tc>
      </w:tr>
      <w:tr>
        <w:tc>
          <w:tcPr/>
          <w:p>
            <w:pPr>
              <w:pStyle w:val="Compact"/>
            </w:pPr>
            <w:r>
              <w:t xml:space="preserve">Milieu corrosif</w:t>
            </w:r>
          </w:p>
        </w:tc>
        <w:tc>
          <w:tcPr/>
          <w:p>
            <w:pPr>
              <w:pStyle w:val="Compact"/>
            </w:pPr>
            <w:r>
              <w:t xml:space="preserve">Environnement test</w:t>
            </w:r>
          </w:p>
        </w:tc>
        <w:tc>
          <w:tcPr/>
          <w:p>
            <w:pPr>
              <w:pStyle w:val="Compact"/>
            </w:pPr>
            <w:r>
              <w:t xml:space="preserve">Detar Plus (HCl 5–15 % + H₃PO₄ 10–30 %), pH ≈ 1</w:t>
            </w:r>
          </w:p>
        </w:tc>
      </w:tr>
      <w:tr>
        <w:tc>
          <w:tcPr/>
          <w:p>
            <w:pPr>
              <w:pStyle w:val="Compact"/>
            </w:pPr>
            <w:r>
              <w:t xml:space="preserve">Inhibiteur</w:t>
            </w:r>
          </w:p>
        </w:tc>
        <w:tc>
          <w:tcPr/>
          <w:p>
            <w:pPr>
              <w:pStyle w:val="Compact"/>
            </w:pPr>
            <w:r>
              <w:t xml:space="preserve">Protection fil</w:t>
            </w:r>
          </w:p>
        </w:tc>
        <w:tc>
          <w:tcPr/>
          <w:p>
            <w:pPr>
              <w:pStyle w:val="Compact"/>
            </w:pPr>
            <w:r>
              <w:t xml:space="preserve">Inhibiteur de la famille des imidazolines (référence commerciale à sélectionner)</w:t>
            </w:r>
          </w:p>
        </w:tc>
      </w:tr>
      <w:tr>
        <w:tc>
          <w:tcPr/>
          <w:p>
            <w:pPr>
              <w:pStyle w:val="Compact"/>
            </w:pPr>
            <w:r>
              <w:t xml:space="preserve">pH-mètre papier</w:t>
            </w:r>
          </w:p>
        </w:tc>
        <w:tc>
          <w:tcPr/>
          <w:p>
            <w:pPr>
              <w:pStyle w:val="Compact"/>
            </w:pPr>
            <w:r>
              <w:t xml:space="preserve">Vérification pH</w:t>
            </w:r>
          </w:p>
        </w:tc>
        <w:tc>
          <w:tcPr/>
          <w:p>
            <w:pPr>
              <w:pStyle w:val="Compact"/>
            </w:pPr>
            <w:r>
              <w:t xml:space="preserve">Plages 0–14, résolution ±0,5</w:t>
            </w:r>
          </w:p>
        </w:tc>
      </w:tr>
      <w:tr>
        <w:tc>
          <w:tcPr/>
          <w:p>
            <w:pPr>
              <w:pStyle w:val="Compact"/>
            </w:pPr>
            <w:r>
              <w:t xml:space="preserve">Câble USB-UART</w:t>
            </w:r>
          </w:p>
        </w:tc>
        <w:tc>
          <w:tcPr/>
          <w:p>
            <w:pPr>
              <w:pStyle w:val="Compact"/>
            </w:pPr>
            <w:r>
              <w:t xml:space="preserve">Liaison ESP32-PC</w:t>
            </w:r>
          </w:p>
        </w:tc>
        <w:tc>
          <w:tcPr/>
          <w:p>
            <w:pPr>
              <w:pStyle w:val="Compact"/>
            </w:pPr>
            <w:r>
              <w:t xml:space="preserve">CP2102 ou CH340</w:t>
            </w:r>
          </w:p>
        </w:tc>
      </w:tr>
      <w:tr>
        <w:tc>
          <w:tcPr/>
          <w:p>
            <w:pPr>
              <w:pStyle w:val="Compact"/>
            </w:pPr>
            <w:r>
              <w:t xml:space="preserve">Multimètre numérique</w:t>
            </w:r>
          </w:p>
        </w:tc>
        <w:tc>
          <w:tcPr/>
          <w:p>
            <w:pPr>
              <w:pStyle w:val="Compact"/>
            </w:pPr>
            <w:r>
              <w:t xml:space="preserve">Mesure</w:t>
            </w:r>
            <w:r>
              <w:t xml:space="preserve"> </w:t>
            </w:r>
            <w:r>
              <w:rPr>
                <w:i/>
                <w:iCs/>
              </w:rPr>
              <w:t xml:space="preserve">R</w:t>
            </w:r>
            <w:r>
              <w:t xml:space="preserve">₀ initiale</w:t>
            </w:r>
          </w:p>
        </w:tc>
        <w:tc>
          <w:tcPr/>
          <w:p>
            <w:pPr>
              <w:pStyle w:val="Compact"/>
            </w:pPr>
            <w:r>
              <w:t xml:space="preserve">Précision 0,1 %</w:t>
            </w:r>
          </w:p>
        </w:tc>
      </w:tr>
      <w:tr>
        <w:tc>
          <w:tcPr/>
          <w:p>
            <w:pPr>
              <w:pStyle w:val="Compact"/>
            </w:pPr>
            <w:r>
              <w:t xml:space="preserve">Ordinateur portable</w:t>
            </w:r>
          </w:p>
        </w:tc>
        <w:tc>
          <w:tcPr/>
          <w:p>
            <w:pPr>
              <w:pStyle w:val="Compact"/>
            </w:pPr>
            <w:r>
              <w:t xml:space="preserve">Acquisition + ML</w:t>
            </w:r>
          </w:p>
        </w:tc>
        <w:tc>
          <w:tcPr/>
          <w:p>
            <w:pPr>
              <w:pStyle w:val="Compact"/>
            </w:pPr>
            <w:r>
              <w:t xml:space="preserve">i7, 16 Go RAM, Python 3.10</w:t>
            </w:r>
          </w:p>
        </w:tc>
      </w:tr>
      <w:tr>
        <w:tc>
          <w:tcPr/>
          <w:p>
            <w:pPr>
              <w:pStyle w:val="Compact"/>
            </w:pPr>
            <w:r>
              <w:t xml:space="preserve">EPI</w:t>
            </w:r>
          </w:p>
        </w:tc>
        <w:tc>
          <w:tcPr/>
          <w:p>
            <w:pPr>
              <w:pStyle w:val="Compact"/>
            </w:pPr>
            <w:r>
              <w:t xml:space="preserve">Sécurité</w:t>
            </w:r>
          </w:p>
        </w:tc>
        <w:tc>
          <w:tcPr/>
          <w:p>
            <w:pPr>
              <w:pStyle w:val="Compact"/>
            </w:pPr>
            <w:r>
              <w:t xml:space="preserve">Lunettes, gants nitrile, blouse</w:t>
            </w:r>
          </w:p>
        </w:tc>
      </w:tr>
    </w:tbl>
    <w:p>
      <w:pPr>
        <w:pStyle w:val="BodyText"/>
      </w:pPr>
      <w:r>
        <w:rPr>
          <w:b/>
          <w:bCs/>
        </w:rPr>
        <w:t xml:space="preserve">Tableau II.3 — Brochage ESP32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Pin ESP32</w:t>
            </w:r>
          </w:p>
        </w:tc>
        <w:tc>
          <w:tcPr/>
          <w:p>
            <w:pPr>
              <w:pStyle w:val="Compact"/>
            </w:pPr>
            <w:r>
              <w:t xml:space="preserve">Description</w:t>
            </w:r>
          </w:p>
        </w:tc>
      </w:tr>
      <w:tr>
        <w:tc>
          <w:tcPr/>
          <w:p>
            <w:pPr>
              <w:pStyle w:val="Compact"/>
            </w:pPr>
            <w:r>
              <w:t xml:space="preserve">HX711 DOUT</w:t>
            </w:r>
          </w:p>
        </w:tc>
        <w:tc>
          <w:tcPr/>
          <w:p>
            <w:pPr>
              <w:pStyle w:val="Compact"/>
            </w:pPr>
            <w:r>
              <w:t xml:space="preserve">GPIO 21</w:t>
            </w:r>
          </w:p>
        </w:tc>
        <w:tc>
          <w:tcPr/>
          <w:p>
            <w:pPr>
              <w:pStyle w:val="Compact"/>
            </w:pPr>
            <w:r>
              <w:t xml:space="preserve">Données série HX711</w:t>
            </w:r>
          </w:p>
        </w:tc>
      </w:tr>
      <w:tr>
        <w:tc>
          <w:tcPr/>
          <w:p>
            <w:pPr>
              <w:pStyle w:val="Compact"/>
            </w:pPr>
            <w:r>
              <w:t xml:space="preserve">HX711 SCK</w:t>
            </w:r>
          </w:p>
        </w:tc>
        <w:tc>
          <w:tcPr/>
          <w:p>
            <w:pPr>
              <w:pStyle w:val="Compact"/>
            </w:pPr>
            <w:r>
              <w:t xml:space="preserve">GPIO 22</w:t>
            </w:r>
          </w:p>
        </w:tc>
        <w:tc>
          <w:tcPr/>
          <w:p>
            <w:pPr>
              <w:pStyle w:val="Compact"/>
            </w:pPr>
            <w:r>
              <w:t xml:space="preserve">Horloge HX711</w:t>
            </w:r>
          </w:p>
        </w:tc>
      </w:tr>
      <w:tr>
        <w:tc>
          <w:tcPr/>
          <w:p>
            <w:pPr>
              <w:pStyle w:val="Compact"/>
            </w:pPr>
            <w:r>
              <w:t xml:space="preserve">DS18B20 DQ</w:t>
            </w:r>
          </w:p>
        </w:tc>
        <w:tc>
          <w:tcPr/>
          <w:p>
            <w:pPr>
              <w:pStyle w:val="Compact"/>
            </w:pPr>
            <w:r>
              <w:t xml:space="preserve">GPIO 4</w:t>
            </w:r>
          </w:p>
        </w:tc>
        <w:tc>
          <w:tcPr/>
          <w:p>
            <w:pPr>
              <w:pStyle w:val="Compact"/>
            </w:pPr>
            <w:r>
              <w:t xml:space="preserve">Bus 1-Wire température</w:t>
            </w:r>
          </w:p>
        </w:tc>
      </w:tr>
      <w:tr>
        <w:tc>
          <w:tcPr/>
          <w:p>
            <w:pPr>
              <w:pStyle w:val="Compact"/>
            </w:pPr>
            <w:r>
              <w:t xml:space="preserve">Alimentation</w:t>
            </w:r>
          </w:p>
        </w:tc>
        <w:tc>
          <w:tcPr/>
          <w:p>
            <w:pPr>
              <w:pStyle w:val="Compact"/>
            </w:pPr>
            <w:r>
              <w:t xml:space="preserve">3,3 V</w:t>
            </w:r>
          </w:p>
        </w:tc>
        <w:tc>
          <w:tcPr/>
          <w:p>
            <w:pPr>
              <w:pStyle w:val="Compact"/>
            </w:pPr>
            <w:r>
              <w:t xml:space="preserve">Pont + HX711 + DS18B20</w:t>
            </w:r>
          </w:p>
        </w:tc>
      </w:tr>
      <w:tr>
        <w:tc>
          <w:tcPr/>
          <w:p>
            <w:pPr>
              <w:pStyle w:val="Compact"/>
            </w:pPr>
            <w:r>
              <w:t xml:space="preserve">Masse</w:t>
            </w:r>
          </w:p>
        </w:tc>
        <w:tc>
          <w:tcPr/>
          <w:p>
            <w:pPr>
              <w:pStyle w:val="Compact"/>
            </w:pPr>
            <w:r>
              <w:t xml:space="preserve">GND</w:t>
            </w:r>
          </w:p>
        </w:tc>
        <w:tc>
          <w:tcPr/>
          <w:p>
            <w:pPr>
              <w:pStyle w:val="Compact"/>
            </w:pPr>
            <w:r>
              <w:t xml:space="preserve">Commun</w:t>
            </w:r>
          </w:p>
        </w:tc>
      </w:tr>
    </w:tbl>
    <w:bookmarkEnd w:id="72"/>
    <w:bookmarkStart w:id="73" w:name="ii.3.2.-ressources-logicielles"/>
    <w:p>
      <w:pPr>
        <w:pStyle w:val="Heading3"/>
      </w:pPr>
      <w:r>
        <w:t xml:space="preserve">II.3.2. Ressources logicielles</w:t>
      </w:r>
    </w:p>
    <w:p>
      <w:pPr>
        <w:pStyle w:val="FirstParagraph"/>
      </w:pPr>
      <w:r>
        <w:rPr>
          <w:b/>
          <w:bCs/>
        </w:rPr>
        <w:t xml:space="preserve">Tableau II.4 — Logiciels et bibliothèques utilisés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Logiciel / Bibliothèque</w:t>
            </w:r>
          </w:p>
        </w:tc>
        <w:tc>
          <w:tcPr/>
          <w:p>
            <w:pPr>
              <w:pStyle w:val="Compact"/>
            </w:pPr>
            <w:r>
              <w:t xml:space="preserve">Version</w:t>
            </w:r>
          </w:p>
        </w:tc>
        <w:tc>
          <w:tcPr/>
          <w:p>
            <w:pPr>
              <w:pStyle w:val="Compact"/>
            </w:pPr>
            <w:r>
              <w:t xml:space="preserve">Rôle</w:t>
            </w:r>
          </w:p>
        </w:tc>
      </w:tr>
      <w:tr>
        <w:tc>
          <w:tcPr/>
          <w:p>
            <w:pPr>
              <w:pStyle w:val="Compact"/>
            </w:pPr>
            <w:r>
              <w:t xml:space="preserve">Arduino IDE</w:t>
            </w:r>
          </w:p>
        </w:tc>
        <w:tc>
          <w:tcPr/>
          <w:p>
            <w:pPr>
              <w:pStyle w:val="Compact"/>
            </w:pPr>
            <w:r>
              <w:t xml:space="preserve">2.x</w:t>
            </w:r>
          </w:p>
        </w:tc>
        <w:tc>
          <w:tcPr/>
          <w:p>
            <w:pPr>
              <w:pStyle w:val="Compact"/>
            </w:pPr>
            <w:r>
              <w:t xml:space="preserve">Programmation firmware ESP32</w:t>
            </w:r>
          </w:p>
        </w:tc>
      </w:tr>
      <w:tr>
        <w:tc>
          <w:tcPr/>
          <w:p>
            <w:pPr>
              <w:pStyle w:val="Compact"/>
            </w:pPr>
            <w:r>
              <w:t xml:space="preserve">Bibliothèque HX711 (bogde)</w:t>
            </w:r>
          </w:p>
        </w:tc>
        <w:tc>
          <w:tcPr/>
          <w:p>
            <w:pPr>
              <w:pStyle w:val="Compact"/>
            </w:pPr>
            <w:r>
              <w:t xml:space="preserve">0.7.5</w:t>
            </w:r>
          </w:p>
        </w:tc>
        <w:tc>
          <w:tcPr/>
          <w:p>
            <w:pPr>
              <w:pStyle w:val="Compact"/>
            </w:pPr>
            <w:r>
              <w:t xml:space="preserve">Lecture HX711</w:t>
            </w:r>
          </w:p>
        </w:tc>
      </w:tr>
      <w:tr>
        <w:tc>
          <w:tcPr/>
          <w:p>
            <w:pPr>
              <w:pStyle w:val="Compact"/>
            </w:pPr>
            <w:r>
              <w:t xml:space="preserve">Bibliothèque OneWire</w:t>
            </w:r>
          </w:p>
        </w:tc>
        <w:tc>
          <w:tcPr/>
          <w:p>
            <w:pPr>
              <w:pStyle w:val="Compact"/>
            </w:pPr>
            <w:r>
              <w:t xml:space="preserve">2.3.x</w:t>
            </w:r>
          </w:p>
        </w:tc>
        <w:tc>
          <w:tcPr/>
          <w:p>
            <w:pPr>
              <w:pStyle w:val="Compact"/>
            </w:pPr>
            <w:r>
              <w:t xml:space="preserve">Bus 1-Wire DS18B20</w:t>
            </w:r>
          </w:p>
        </w:tc>
      </w:tr>
      <w:tr>
        <w:tc>
          <w:tcPr/>
          <w:p>
            <w:pPr>
              <w:pStyle w:val="Compact"/>
            </w:pPr>
            <w:r>
              <w:t xml:space="preserve">Bibliothèque DallasTemperature</w:t>
            </w:r>
          </w:p>
        </w:tc>
        <w:tc>
          <w:tcPr/>
          <w:p>
            <w:pPr>
              <w:pStyle w:val="Compact"/>
            </w:pPr>
            <w:r>
              <w:t xml:space="preserve">3.9.x</w:t>
            </w:r>
          </w:p>
        </w:tc>
        <w:tc>
          <w:tcPr/>
          <w:p>
            <w:pPr>
              <w:pStyle w:val="Compact"/>
            </w:pPr>
            <w:r>
              <w:t xml:space="preserve">Lecture DS18B20</w:t>
            </w:r>
          </w:p>
        </w:tc>
      </w:tr>
      <w:tr>
        <w:tc>
          <w:tcPr/>
          <w:p>
            <w:pPr>
              <w:pStyle w:val="Compact"/>
            </w:pPr>
            <w:r>
              <w:t xml:space="preserve">Python</w:t>
            </w:r>
          </w:p>
        </w:tc>
        <w:tc>
          <w:tcPr/>
          <w:p>
            <w:pPr>
              <w:pStyle w:val="Compact"/>
            </w:pPr>
            <w:r>
              <w:t xml:space="preserve">3.10</w:t>
            </w:r>
          </w:p>
        </w:tc>
        <w:tc>
          <w:tcPr/>
          <w:p>
            <w:pPr>
              <w:pStyle w:val="Compact"/>
            </w:pPr>
            <w:r>
              <w:t xml:space="preserve">Pipeline ML</w:t>
            </w:r>
          </w:p>
        </w:tc>
      </w:tr>
      <w:tr>
        <w:tc>
          <w:tcPr/>
          <w:p>
            <w:pPr>
              <w:pStyle w:val="Compact"/>
            </w:pPr>
            <w:r>
              <w:t xml:space="preserve">Pandas</w:t>
            </w:r>
          </w:p>
        </w:tc>
        <w:tc>
          <w:tcPr/>
          <w:p>
            <w:pPr>
              <w:pStyle w:val="Compact"/>
            </w:pPr>
            <w:r>
              <w:t xml:space="preserve">2.x</w:t>
            </w:r>
          </w:p>
        </w:tc>
        <w:tc>
          <w:tcPr/>
          <w:p>
            <w:pPr>
              <w:pStyle w:val="Compact"/>
            </w:pPr>
            <w:r>
              <w:t xml:space="preserve">Manipulation séries temporelles</w:t>
            </w:r>
          </w:p>
        </w:tc>
      </w:tr>
      <w:tr>
        <w:tc>
          <w:tcPr/>
          <w:p>
            <w:pPr>
              <w:pStyle w:val="Compact"/>
            </w:pPr>
            <w:r>
              <w:t xml:space="preserve">NumPy</w:t>
            </w:r>
          </w:p>
        </w:tc>
        <w:tc>
          <w:tcPr/>
          <w:p>
            <w:pPr>
              <w:pStyle w:val="Compact"/>
            </w:pPr>
            <w:r>
              <w:t xml:space="preserve">1.26</w:t>
            </w:r>
          </w:p>
        </w:tc>
        <w:tc>
          <w:tcPr/>
          <w:p>
            <w:pPr>
              <w:pStyle w:val="Compact"/>
            </w:pPr>
            <w:r>
              <w:t xml:space="preserve">Calculs numériques</w:t>
            </w:r>
          </w:p>
        </w:tc>
      </w:tr>
      <w:tr>
        <w:tc>
          <w:tcPr/>
          <w:p>
            <w:pPr>
              <w:pStyle w:val="Compact"/>
            </w:pPr>
            <w:r>
              <w:t xml:space="preserve">SciPy (savgol_filter)</w:t>
            </w:r>
          </w:p>
        </w:tc>
        <w:tc>
          <w:tcPr/>
          <w:p>
            <w:pPr>
              <w:pStyle w:val="Compact"/>
            </w:pPr>
            <w:r>
              <w:t xml:space="preserve">1.11</w:t>
            </w:r>
          </w:p>
        </w:tc>
        <w:tc>
          <w:tcPr/>
          <w:p>
            <w:pPr>
              <w:pStyle w:val="Compact"/>
            </w:pPr>
            <w:r>
              <w:t xml:space="preserve">Lissage Savitzky-Golay</w:t>
            </w:r>
          </w:p>
        </w:tc>
      </w:tr>
      <w:tr>
        <w:tc>
          <w:tcPr/>
          <w:p>
            <w:pPr>
              <w:pStyle w:val="Compact"/>
            </w:pPr>
            <w:r>
              <w:t xml:space="preserve">XGBoost</w:t>
            </w:r>
          </w:p>
        </w:tc>
        <w:tc>
          <w:tcPr/>
          <w:p>
            <w:pPr>
              <w:pStyle w:val="Compact"/>
            </w:pPr>
            <w:r>
              <w:t xml:space="preserve">2.0</w:t>
            </w:r>
          </w:p>
        </w:tc>
        <w:tc>
          <w:tcPr/>
          <w:p>
            <w:pPr>
              <w:pStyle w:val="Compact"/>
            </w:pPr>
            <w:r>
              <w:t xml:space="preserve">Modèle prédictif</w:t>
            </w:r>
          </w:p>
        </w:tc>
      </w:tr>
      <w:tr>
        <w:tc>
          <w:tcPr/>
          <w:p>
            <w:pPr>
              <w:pStyle w:val="Compact"/>
            </w:pPr>
            <w:r>
              <w:t xml:space="preserve">Scikit-learn</w:t>
            </w:r>
          </w:p>
        </w:tc>
        <w:tc>
          <w:tcPr/>
          <w:p>
            <w:pPr>
              <w:pStyle w:val="Compact"/>
            </w:pPr>
            <w:r>
              <w:t xml:space="preserve">1.3</w:t>
            </w:r>
          </w:p>
        </w:tc>
        <w:tc>
          <w:tcPr/>
          <w:p>
            <w:pPr>
              <w:pStyle w:val="Compact"/>
            </w:pPr>
            <w:r>
              <w:t xml:space="preserve">TimeSeriesSplit, métriques</w:t>
            </w:r>
          </w:p>
        </w:tc>
      </w:tr>
      <w:tr>
        <w:tc>
          <w:tcPr/>
          <w:p>
            <w:pPr>
              <w:pStyle w:val="Compact"/>
            </w:pPr>
            <w:r>
              <w:t xml:space="preserve">SHAP</w:t>
            </w:r>
          </w:p>
        </w:tc>
        <w:tc>
          <w:tcPr/>
          <w:p>
            <w:pPr>
              <w:pStyle w:val="Compact"/>
            </w:pPr>
            <w:r>
              <w:t xml:space="preserve">0.43</w:t>
            </w:r>
          </w:p>
        </w:tc>
        <w:tc>
          <w:tcPr/>
          <w:p>
            <w:pPr>
              <w:pStyle w:val="Compact"/>
            </w:pPr>
            <w:r>
              <w:t xml:space="preserve">Interprétabilité</w:t>
            </w:r>
          </w:p>
        </w:tc>
      </w:tr>
      <w:tr>
        <w:tc>
          <w:tcPr/>
          <w:p>
            <w:pPr>
              <w:pStyle w:val="Compact"/>
            </w:pPr>
            <w:r>
              <w:t xml:space="preserve">Matplotlib / Seaborn</w:t>
            </w:r>
          </w:p>
        </w:tc>
        <w:tc>
          <w:tcPr/>
          <w:p>
            <w:pPr>
              <w:pStyle w:val="Compact"/>
            </w:pPr>
            <w:r>
              <w:t xml:space="preserve">—</w:t>
            </w:r>
          </w:p>
        </w:tc>
        <w:tc>
          <w:tcPr/>
          <w:p>
            <w:pPr>
              <w:pStyle w:val="Compact"/>
            </w:pPr>
            <w:r>
              <w:t xml:space="preserve">Visualisation</w:t>
            </w:r>
          </w:p>
        </w:tc>
      </w:tr>
      <w:tr>
        <w:tc>
          <w:tcPr/>
          <w:p>
            <w:pPr>
              <w:pStyle w:val="Compact"/>
            </w:pPr>
            <w:r>
              <w:t xml:space="preserve">Joblib</w:t>
            </w:r>
          </w:p>
        </w:tc>
        <w:tc>
          <w:tcPr/>
          <w:p>
            <w:pPr>
              <w:pStyle w:val="Compact"/>
            </w:pPr>
            <w:r>
              <w:t xml:space="preserve">—</w:t>
            </w:r>
          </w:p>
        </w:tc>
        <w:tc>
          <w:tcPr/>
          <w:p>
            <w:pPr>
              <w:pStyle w:val="Compact"/>
            </w:pPr>
            <w:r>
              <w:t xml:space="preserve">Persistance modèle</w:t>
            </w:r>
          </w:p>
        </w:tc>
      </w:tr>
    </w:tbl>
    <w:bookmarkEnd w:id="73"/>
    <w:bookmarkStart w:id="74" w:name="ii.3.3.-ressources-documentaires"/>
    <w:p>
      <w:pPr>
        <w:pStyle w:val="Heading3"/>
      </w:pPr>
      <w:r>
        <w:t xml:space="preserve">II.3.3. Ressources documentaires</w:t>
      </w:r>
    </w:p>
    <w:p>
      <w:pPr>
        <w:pStyle w:val="FirstParagraph"/>
      </w:pPr>
      <w:r>
        <w:rPr>
          <w:b/>
          <w:bCs/>
        </w:rPr>
        <w:t xml:space="preserve">Tableau II.5 — Normes et références principales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Référence</w:t>
            </w:r>
          </w:p>
        </w:tc>
        <w:tc>
          <w:tcPr/>
          <w:p>
            <w:pPr>
              <w:pStyle w:val="Compact"/>
            </w:pPr>
            <w:r>
              <w:t xml:space="preserve">Organisme</w:t>
            </w:r>
          </w:p>
        </w:tc>
        <w:tc>
          <w:tcPr/>
          <w:p>
            <w:pPr>
              <w:pStyle w:val="Compact"/>
            </w:pPr>
            <w:r>
              <w:t xml:space="preserve">Objet</w:t>
            </w:r>
          </w:p>
        </w:tc>
      </w:tr>
      <w:tr>
        <w:tc>
          <w:tcPr/>
          <w:p>
            <w:pPr>
              <w:pStyle w:val="Compact"/>
            </w:pPr>
            <w:r>
              <w:t xml:space="preserve">ISO 8044</w:t>
            </w:r>
          </w:p>
        </w:tc>
        <w:tc>
          <w:tcPr/>
          <w:p>
            <w:pPr>
              <w:pStyle w:val="Compact"/>
            </w:pPr>
            <w:r>
              <w:t xml:space="preserve">ISO</w:t>
            </w:r>
          </w:p>
        </w:tc>
        <w:tc>
          <w:tcPr/>
          <w:p>
            <w:pPr>
              <w:pStyle w:val="Compact"/>
            </w:pPr>
            <w:r>
              <w:t xml:space="preserve">Définitions corrosion</w:t>
            </w:r>
          </w:p>
        </w:tc>
      </w:tr>
      <w:tr>
        <w:tc>
          <w:tcPr/>
          <w:p>
            <w:pPr>
              <w:pStyle w:val="Compact"/>
            </w:pPr>
            <w:r>
              <w:t xml:space="preserve">ASTM G1</w:t>
            </w:r>
          </w:p>
        </w:tc>
        <w:tc>
          <w:tcPr/>
          <w:p>
            <w:pPr>
              <w:pStyle w:val="Compact"/>
            </w:pPr>
            <w:r>
              <w:t xml:space="preserve">ASTM</w:t>
            </w:r>
          </w:p>
        </w:tc>
        <w:tc>
          <w:tcPr/>
          <w:p>
            <w:pPr>
              <w:pStyle w:val="Compact"/>
            </w:pPr>
            <w:r>
              <w:t xml:space="preserve">Évaluation éprouvettes corrosion</w:t>
            </w:r>
          </w:p>
        </w:tc>
      </w:tr>
      <w:tr>
        <w:tc>
          <w:tcPr/>
          <w:p>
            <w:pPr>
              <w:pStyle w:val="Compact"/>
            </w:pPr>
            <w:r>
              <w:t xml:space="preserve">ASTM G31</w:t>
            </w:r>
          </w:p>
        </w:tc>
        <w:tc>
          <w:tcPr/>
          <w:p>
            <w:pPr>
              <w:pStyle w:val="Compact"/>
            </w:pPr>
            <w:r>
              <w:t xml:space="preserve">ASTM</w:t>
            </w:r>
          </w:p>
        </w:tc>
        <w:tc>
          <w:tcPr/>
          <w:p>
            <w:pPr>
              <w:pStyle w:val="Compact"/>
            </w:pPr>
            <w:r>
              <w:t xml:space="preserve">Essais immersion laboratoire</w:t>
            </w:r>
          </w:p>
        </w:tc>
      </w:tr>
      <w:tr>
        <w:tc>
          <w:tcPr/>
          <w:p>
            <w:pPr>
              <w:pStyle w:val="Compact"/>
            </w:pPr>
            <w:r>
              <w:t xml:space="preserve">ASTM G96</w:t>
            </w:r>
          </w:p>
        </w:tc>
        <w:tc>
          <w:tcPr/>
          <w:p>
            <w:pPr>
              <w:pStyle w:val="Compact"/>
            </w:pPr>
            <w:r>
              <w:t xml:space="preserve">ASTM</w:t>
            </w:r>
          </w:p>
        </w:tc>
        <w:tc>
          <w:tcPr/>
          <w:p>
            <w:pPr>
              <w:pStyle w:val="Compact"/>
            </w:pPr>
            <w:r>
              <w:t xml:space="preserve">Surveillance ER en service</w:t>
            </w:r>
          </w:p>
        </w:tc>
      </w:tr>
      <w:tr>
        <w:tc>
          <w:tcPr/>
          <w:p>
            <w:pPr>
              <w:pStyle w:val="Compact"/>
            </w:pPr>
            <w:r>
              <w:t xml:space="preserve">NACE SP0775</w:t>
            </w:r>
          </w:p>
        </w:tc>
        <w:tc>
          <w:tcPr/>
          <w:p>
            <w:pPr>
              <w:pStyle w:val="Compact"/>
            </w:pPr>
            <w:r>
              <w:t xml:space="preserve">AMPP</w:t>
            </w:r>
          </w:p>
        </w:tc>
        <w:tc>
          <w:tcPr/>
          <w:p>
            <w:pPr>
              <w:pStyle w:val="Compact"/>
            </w:pPr>
            <w:r>
              <w:t xml:space="preserve">Sondes/coupons O&amp;G</w:t>
            </w:r>
          </w:p>
        </w:tc>
      </w:tr>
      <w:tr>
        <w:tc>
          <w:tcPr/>
          <w:p>
            <w:pPr>
              <w:pStyle w:val="Compact"/>
            </w:pPr>
            <w:r>
              <w:t xml:space="preserve">NACE TM0190</w:t>
            </w:r>
          </w:p>
        </w:tc>
        <w:tc>
          <w:tcPr/>
          <w:p>
            <w:pPr>
              <w:pStyle w:val="Compact"/>
            </w:pPr>
            <w:r>
              <w:t xml:space="preserve">AMPP</w:t>
            </w:r>
          </w:p>
        </w:tc>
        <w:tc>
          <w:tcPr/>
          <w:p>
            <w:pPr>
              <w:pStyle w:val="Compact"/>
            </w:pPr>
            <w:r>
              <w:t xml:space="preserve">Sondes ER service pétrolier</w:t>
            </w:r>
          </w:p>
        </w:tc>
      </w:tr>
      <w:tr>
        <w:tc>
          <w:tcPr/>
          <w:p>
            <w:pPr>
              <w:pStyle w:val="Compact"/>
            </w:pPr>
            <w:r>
              <w:t xml:space="preserve">API 570</w:t>
            </w:r>
          </w:p>
        </w:tc>
        <w:tc>
          <w:tcPr/>
          <w:p>
            <w:pPr>
              <w:pStyle w:val="Compact"/>
            </w:pPr>
            <w:r>
              <w:t xml:space="preserve">API</w:t>
            </w:r>
          </w:p>
        </w:tc>
        <w:tc>
          <w:tcPr/>
          <w:p>
            <w:pPr>
              <w:pStyle w:val="Compact"/>
            </w:pPr>
            <w:r>
              <w:t xml:space="preserve">Inspection tuyauteries</w:t>
            </w:r>
          </w:p>
        </w:tc>
      </w:tr>
      <w:tr>
        <w:tc>
          <w:tcPr/>
          <w:p>
            <w:pPr>
              <w:pStyle w:val="Compact"/>
            </w:pPr>
            <w:r>
              <w:t xml:space="preserve">ISO 13381-1</w:t>
            </w:r>
          </w:p>
        </w:tc>
        <w:tc>
          <w:tcPr/>
          <w:p>
            <w:pPr>
              <w:pStyle w:val="Compact"/>
            </w:pPr>
            <w:r>
              <w:t xml:space="preserve">ISO</w:t>
            </w:r>
          </w:p>
        </w:tc>
        <w:tc>
          <w:tcPr/>
          <w:p>
            <w:pPr>
              <w:pStyle w:val="Compact"/>
            </w:pPr>
            <w:r>
              <w:t xml:space="preserve">Maintenance prévisionnelle, RUL</w:t>
            </w:r>
          </w:p>
        </w:tc>
      </w:tr>
      <w:tr>
        <w:tc>
          <w:tcPr/>
          <w:p>
            <w:pPr>
              <w:pStyle w:val="Compact"/>
            </w:pPr>
            <w:r>
              <w:t xml:space="preserve">EN 13306</w:t>
            </w:r>
          </w:p>
        </w:tc>
        <w:tc>
          <w:tcPr/>
          <w:p>
            <w:pPr>
              <w:pStyle w:val="Compact"/>
            </w:pPr>
            <w:r>
              <w:t xml:space="preserve">CEN</w:t>
            </w:r>
          </w:p>
        </w:tc>
        <w:tc>
          <w:tcPr/>
          <w:p>
            <w:pPr>
              <w:pStyle w:val="Compact"/>
            </w:pPr>
            <w:r>
              <w:t xml:space="preserve">Terminologie maintenance</w:t>
            </w:r>
          </w:p>
        </w:tc>
      </w:tr>
      <w:tr>
        <w:tc>
          <w:tcPr/>
          <w:p>
            <w:pPr>
              <w:pStyle w:val="Compact"/>
            </w:pPr>
            <w:r>
              <w:t xml:space="preserve">de Waard &amp; Milliams (1975)</w:t>
            </w:r>
          </w:p>
        </w:tc>
        <w:tc>
          <w:tcPr/>
          <w:p>
            <w:pPr>
              <w:pStyle w:val="Compact"/>
            </w:pPr>
            <w:r>
              <w:t xml:space="preserve">—</w:t>
            </w:r>
          </w:p>
        </w:tc>
        <w:tc>
          <w:tcPr/>
          <w:p>
            <w:pPr>
              <w:pStyle w:val="Compact"/>
            </w:pPr>
            <w:r>
              <w:t xml:space="preserve">Modèle CO₂ corrosion</w:t>
            </w:r>
          </w:p>
        </w:tc>
      </w:tr>
      <w:tr>
        <w:tc>
          <w:tcPr/>
          <w:p>
            <w:pPr>
              <w:pStyle w:val="Compact"/>
            </w:pPr>
            <w:r>
              <w:t xml:space="preserve">Chen &amp; Guestrin (2016)</w:t>
            </w:r>
          </w:p>
        </w:tc>
        <w:tc>
          <w:tcPr/>
          <w:p>
            <w:pPr>
              <w:pStyle w:val="Compact"/>
            </w:pPr>
            <w:r>
              <w:t xml:space="preserve">ACM</w:t>
            </w:r>
          </w:p>
        </w:tc>
        <w:tc>
          <w:tcPr/>
          <w:p>
            <w:pPr>
              <w:pStyle w:val="Compact"/>
            </w:pPr>
            <w:r>
              <w:t xml:space="preserve">Algorithme XGBoost</w:t>
            </w:r>
          </w:p>
        </w:tc>
      </w:tr>
      <w:tr>
        <w:tc>
          <w:tcPr/>
          <w:p>
            <w:pPr>
              <w:pStyle w:val="Compact"/>
            </w:pPr>
            <w:r>
              <w:t xml:space="preserve">Lundberg &amp; Lee (2017)</w:t>
            </w:r>
          </w:p>
        </w:tc>
        <w:tc>
          <w:tcPr/>
          <w:p>
            <w:pPr>
              <w:pStyle w:val="Compact"/>
            </w:pPr>
            <w:r>
              <w:t xml:space="preserve">NeurIPS</w:t>
            </w:r>
          </w:p>
        </w:tc>
        <w:tc>
          <w:tcPr/>
          <w:p>
            <w:pPr>
              <w:pStyle w:val="Compact"/>
            </w:pPr>
            <w:r>
              <w:t xml:space="preserve">Méthode SHAP</w:t>
            </w:r>
          </w:p>
        </w:tc>
      </w:tr>
      <w:tr>
        <w:tc>
          <w:tcPr/>
          <w:p>
            <w:pPr>
              <w:pStyle w:val="Compact"/>
            </w:pPr>
            <w:r>
              <w:t xml:space="preserve">Koch et al. (2016)</w:t>
            </w:r>
          </w:p>
        </w:tc>
        <w:tc>
          <w:tcPr/>
          <w:p>
            <w:pPr>
              <w:pStyle w:val="Compact"/>
            </w:pPr>
            <w:r>
              <w:t xml:space="preserve">NACE</w:t>
            </w:r>
          </w:p>
        </w:tc>
        <w:tc>
          <w:tcPr/>
          <w:p>
            <w:pPr>
              <w:pStyle w:val="Compact"/>
            </w:pPr>
            <w:r>
              <w:t xml:space="preserve">Coût mondial corrosion</w:t>
            </w:r>
          </w:p>
        </w:tc>
      </w:tr>
    </w:tbl>
    <w:p>
      <w:r>
        <w:pict>
          <v:rect style="width:0;height:1.5pt" o:hralign="center" o:hrstd="t" o:hr="t"/>
        </w:pict>
      </w:r>
    </w:p>
    <w:bookmarkEnd w:id="74"/>
    <w:bookmarkEnd w:id="75"/>
    <w:bookmarkStart w:id="84" w:name="X8236413271ac5e519391d9aebf8ceff17de3c22"/>
    <w:p>
      <w:pPr>
        <w:pStyle w:val="Heading2"/>
      </w:pPr>
      <w:r>
        <w:t xml:space="preserve">II.4. Méthodes d’acquisition et de traitement des données</w:t>
      </w:r>
    </w:p>
    <w:p>
      <w:pPr>
        <w:pStyle w:val="FirstParagraph"/>
      </w:pPr>
      <w:r>
        <w:t xml:space="preserve">La méthodologie de traitement des données suit une chaîne en cinq étapes successives, implémentée dans le script Python</w:t>
      </w:r>
      <w:r>
        <w:t xml:space="preserve"> </w:t>
      </w:r>
      <w:r>
        <w:rPr>
          <w:rStyle w:val="VerbatimChar"/>
        </w:rPr>
        <w:t xml:space="preserve">corrosion_pipeline.py</w:t>
      </w:r>
      <w:r>
        <w:t xml:space="preserve">.</w:t>
      </w:r>
    </w:p>
    <w:p>
      <w:pPr>
        <w:pStyle w:val="CaptionedFigure"/>
      </w:pPr>
      <w:r>
        <w:drawing>
          <wp:inline>
            <wp:extent cx="5067300" cy="1841070"/>
            <wp:effectExtent b="0" l="0" r="0" t="0"/>
            <wp:docPr descr="Figure II.4 — Pipeline Python de traitement des données (5 étapes)" title="" id="77" name="Picture"/>
            <a:graphic>
              <a:graphicData uri="http://schemas.openxmlformats.org/drawingml/2006/picture">
                <pic:pic>
                  <pic:nvPicPr>
                    <pic:cNvPr descr="figures/fig_ii4_pipeline.png" id="78" name="Picture"/>
                    <pic:cNvPicPr>
                      <a:picLocks noChangeArrowheads="1" noChangeAspect="1"/>
                    </pic:cNvPicPr>
                  </pic:nvPicPr>
                  <pic:blipFill>
                    <a:blip r:embed="rId76"/>
                    <a:stretch>
                      <a:fillRect/>
                    </a:stretch>
                  </pic:blipFill>
                  <pic:spPr bwMode="auto">
                    <a:xfrm>
                      <a:off x="0" y="0"/>
                      <a:ext cx="5067300" cy="1841070"/>
                    </a:xfrm>
                    <a:prstGeom prst="rect">
                      <a:avLst/>
                    </a:prstGeom>
                    <a:noFill/>
                    <a:ln w="9525">
                      <a:noFill/>
                      <a:headEnd/>
                      <a:tailEnd/>
                    </a:ln>
                  </pic:spPr>
                </pic:pic>
              </a:graphicData>
            </a:graphic>
          </wp:inline>
        </w:drawing>
      </w:r>
    </w:p>
    <w:p>
      <w:pPr>
        <w:pStyle w:val="ImageCaption"/>
      </w:pPr>
      <w:r>
        <w:t xml:space="preserve">Figure II.4 — Pipeline Python de traitement des données (5 étapes)</w:t>
      </w:r>
    </w:p>
    <w:bookmarkStart w:id="79" w:name="ii.4.1.-acquisition"/>
    <w:p>
      <w:pPr>
        <w:pStyle w:val="Heading3"/>
      </w:pPr>
      <w:r>
        <w:t xml:space="preserve">II.4.1. Acquisition</w:t>
      </w:r>
    </w:p>
    <w:p>
      <w:pPr>
        <w:pStyle w:val="FirstParagraph"/>
      </w:pPr>
      <w:r>
        <w:t xml:space="preserve">Les mesures émises par l’ESP32 sont écrites en temps réel dans la table</w:t>
      </w:r>
      <w:r>
        <w:t xml:space="preserve"> </w:t>
      </w:r>
      <w:r>
        <w:rPr>
          <w:rStyle w:val="VerbatimChar"/>
        </w:rPr>
        <w:t xml:space="preserve">measurements</w:t>
      </w:r>
      <w:r>
        <w:t xml:space="preserve"> </w:t>
      </w:r>
      <w:r>
        <w:t xml:space="preserve">de la base</w:t>
      </w:r>
      <w:r>
        <w:t xml:space="preserve"> </w:t>
      </w:r>
      <w:r>
        <w:rPr>
          <w:b/>
          <w:bCs/>
        </w:rPr>
        <w:t xml:space="preserve">Supabase</w:t>
      </w:r>
      <w:r>
        <w:t xml:space="preserve"> </w:t>
      </w:r>
      <w:r>
        <w:t xml:space="preserve">(PostgreSQL managé) via son API REST PostgREST. Le pipeline Python charge ensuite ces données par requête SQL paramétrée (</w:t>
      </w:r>
      <w:r>
        <w:rPr>
          <w:rStyle w:val="VerbatimChar"/>
        </w:rPr>
        <w:t xml:space="preserve">SELECT … WHERE asset_id = … ORDER BY timestamp_s</w:t>
      </w:r>
      <w:r>
        <w:t xml:space="preserve">) et les convertit en</w:t>
      </w:r>
      <w:r>
        <w:t xml:space="preserve"> </w:t>
      </w:r>
      <w:r>
        <w:rPr>
          <w:rStyle w:val="VerbatimChar"/>
        </w:rPr>
        <w:t xml:space="preserve">DataFrame</w:t>
      </w:r>
      <w:r>
        <w:t xml:space="preserve"> </w:t>
      </w:r>
      <w:r>
        <w:t xml:space="preserve">Pandas pour traitement. Les colonnes consommées sont :</w:t>
      </w:r>
      <w:r>
        <w:t xml:space="preserve"> </w:t>
      </w:r>
      <w:r>
        <w:rPr>
          <w:rStyle w:val="VerbatimChar"/>
        </w:rPr>
        <w:t xml:space="preserve">timestamp_s</w:t>
      </w:r>
      <w:r>
        <w:t xml:space="preserve">,</w:t>
      </w:r>
      <w:r>
        <w:t xml:space="preserve"> </w:t>
      </w:r>
      <w:r>
        <w:rPr>
          <w:rStyle w:val="VerbatimChar"/>
        </w:rPr>
        <w:t xml:space="preserve">vdiff_v</w:t>
      </w:r>
      <w:r>
        <w:t xml:space="preserve">,</w:t>
      </w:r>
      <w:r>
        <w:t xml:space="preserve"> </w:t>
      </w:r>
      <w:r>
        <w:rPr>
          <w:rStyle w:val="VerbatimChar"/>
        </w:rPr>
        <w:t xml:space="preserve">rx_ohm</w:t>
      </w:r>
      <w:r>
        <w:t xml:space="preserve">,</w:t>
      </w:r>
      <w:r>
        <w:t xml:space="preserve"> </w:t>
      </w:r>
      <w:r>
        <w:rPr>
          <w:rStyle w:val="VerbatimChar"/>
        </w:rPr>
        <w:t xml:space="preserve">temp_c</w:t>
      </w:r>
      <w:r>
        <w:t xml:space="preserve">,</w:t>
      </w:r>
      <w:r>
        <w:t xml:space="preserve"> </w:t>
      </w:r>
      <w:r>
        <w:rPr>
          <w:rStyle w:val="VerbatimChar"/>
        </w:rPr>
        <w:t xml:space="preserve">delta_r_per_h</w:t>
      </w:r>
      <w:r>
        <w:t xml:space="preserve">.</w:t>
      </w:r>
    </w:p>
    <w:p>
      <w:pPr>
        <w:pStyle w:val="BodyText"/>
      </w:pPr>
      <w:r>
        <w:t xml:space="preserve">Une mesure est émise toutes les 600 secondes (10 minutes). Pour un run de 48 heures, cela représente 288 points de mesure ; pour un run de 72 heures, 432 points. L’historique complet est ainsi centralisé sur Supabase et accessible aussi bien à l’application Streamlit qu’aux notebooks d’analyse, sans manipulation manuelle de fichiers.</w:t>
      </w:r>
    </w:p>
    <w:bookmarkEnd w:id="79"/>
    <w:bookmarkStart w:id="80" w:name="ii.4.2.-nettoyage-du-signal"/>
    <w:p>
      <w:pPr>
        <w:pStyle w:val="Heading3"/>
      </w:pPr>
      <w:r>
        <w:t xml:space="preserve">II.4.2. Nettoyage du signal</w:t>
      </w:r>
    </w:p>
    <w:p>
      <w:pPr>
        <w:pStyle w:val="FirstParagraph"/>
      </w:pPr>
      <w:r>
        <w:t xml:space="preserve">Le nettoyage suit deux étapes successives :</w:t>
      </w:r>
    </w:p>
    <w:p>
      <w:pPr>
        <w:pStyle w:val="BodyText"/>
      </w:pPr>
      <w:r>
        <w:rPr>
          <w:b/>
          <w:bCs/>
        </w:rPr>
        <w:t xml:space="preserve">Étape 1 — Suppression des outliers par méthode IQR (Interquartile Range) :</w:t>
      </w:r>
      <w:r>
        <w:t xml:space="preserve"> </w:t>
      </w:r>
      <w:r>
        <w:t xml:space="preserve">les points situés hors de l’intervalle [Q5 − 3×IQR ; Q95 + 3×IQR] sont supprimés. Ce seuil large préserve la dynamique de dégradation tout en éliminant les artefacts transitoires du HX711 lors du réveil de l’ESP32 (Tukey, 1977).</w:t>
      </w:r>
    </w:p>
    <w:p>
      <w:pPr>
        <w:pStyle w:val="BodyText"/>
      </w:pPr>
      <w:r>
        <w:rPr>
          <w:b/>
          <w:bCs/>
        </w:rPr>
        <w:t xml:space="preserve">Étape 2 — Lissage Savitzky-Golay :</w:t>
      </w:r>
      <w:r>
        <w:t xml:space="preserve"> </w:t>
      </w:r>
      <w:r>
        <w:t xml:space="preserve">un filtre polynomial d’ordre 2 sur une fenêtre glissante de 5 points est appliqué (Savitzky et Golay, 1964). Ce filtre préserve mieux les pentes locales que la moyenne mobile simple — propriété essentielle pour le calcul précis de</w:t>
      </w:r>
      <w:r>
        <w:t xml:space="preserve"> </w:t>
      </w:r>
      <w:r>
        <w:rPr>
          <w:i/>
          <w:iCs/>
        </w:rPr>
        <w:t xml:space="preserve">dr/dt</w:t>
      </w:r>
      <w:r>
        <w:t xml:space="preserve">.</w:t>
      </w:r>
    </w:p>
    <w:bookmarkEnd w:id="80"/>
    <w:bookmarkStart w:id="81" w:name="ii.4.3.-compensation-thermique"/>
    <w:p>
      <w:pPr>
        <w:pStyle w:val="Heading3"/>
      </w:pPr>
      <w:r>
        <w:t xml:space="preserve">II.4.3. Compensation thermique</w:t>
      </w:r>
    </w:p>
    <w:p>
      <w:pPr>
        <w:pStyle w:val="FirstParagraph"/>
      </w:pPr>
      <w:r>
        <w:t xml:space="preserve">La résistivité électrique du fer varie linéairement avec la température selon la loi de Matthiessen (Pollock, 1991) :</w:t>
      </w:r>
    </w:p>
    <w:p>
      <w:pPr>
        <w:pStyle w:val="BodyText"/>
      </w:pPr>
      <m:oMathPara>
        <m:oMathParaPr>
          <m:jc m:val="center"/>
        </m:oMathParaPr>
        <m:oMath>
          <m:sSub>
            <m:e>
              <m:r>
                <m:t>ρ</m:t>
              </m:r>
            </m:e>
            <m:sub>
              <m:r>
                <m:t>F</m:t>
              </m:r>
              <m:r>
                <m:t>e</m:t>
              </m:r>
            </m:sub>
          </m:sSub>
          <m:r>
            <m:rPr>
              <m:sty m:val="p"/>
            </m:rPr>
            <m:t>(</m:t>
          </m:r>
          <m:r>
            <m:t>T</m:t>
          </m:r>
          <m:r>
            <m:rPr>
              <m:sty m:val="p"/>
            </m:rPr>
            <m:t>)</m:t>
          </m:r>
          <m:r>
            <m:rPr>
              <m:sty m:val="p"/>
            </m:rPr>
            <m:t>=</m:t>
          </m:r>
          <m:sSub>
            <m:e>
              <m:r>
                <m:t>ρ</m:t>
              </m:r>
            </m:e>
            <m:sub>
              <m:r>
                <m:t>F</m:t>
              </m:r>
              <m:r>
                <m:t>e</m:t>
              </m:r>
            </m:sub>
          </m:sSub>
          <m:r>
            <m:rPr>
              <m:sty m:val="p"/>
            </m:rPr>
            <m:t>(</m:t>
          </m:r>
          <m:sSub>
            <m:e>
              <m:r>
                <m:t>T</m:t>
              </m:r>
            </m:e>
            <m:sub>
              <m:r>
                <m:t>r</m:t>
              </m:r>
              <m:r>
                <m:t>e</m:t>
              </m:r>
              <m:r>
                <m:t>f</m:t>
              </m:r>
            </m:sub>
          </m:sSub>
          <m:r>
            <m:rPr>
              <m:sty m:val="p"/>
            </m:rPr>
            <m:t>)</m:t>
          </m:r>
          <m:r>
            <m:rPr>
              <m:sty m:val="p"/>
            </m:rPr>
            <m:t>⋅</m:t>
          </m:r>
          <m:r>
            <m:rPr>
              <m:sty m:val="p"/>
            </m:rPr>
            <m:t>[</m:t>
          </m:r>
          <m:r>
            <m:t>1</m:t>
          </m:r>
          <m:r>
            <m:rPr>
              <m:sty m:val="p"/>
            </m:rPr>
            <m:t>+</m:t>
          </m:r>
          <m:sSub>
            <m:e>
              <m:r>
                <m:t>α</m:t>
              </m:r>
            </m:e>
            <m:sub>
              <m:r>
                <m:t>F</m:t>
              </m:r>
              <m:r>
                <m:t>e</m:t>
              </m:r>
            </m:sub>
          </m:sSub>
          <m:r>
            <m:rPr>
              <m:sty m:val="p"/>
            </m:rPr>
            <m:t>⋅</m:t>
          </m:r>
          <m:r>
            <m:rPr>
              <m:sty m:val="p"/>
            </m:rPr>
            <m:t>(</m:t>
          </m:r>
          <m:r>
            <m:t>T</m:t>
          </m:r>
          <m:r>
            <m:rPr>
              <m:sty m:val="p"/>
            </m:rPr>
            <m:t>−</m:t>
          </m:r>
          <m:sSub>
            <m:e>
              <m:r>
                <m:t>T</m:t>
              </m:r>
            </m:e>
            <m:sub>
              <m:r>
                <m:t>r</m:t>
              </m:r>
              <m:r>
                <m:t>e</m:t>
              </m:r>
              <m:r>
                <m:t>f</m:t>
              </m:r>
            </m:sub>
          </m:sSub>
          <m:r>
            <m:rPr>
              <m:sty m:val="p"/>
            </m:rPr>
            <m:t>)</m:t>
          </m:r>
          <m:r>
            <m:rPr>
              <m:sty m:val="p"/>
            </m:rPr>
            <m:t>]</m:t>
          </m:r>
        </m:oMath>
      </m:oMathPara>
    </w:p>
    <w:p>
      <w:pPr>
        <w:pStyle w:val="FirstParagraph"/>
      </w:pPr>
      <w:r>
        <w:t xml:space="preserve">avec α_Fe = 6,5 × 10⁻³ °C⁻¹ et</w:t>
      </w:r>
      <w:r>
        <w:t xml:space="preserve"> </w:t>
      </w:r>
      <w:r>
        <w:rPr>
          <w:i/>
          <w:iCs/>
        </w:rPr>
        <w:t xml:space="preserve">T</w:t>
      </w:r>
      <w:r>
        <w:t xml:space="preserve">_ref = 25 °C. La résistance compensée s’obtient par :</w:t>
      </w:r>
    </w:p>
    <w:p>
      <w:pPr>
        <w:pStyle w:val="BodyText"/>
      </w:pPr>
      <m:oMathPara>
        <m:oMathParaPr>
          <m:jc m:val="center"/>
        </m:oMathParaPr>
        <m:oMath>
          <m:sSub>
            <m:e>
              <m:r>
                <m:t>R</m:t>
              </m:r>
            </m:e>
            <m:sub>
              <m:r>
                <m:t>c</m:t>
              </m:r>
              <m:r>
                <m:t>o</m:t>
              </m:r>
              <m:r>
                <m:t>r</m:t>
              </m:r>
              <m:r>
                <m:t>r</m:t>
              </m:r>
            </m:sub>
          </m:sSub>
          <m:r>
            <m:rPr>
              <m:sty m:val="p"/>
            </m:rPr>
            <m:t>(</m:t>
          </m:r>
          <m:r>
            <m:t>t</m:t>
          </m:r>
          <m:r>
            <m:rPr>
              <m:sty m:val="p"/>
            </m:rPr>
            <m:t>)</m:t>
          </m:r>
          <m:r>
            <m:rPr>
              <m:sty m:val="p"/>
            </m:rPr>
            <m:t>=</m:t>
          </m:r>
          <m:f>
            <m:fPr>
              <m:type m:val="bar"/>
            </m:fPr>
            <m:num>
              <m:sSub>
                <m:e>
                  <m:r>
                    <m:t>R</m:t>
                  </m:r>
                </m:e>
                <m:sub>
                  <m:r>
                    <m:t>l</m:t>
                  </m:r>
                  <m:r>
                    <m:t>i</m:t>
                  </m:r>
                  <m:r>
                    <m:t>s</m:t>
                  </m:r>
                  <m:r>
                    <m:t>s</m:t>
                  </m:r>
                  <m:r>
                    <m:t>e</m:t>
                  </m:r>
                </m:sub>
              </m:sSub>
              <m:r>
                <m:rPr>
                  <m:sty m:val="p"/>
                </m:rPr>
                <m:t>(</m:t>
              </m:r>
              <m:r>
                <m:t>t</m:t>
              </m:r>
              <m:r>
                <m:rPr>
                  <m:sty m:val="p"/>
                </m:rPr>
                <m:t>)</m:t>
              </m:r>
            </m:num>
            <m:den>
              <m:r>
                <m:t>1</m:t>
              </m:r>
              <m:r>
                <m:rPr>
                  <m:sty m:val="p"/>
                </m:rPr>
                <m:t>+</m:t>
              </m:r>
              <m:sSub>
                <m:e>
                  <m:r>
                    <m:t>α</m:t>
                  </m:r>
                </m:e>
                <m:sub>
                  <m:r>
                    <m:t>F</m:t>
                  </m:r>
                  <m:r>
                    <m:t>e</m:t>
                  </m:r>
                </m:sub>
              </m:sSub>
              <m:r>
                <m:rPr>
                  <m:sty m:val="p"/>
                </m:rPr>
                <m:t>⋅</m:t>
              </m:r>
              <m:r>
                <m:rPr>
                  <m:sty m:val="p"/>
                </m:rPr>
                <m:t>(</m:t>
              </m:r>
              <m:r>
                <m:t>T</m:t>
              </m:r>
              <m:r>
                <m:rPr>
                  <m:sty m:val="p"/>
                </m:rPr>
                <m:t>(</m:t>
              </m:r>
              <m:r>
                <m:t>t</m:t>
              </m:r>
              <m:r>
                <m:rPr>
                  <m:sty m:val="p"/>
                </m:rPr>
                <m:t>)</m:t>
              </m:r>
              <m:r>
                <m:rPr>
                  <m:sty m:val="p"/>
                </m:rPr>
                <m:t>−</m:t>
              </m:r>
              <m:sSub>
                <m:e>
                  <m:r>
                    <m:t>T</m:t>
                  </m:r>
                </m:e>
                <m:sub>
                  <m:r>
                    <m:t>r</m:t>
                  </m:r>
                  <m:r>
                    <m:t>e</m:t>
                  </m:r>
                  <m:r>
                    <m:t>f</m:t>
                  </m:r>
                </m:sub>
              </m:sSub>
              <m:r>
                <m:rPr>
                  <m:sty m:val="p"/>
                </m:rPr>
                <m:t>)</m:t>
              </m:r>
            </m:den>
          </m:f>
        </m:oMath>
      </m:oMathPara>
    </w:p>
    <w:p>
      <w:pPr>
        <w:pStyle w:val="FirstParagraph"/>
      </w:pPr>
      <w:r>
        <w:rPr>
          <w:i/>
          <w:iCs/>
        </w:rPr>
        <w:t xml:space="preserve">R</w:t>
      </w:r>
      <w:r>
        <w:t xml:space="preserve">_corr(t) ne dépend plus que de la corrosion, pas de la température ambiante.</w:t>
      </w:r>
    </w:p>
    <w:bookmarkEnd w:id="81"/>
    <w:bookmarkStart w:id="82" w:name="ii.4.4.-feature-engineering"/>
    <w:p>
      <w:pPr>
        <w:pStyle w:val="Heading3"/>
      </w:pPr>
      <w:r>
        <w:t xml:space="preserve">II.4.4. Feature engineering</w:t>
      </w:r>
    </w:p>
    <w:p>
      <w:pPr>
        <w:pStyle w:val="FirstParagraph"/>
      </w:pPr>
      <w:r>
        <w:t xml:space="preserve">Dix variables d’entrée sont construites pour le modèle XGBoost à partir de</w:t>
      </w:r>
      <w:r>
        <w:t xml:space="preserve"> </w:t>
      </w:r>
      <w:r>
        <w:rPr>
          <w:i/>
          <w:iCs/>
        </w:rPr>
        <w:t xml:space="preserve">R</w:t>
      </w:r>
      <w:r>
        <w:t xml:space="preserve">_corr(t),</w:t>
      </w:r>
      <w:r>
        <w:t xml:space="preserve"> </w:t>
      </w:r>
      <w:r>
        <w:rPr>
          <w:i/>
          <w:iCs/>
        </w:rPr>
        <w:t xml:space="preserve">T</w:t>
      </w:r>
      <w:r>
        <w:t xml:space="preserve">(t) et</w:t>
      </w:r>
      <w:r>
        <w:t xml:space="preserve"> </w:t>
      </w:r>
      <w:r>
        <w:rPr>
          <w:i/>
          <w:iCs/>
        </w:rPr>
        <w:t xml:space="preserve">t</w:t>
      </w:r>
      <w:r>
        <w:t xml:space="preserve"> </w:t>
      </w:r>
      <w:r>
        <w:t xml:space="preserve">:</w:t>
      </w:r>
    </w:p>
    <w:p>
      <w:pPr>
        <w:pStyle w:val="BodyText"/>
      </w:pPr>
      <w:r>
        <w:rPr>
          <w:b/>
          <w:bCs/>
        </w:rPr>
        <w:t xml:space="preserve">Tableau II.6 — Variables d’entrée (features) du modèle XGBoost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Définition</w:t>
            </w:r>
          </w:p>
        </w:tc>
        <w:tc>
          <w:tcPr/>
          <w:p>
            <w:pPr>
              <w:pStyle w:val="Compact"/>
            </w:pPr>
            <w:r>
              <w:t xml:space="preserve">Justification physique</w:t>
            </w:r>
          </w:p>
        </w:tc>
      </w:tr>
      <w:tr>
        <w:tc>
          <w:tcPr/>
          <w:p>
            <w:pPr>
              <w:pStyle w:val="Compact"/>
            </w:pPr>
            <w:r>
              <w:rPr>
                <w:rStyle w:val="VerbatimChar"/>
              </w:rPr>
              <w:t xml:space="preserve">rx_corr</w:t>
            </w:r>
          </w:p>
        </w:tc>
        <w:tc>
          <w:tcPr/>
          <w:p>
            <w:pPr>
              <w:pStyle w:val="Compact"/>
            </w:pPr>
            <w:r>
              <w:t xml:space="preserve">Résistance compensée (Ω)</w:t>
            </w:r>
          </w:p>
        </w:tc>
        <w:tc>
          <w:tcPr/>
          <w:p>
            <w:pPr>
              <w:pStyle w:val="Compact"/>
            </w:pPr>
            <w:r>
              <w:t xml:space="preserve">État absolu</w:t>
            </w:r>
          </w:p>
        </w:tc>
      </w:tr>
      <w:tr>
        <w:tc>
          <w:tcPr/>
          <w:p>
            <w:pPr>
              <w:pStyle w:val="Compact"/>
            </w:pPr>
            <w:r>
              <w:rPr>
                <w:rStyle w:val="VerbatimChar"/>
              </w:rPr>
              <w:t xml:space="preserve">delta_R_1h</w:t>
            </w:r>
          </w:p>
        </w:tc>
        <w:tc>
          <w:tcPr/>
          <w:p>
            <w:pPr>
              <w:pStyle w:val="Compact"/>
            </w:pPr>
            <w:r>
              <w:t xml:space="preserve">Δ</w:t>
            </w:r>
            <w:r>
              <w:rPr>
                <w:i/>
                <w:iCs/>
              </w:rPr>
              <w:t xml:space="preserve">R</w:t>
            </w:r>
            <w:r>
              <w:t xml:space="preserve"> </w:t>
            </w:r>
            <w:r>
              <w:t xml:space="preserve">sur 1 h (6 points)</w:t>
            </w:r>
          </w:p>
        </w:tc>
        <w:tc>
          <w:tcPr/>
          <w:p>
            <w:pPr>
              <w:pStyle w:val="Compact"/>
            </w:pPr>
            <w:r>
              <w:t xml:space="preserve">Vitesse court terme</w:t>
            </w:r>
          </w:p>
        </w:tc>
      </w:tr>
      <w:tr>
        <w:tc>
          <w:tcPr/>
          <w:p>
            <w:pPr>
              <w:pStyle w:val="Compact"/>
            </w:pPr>
            <w:r>
              <w:rPr>
                <w:rStyle w:val="VerbatimChar"/>
              </w:rPr>
              <w:t xml:space="preserve">delta_R_6h</w:t>
            </w:r>
          </w:p>
        </w:tc>
        <w:tc>
          <w:tcPr/>
          <w:p>
            <w:pPr>
              <w:pStyle w:val="Compact"/>
            </w:pPr>
            <w:r>
              <w:t xml:space="preserve">Δ</w:t>
            </w:r>
            <w:r>
              <w:rPr>
                <w:i/>
                <w:iCs/>
              </w:rPr>
              <w:t xml:space="preserve">R</w:t>
            </w:r>
            <w:r>
              <w:t xml:space="preserve"> </w:t>
            </w:r>
            <w:r>
              <w:t xml:space="preserve">sur 6 h (36 points)</w:t>
            </w:r>
          </w:p>
        </w:tc>
        <w:tc>
          <w:tcPr/>
          <w:p>
            <w:pPr>
              <w:pStyle w:val="Compact"/>
            </w:pPr>
            <w:r>
              <w:t xml:space="preserve">Vitesse moyen terme</w:t>
            </w:r>
          </w:p>
        </w:tc>
      </w:tr>
      <w:tr>
        <w:tc>
          <w:tcPr/>
          <w:p>
            <w:pPr>
              <w:pStyle w:val="Compact"/>
            </w:pPr>
            <w:r>
              <w:rPr>
                <w:rStyle w:val="VerbatimChar"/>
              </w:rPr>
              <w:t xml:space="preserve">vitesse_CR_1h</w:t>
            </w:r>
          </w:p>
        </w:tc>
        <w:tc>
          <w:tcPr/>
          <w:p>
            <w:pPr>
              <w:pStyle w:val="Compact"/>
            </w:pPr>
            <w:r>
              <w:t xml:space="preserve">CR moyen 1 h (mm/an)</w:t>
            </w:r>
          </w:p>
        </w:tc>
        <w:tc>
          <w:tcPr/>
          <w:p>
            <w:pPr>
              <w:pStyle w:val="Compact"/>
            </w:pPr>
            <w:r>
              <w:t xml:space="preserve">Taux instantané lissé</w:t>
            </w:r>
          </w:p>
        </w:tc>
      </w:tr>
      <w:tr>
        <w:tc>
          <w:tcPr/>
          <w:p>
            <w:pPr>
              <w:pStyle w:val="Compact"/>
            </w:pPr>
            <w:r>
              <w:rPr>
                <w:rStyle w:val="VerbatimChar"/>
              </w:rPr>
              <w:t xml:space="preserve">tendance_6h</w:t>
            </w:r>
          </w:p>
        </w:tc>
        <w:tc>
          <w:tcPr/>
          <w:p>
            <w:pPr>
              <w:pStyle w:val="Compact"/>
            </w:pPr>
            <w:r>
              <w:t xml:space="preserve">Pente linéaire de</w:t>
            </w:r>
            <w:r>
              <w:t xml:space="preserve"> </w:t>
            </w:r>
            <w:r>
              <w:rPr>
                <w:i/>
                <w:iCs/>
              </w:rPr>
              <w:t xml:space="preserve">R</w:t>
            </w:r>
            <w:r>
              <w:t xml:space="preserve">ₓ sur 6 h</w:t>
            </w:r>
          </w:p>
        </w:tc>
        <w:tc>
          <w:tcPr/>
          <w:p>
            <w:pPr>
              <w:pStyle w:val="Compact"/>
            </w:pPr>
            <w:r>
              <w:t xml:space="preserve">Accélération / décélération</w:t>
            </w:r>
          </w:p>
        </w:tc>
      </w:tr>
      <w:tr>
        <w:tc>
          <w:tcPr/>
          <w:p>
            <w:pPr>
              <w:pStyle w:val="Compact"/>
            </w:pPr>
            <w:r>
              <w:rPr>
                <w:rStyle w:val="VerbatimChar"/>
              </w:rPr>
              <w:t xml:space="preserve">temp_lisse</w:t>
            </w:r>
          </w:p>
        </w:tc>
        <w:tc>
          <w:tcPr/>
          <w:p>
            <w:pPr>
              <w:pStyle w:val="Compact"/>
            </w:pPr>
            <w:r>
              <w:t xml:space="preserve">Température lissée (°C)</w:t>
            </w:r>
          </w:p>
        </w:tc>
        <w:tc>
          <w:tcPr/>
          <w:p>
            <w:pPr>
              <w:pStyle w:val="Compact"/>
            </w:pPr>
            <w:r>
              <w:t xml:space="preserve">Compensation résiduelle</w:t>
            </w:r>
          </w:p>
        </w:tc>
      </w:tr>
      <w:tr>
        <w:tc>
          <w:tcPr/>
          <w:p>
            <w:pPr>
              <w:pStyle w:val="Compact"/>
            </w:pPr>
            <w:r>
              <w:rPr>
                <w:rStyle w:val="VerbatimChar"/>
              </w:rPr>
              <w:t xml:space="preserve">temp_moy_6h</w:t>
            </w:r>
          </w:p>
        </w:tc>
        <w:tc>
          <w:tcPr/>
          <w:p>
            <w:pPr>
              <w:pStyle w:val="Compact"/>
            </w:pPr>
            <w:r>
              <w:t xml:space="preserve">Température moyenne 6 h</w:t>
            </w:r>
          </w:p>
        </w:tc>
        <w:tc>
          <w:tcPr/>
          <w:p>
            <w:pPr>
              <w:pStyle w:val="Compact"/>
            </w:pPr>
            <w:r>
              <w:t xml:space="preserve">Effets thermiques lents</w:t>
            </w:r>
          </w:p>
        </w:tc>
      </w:tr>
      <w:tr>
        <w:tc>
          <w:tcPr/>
          <w:p>
            <w:pPr>
              <w:pStyle w:val="Compact"/>
            </w:pPr>
            <w:r>
              <w:rPr>
                <w:rStyle w:val="VerbatimChar"/>
              </w:rPr>
              <w:t xml:space="preserve">temps_immersion_h</w:t>
            </w:r>
          </w:p>
        </w:tc>
        <w:tc>
          <w:tcPr/>
          <w:p>
            <w:pPr>
              <w:pStyle w:val="Compact"/>
            </w:pPr>
            <w:r>
              <w:rPr>
                <w:i/>
                <w:iCs/>
              </w:rPr>
              <w:t xml:space="preserve">t</w:t>
            </w:r>
            <w:r>
              <w:t xml:space="preserve"> </w:t>
            </w:r>
            <w:r>
              <w:t xml:space="preserve">depuis début du run (h)</w:t>
            </w:r>
          </w:p>
        </w:tc>
        <w:tc>
          <w:tcPr/>
          <w:p>
            <w:pPr>
              <w:pStyle w:val="Compact"/>
            </w:pPr>
            <w:r>
              <w:t xml:space="preserve">Stade d’avancement</w:t>
            </w:r>
          </w:p>
        </w:tc>
      </w:tr>
      <w:tr>
        <w:tc>
          <w:tcPr/>
          <w:p>
            <w:pPr>
              <w:pStyle w:val="Compact"/>
            </w:pPr>
            <w:r>
              <w:rPr>
                <w:rStyle w:val="VerbatimChar"/>
              </w:rPr>
              <w:t xml:space="preserve">delta_R_absolu</w:t>
            </w:r>
          </w:p>
        </w:tc>
        <w:tc>
          <w:tcPr/>
          <w:p>
            <w:pPr>
              <w:pStyle w:val="Compact"/>
            </w:pPr>
            <w:r>
              <w:rPr>
                <w:i/>
                <w:iCs/>
              </w:rPr>
              <w:t xml:space="preserve">R</w:t>
            </w:r>
            <w:r>
              <w:t xml:space="preserve">ₓ(t) −</w:t>
            </w:r>
            <w:r>
              <w:t xml:space="preserve"> </w:t>
            </w:r>
            <w:r>
              <w:rPr>
                <w:i/>
                <w:iCs/>
              </w:rPr>
              <w:t xml:space="preserve">R</w:t>
            </w:r>
            <w:r>
              <w:t xml:space="preserve">ₓ(0) (Ω)</w:t>
            </w:r>
          </w:p>
        </w:tc>
        <w:tc>
          <w:tcPr/>
          <w:p>
            <w:pPr>
              <w:pStyle w:val="Compact"/>
            </w:pPr>
            <w:r>
              <w:t xml:space="preserve">Perte cumulée</w:t>
            </w:r>
          </w:p>
        </w:tc>
      </w:tr>
      <w:tr>
        <w:tc>
          <w:tcPr/>
          <w:p>
            <w:pPr>
              <w:pStyle w:val="Compact"/>
            </w:pPr>
            <w:r>
              <w:rPr>
                <w:rStyle w:val="VerbatimChar"/>
              </w:rPr>
              <w:t xml:space="preserve">section_perdue_pct</w:t>
            </w:r>
          </w:p>
        </w:tc>
        <w:tc>
          <w:tcPr/>
          <w:p>
            <w:pPr>
              <w:pStyle w:val="Compact"/>
            </w:pPr>
            <w:r>
              <w:t xml:space="preserve">1 − (</w:t>
            </w:r>
            <w:r>
              <w:rPr>
                <w:i/>
                <w:iCs/>
              </w:rPr>
              <w:t xml:space="preserve">r</w:t>
            </w:r>
            <w:r>
              <w:t xml:space="preserve">(t)/</w:t>
            </w:r>
            <w:r>
              <w:rPr>
                <w:i/>
                <w:iCs/>
              </w:rPr>
              <w:t xml:space="preserve">r</w:t>
            </w:r>
            <w:r>
              <w:t xml:space="preserve">(0))² (%)</w:t>
            </w:r>
          </w:p>
        </w:tc>
        <w:tc>
          <w:tcPr/>
          <w:p>
            <w:pPr>
              <w:pStyle w:val="Compact"/>
            </w:pPr>
            <w:r>
              <w:t xml:space="preserve">Fraction de durée de vie consommée</w:t>
            </w:r>
          </w:p>
        </w:tc>
      </w:tr>
    </w:tbl>
    <w:p>
      <w:pPr>
        <w:pStyle w:val="BodyText"/>
      </w:pPr>
      <w:r>
        <w:t xml:space="preserve">Les</w:t>
      </w:r>
      <w:r>
        <w:t xml:space="preserve"> </w:t>
      </w:r>
      <w:r>
        <w:rPr>
          <w:b/>
          <w:bCs/>
        </w:rPr>
        <w:t xml:space="preserve">deux variables cibles</w:t>
      </w:r>
      <w:r>
        <w:t xml:space="preserve"> </w:t>
      </w:r>
      <w:r>
        <w:t xml:space="preserve">sont :</w:t>
      </w:r>
    </w:p>
    <w:p>
      <w:pPr>
        <w:pStyle w:val="Compact"/>
        <w:numPr>
          <w:ilvl w:val="0"/>
          <w:numId w:val="1026"/>
        </w:numPr>
      </w:pPr>
      <w:r>
        <w:rPr>
          <w:b/>
          <w:bCs/>
        </w:rPr>
        <w:t xml:space="preserve">CR_lisse</w:t>
      </w:r>
      <w:r>
        <w:t xml:space="preserve"> </w:t>
      </w:r>
      <w:r>
        <w:t xml:space="preserve">(mm/an) : taux de corrosion lissé Savitzky-Golay ;</w:t>
      </w:r>
    </w:p>
    <w:p>
      <w:pPr>
        <w:pStyle w:val="Compact"/>
        <w:numPr>
          <w:ilvl w:val="0"/>
          <w:numId w:val="1026"/>
        </w:numPr>
      </w:pPr>
      <w:r>
        <w:rPr>
          <w:b/>
          <w:bCs/>
        </w:rPr>
        <w:t xml:space="preserve">RUL_h</w:t>
      </w:r>
      <w:r>
        <w:t xml:space="preserve"> </w:t>
      </w:r>
      <w:r>
        <w:t xml:space="preserve">(heures) : durée de vie résiduelle.</w:t>
      </w:r>
    </w:p>
    <w:bookmarkEnd w:id="82"/>
    <w:bookmarkStart w:id="83" w:name="ii.4.5.-calcul-du-rul"/>
    <w:p>
      <w:pPr>
        <w:pStyle w:val="Heading3"/>
      </w:pPr>
      <w:r>
        <w:t xml:space="preserve">II.4.5. Calcul du RUL</w:t>
      </w:r>
    </w:p>
    <w:p>
      <w:pPr>
        <w:pStyle w:val="FirstParagraph"/>
      </w:pPr>
      <w:r>
        <w:t xml:space="preserve">Le critère de fin de vie est défini à</w:t>
      </w:r>
      <w:r>
        <w:t xml:space="preserve"> </w:t>
      </w:r>
      <w:r>
        <w:rPr>
          <w:i/>
          <w:iCs/>
        </w:rPr>
        <w:t xml:space="preserve">r</w:t>
      </w:r>
      <w:r>
        <w:t xml:space="preserve">_critique = 0,1 ×</w:t>
      </w:r>
      <w:r>
        <w:t xml:space="preserve"> </w:t>
      </w:r>
      <w:r>
        <w:rPr>
          <w:i/>
          <w:iCs/>
        </w:rPr>
        <w:t xml:space="preserve">r</w:t>
      </w:r>
      <w:r>
        <w:t xml:space="preserve">(0), soit une perte de 90 % du rayon initial (équivalent à une réduction de section de 99 %). Pour les</w:t>
      </w:r>
      <w:r>
        <w:t xml:space="preserve"> </w:t>
      </w:r>
      <w:r>
        <w:rPr>
          <w:b/>
          <w:bCs/>
        </w:rPr>
        <w:t xml:space="preserve">runs RTF complets</w:t>
      </w:r>
      <w:r>
        <w:t xml:space="preserve"> </w:t>
      </w:r>
      <w:r>
        <w:t xml:space="preserve">(rupture observée) :</w:t>
      </w:r>
    </w:p>
    <w:p>
      <w:pPr>
        <w:pStyle w:val="BodyText"/>
      </w:pPr>
      <m:oMathPara>
        <m:oMathParaPr>
          <m:jc m:val="center"/>
        </m:oMathParaPr>
        <m:oMath>
          <m:r>
            <m:t>R</m:t>
          </m:r>
          <m:r>
            <m:t>U</m:t>
          </m:r>
          <m:r>
            <m:t>L</m:t>
          </m:r>
          <m:r>
            <m:rPr>
              <m:sty m:val="p"/>
            </m:rPr>
            <m:t>(</m:t>
          </m:r>
          <m:r>
            <m:t>t</m:t>
          </m:r>
          <m:r>
            <m:rPr>
              <m:sty m:val="p"/>
            </m:rPr>
            <m:t>)</m:t>
          </m:r>
          <m:r>
            <m:rPr>
              <m:sty m:val="p"/>
            </m:rPr>
            <m:t>=</m:t>
          </m:r>
          <m:sSub>
            <m:e>
              <m:r>
                <m:t>t</m:t>
              </m:r>
            </m:e>
            <m:sub>
              <m:r>
                <m:t>r</m:t>
              </m:r>
              <m:r>
                <m:t>u</m:t>
              </m:r>
              <m:r>
                <m:t>p</m:t>
              </m:r>
              <m:r>
                <m:t>t</m:t>
              </m:r>
              <m:r>
                <m:t>u</m:t>
              </m:r>
              <m:r>
                <m:t>r</m:t>
              </m:r>
              <m:r>
                <m:t>e</m:t>
              </m:r>
            </m:sub>
          </m:sSub>
          <m:r>
            <m:rPr>
              <m:sty m:val="p"/>
            </m:rPr>
            <m:t>−</m:t>
          </m:r>
          <m:r>
            <m:t>t</m:t>
          </m:r>
        </m:oMath>
      </m:oMathPara>
    </w:p>
    <w:p>
      <w:pPr>
        <w:pStyle w:val="FirstParagraph"/>
      </w:pPr>
      <w:r>
        <w:t xml:space="preserve">Pour les</w:t>
      </w:r>
      <w:r>
        <w:t xml:space="preserve"> </w:t>
      </w:r>
      <w:r>
        <w:rPr>
          <w:b/>
          <w:bCs/>
        </w:rPr>
        <w:t xml:space="preserve">prédictions en cours de run</w:t>
      </w:r>
      <w:r>
        <w:t xml:space="preserve"> </w:t>
      </w:r>
      <w:r>
        <w:t xml:space="preserve">(rupture non encore atteinte) :</w:t>
      </w:r>
    </w:p>
    <w:p>
      <w:pPr>
        <w:pStyle w:val="BodyText"/>
      </w:pPr>
      <m:oMathPara>
        <m:oMathParaPr>
          <m:jc m:val="center"/>
        </m:oMathParaPr>
        <m:oMath>
          <m:r>
            <m:t>R</m:t>
          </m:r>
          <m:r>
            <m:t>U</m:t>
          </m:r>
          <m:r>
            <m:t>L</m:t>
          </m:r>
          <m:r>
            <m:rPr>
              <m:sty m:val="p"/>
            </m:rPr>
            <m:t>(</m:t>
          </m:r>
          <m:r>
            <m:t>t</m:t>
          </m:r>
          <m:r>
            <m:rPr>
              <m:sty m:val="p"/>
            </m:rPr>
            <m:t>)</m:t>
          </m:r>
          <m:r>
            <m:rPr>
              <m:sty m:val="p"/>
            </m:rPr>
            <m:t>=</m:t>
          </m:r>
          <m:f>
            <m:fPr>
              <m:type m:val="bar"/>
            </m:fPr>
            <m:num>
              <m:r>
                <m:t>r</m:t>
              </m:r>
              <m:r>
                <m:rPr>
                  <m:sty m:val="p"/>
                </m:rPr>
                <m:t>(</m:t>
              </m:r>
              <m:r>
                <m:t>t</m:t>
              </m:r>
              <m:r>
                <m:rPr>
                  <m:sty m:val="p"/>
                </m:rPr>
                <m:t>)</m:t>
              </m:r>
              <m:r>
                <m:rPr>
                  <m:sty m:val="p"/>
                </m:rPr>
                <m:t>−</m:t>
              </m:r>
              <m:sSub>
                <m:e>
                  <m:r>
                    <m:t>r</m:t>
                  </m:r>
                </m:e>
                <m:sub>
                  <m:r>
                    <m:t>c</m:t>
                  </m:r>
                  <m:r>
                    <m:t>r</m:t>
                  </m:r>
                  <m:r>
                    <m:t>i</m:t>
                  </m:r>
                  <m:r>
                    <m:t>t</m:t>
                  </m:r>
                  <m:r>
                    <m:t>i</m:t>
                  </m:r>
                  <m:r>
                    <m:t>q</m:t>
                  </m:r>
                  <m:r>
                    <m:t>u</m:t>
                  </m:r>
                  <m:r>
                    <m:t>e</m:t>
                  </m:r>
                </m:sub>
              </m:sSub>
            </m:num>
            <m:den>
              <m:r>
                <m:rPr>
                  <m:sty m:val="p"/>
                </m:rPr>
                <m:t>|</m:t>
              </m:r>
              <m:r>
                <m:t>d</m:t>
              </m:r>
              <m:r>
                <m:t>r</m:t>
              </m:r>
              <m:r>
                <m:rPr>
                  <m:sty m:val="p"/>
                </m:rPr>
                <m:t>/</m:t>
              </m:r>
              <m:r>
                <m:t>d</m:t>
              </m:r>
              <m:r>
                <m:t>t</m:t>
              </m:r>
              <m:r>
                <m:rPr>
                  <m:sty m:val="p"/>
                </m:rPr>
                <m:t>|</m:t>
              </m:r>
            </m:den>
          </m:f>
        </m:oMath>
      </m:oMathPara>
    </w:p>
    <w:p>
      <w:r>
        <w:pict>
          <v:rect style="width:0;height:1.5pt" o:hralign="center" o:hrstd="t" o:hr="t"/>
        </w:pict>
      </w:r>
    </w:p>
    <w:bookmarkEnd w:id="83"/>
    <w:bookmarkEnd w:id="84"/>
    <w:bookmarkStart w:id="90" w:name="Xa8014f60c555bd98b3c58e7b198d9c87054b6ca"/>
    <w:p>
      <w:pPr>
        <w:pStyle w:val="Heading2"/>
      </w:pPr>
      <w:r>
        <w:t xml:space="preserve">II.5. Méthodologie d’entraînement du modèle XGBoost</w:t>
      </w:r>
    </w:p>
    <w:bookmarkStart w:id="85" w:name="X77ced7e9d825a21d0cd2d89923184799ce997b4"/>
    <w:p>
      <w:pPr>
        <w:pStyle w:val="Heading3"/>
      </w:pPr>
      <w:r>
        <w:t xml:space="preserve">II.5.1. Validation croisée temporelle (TimeSeriesSplit)</w:t>
      </w:r>
    </w:p>
    <w:p>
      <w:pPr>
        <w:pStyle w:val="FirstParagraph"/>
      </w:pPr>
      <w:r>
        <w:t xml:space="preserve">La validation croisée walk-forward, implémentée par</w:t>
      </w:r>
      <w:r>
        <w:t xml:space="preserve"> </w:t>
      </w:r>
      <w:r>
        <w:rPr>
          <w:rStyle w:val="VerbatimChar"/>
        </w:rPr>
        <w:t xml:space="preserve">TimeSeriesSplit</w:t>
      </w:r>
      <w:r>
        <w:t xml:space="preserve"> </w:t>
      </w:r>
      <w:r>
        <w:t xml:space="preserve">(n_splits = 4), est utilisée pour respecter la</w:t>
      </w:r>
      <w:r>
        <w:t xml:space="preserve"> </w:t>
      </w:r>
      <w:r>
        <w:rPr>
          <w:b/>
          <w:bCs/>
        </w:rPr>
        <w:t xml:space="preserve">causalité temporelle</w:t>
      </w:r>
      <w:r>
        <w:t xml:space="preserve"> </w:t>
      </w:r>
      <w:r>
        <w:t xml:space="preserve">: chaque fold entraîne sur les données passées et teste sur les données futures, jamais l’inverse (Bergmeir et Benítez, 2012). Ce protocole évite toute fuite temporelle et fournit une estimation honnête de la performance en conditions de déploiement.</w:t>
      </w:r>
    </w:p>
    <w:bookmarkEnd w:id="85"/>
    <w:bookmarkStart w:id="86" w:name="ii.5.2.-hyperparamètres-xgboost"/>
    <w:p>
      <w:pPr>
        <w:pStyle w:val="Heading3"/>
      </w:pPr>
      <w:r>
        <w:t xml:space="preserve">II.5.2. Hyperparamètres XGBoost</w:t>
      </w:r>
    </w:p>
    <w:p>
      <w:pPr>
        <w:pStyle w:val="FirstParagraph"/>
      </w:pPr>
      <w:r>
        <w:rPr>
          <w:b/>
          <w:bCs/>
        </w:rPr>
        <w:t xml:space="preserve">Tableau II.7 — Hyperparamètres du modèle XGBoost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Hyperparamètre</w:t>
            </w:r>
          </w:p>
        </w:tc>
        <w:tc>
          <w:tcPr/>
          <w:p>
            <w:pPr>
              <w:pStyle w:val="Compact"/>
            </w:pPr>
            <w:r>
              <w:t xml:space="preserve">Valeur</w:t>
            </w:r>
          </w:p>
        </w:tc>
        <w:tc>
          <w:tcPr/>
          <w:p>
            <w:pPr>
              <w:pStyle w:val="Compact"/>
            </w:pPr>
            <w:r>
              <w:t xml:space="preserve">Justification</w:t>
            </w:r>
          </w:p>
        </w:tc>
      </w:tr>
      <w:tr>
        <w:tc>
          <w:tcPr/>
          <w:p>
            <w:pPr>
              <w:pStyle w:val="Compact"/>
            </w:pPr>
            <w:r>
              <w:rPr>
                <w:rStyle w:val="VerbatimChar"/>
              </w:rPr>
              <w:t xml:space="preserve">n_estimators</w:t>
            </w:r>
          </w:p>
        </w:tc>
        <w:tc>
          <w:tcPr/>
          <w:p>
            <w:pPr>
              <w:pStyle w:val="Compact"/>
            </w:pPr>
            <w:r>
              <w:t xml:space="preserve">500</w:t>
            </w:r>
          </w:p>
        </w:tc>
        <w:tc>
          <w:tcPr/>
          <w:p>
            <w:pPr>
              <w:pStyle w:val="Compact"/>
            </w:pPr>
            <w:r>
              <w:t xml:space="preserve">Compromis biais-variance</w:t>
            </w:r>
          </w:p>
        </w:tc>
      </w:tr>
      <w:tr>
        <w:tc>
          <w:tcPr/>
          <w:p>
            <w:pPr>
              <w:pStyle w:val="Compact"/>
            </w:pPr>
            <w:r>
              <w:rPr>
                <w:rStyle w:val="VerbatimChar"/>
              </w:rPr>
              <w:t xml:space="preserve">max_depth</w:t>
            </w:r>
          </w:p>
        </w:tc>
        <w:tc>
          <w:tcPr/>
          <w:p>
            <w:pPr>
              <w:pStyle w:val="Compact"/>
            </w:pPr>
            <w:r>
              <w:t xml:space="preserve">4</w:t>
            </w:r>
          </w:p>
        </w:tc>
        <w:tc>
          <w:tcPr/>
          <w:p>
            <w:pPr>
              <w:pStyle w:val="Compact"/>
            </w:pPr>
            <w:r>
              <w:t xml:space="preserve">Contrôle complexité, évite surapprentissage</w:t>
            </w:r>
          </w:p>
        </w:tc>
      </w:tr>
      <w:tr>
        <w:tc>
          <w:tcPr/>
          <w:p>
            <w:pPr>
              <w:pStyle w:val="Compact"/>
            </w:pPr>
            <w:r>
              <w:rPr>
                <w:rStyle w:val="VerbatimChar"/>
              </w:rPr>
              <w:t xml:space="preserve">learning_rate</w:t>
            </w:r>
          </w:p>
        </w:tc>
        <w:tc>
          <w:tcPr/>
          <w:p>
            <w:pPr>
              <w:pStyle w:val="Compact"/>
            </w:pPr>
            <w:r>
              <w:t xml:space="preserve">0,05</w:t>
            </w:r>
          </w:p>
        </w:tc>
        <w:tc>
          <w:tcPr/>
          <w:p>
            <w:pPr>
              <w:pStyle w:val="Compact"/>
            </w:pPr>
            <w:r>
              <w:t xml:space="preserve">Convergence stable avec 500 arbres</w:t>
            </w:r>
          </w:p>
        </w:tc>
      </w:tr>
      <w:tr>
        <w:tc>
          <w:tcPr/>
          <w:p>
            <w:pPr>
              <w:pStyle w:val="Compact"/>
            </w:pPr>
            <w:r>
              <w:rPr>
                <w:rStyle w:val="VerbatimChar"/>
              </w:rPr>
              <w:t xml:space="preserve">reg_alpha</w:t>
            </w:r>
            <w:r>
              <w:t xml:space="preserve"> </w:t>
            </w:r>
            <w:r>
              <w:t xml:space="preserve">(L1)</w:t>
            </w:r>
          </w:p>
        </w:tc>
        <w:tc>
          <w:tcPr/>
          <w:p>
            <w:pPr>
              <w:pStyle w:val="Compact"/>
            </w:pPr>
            <w:r>
              <w:t xml:space="preserve">0,1</w:t>
            </w:r>
          </w:p>
        </w:tc>
        <w:tc>
          <w:tcPr/>
          <w:p>
            <w:pPr>
              <w:pStyle w:val="Compact"/>
            </w:pPr>
            <w:r>
              <w:t xml:space="preserve">Sélection sparse des features</w:t>
            </w:r>
          </w:p>
        </w:tc>
      </w:tr>
      <w:tr>
        <w:tc>
          <w:tcPr/>
          <w:p>
            <w:pPr>
              <w:pStyle w:val="Compact"/>
            </w:pPr>
            <w:r>
              <w:rPr>
                <w:rStyle w:val="VerbatimChar"/>
              </w:rPr>
              <w:t xml:space="preserve">reg_lambda</w:t>
            </w:r>
            <w:r>
              <w:t xml:space="preserve"> </w:t>
            </w:r>
            <w:r>
              <w:t xml:space="preserve">(L2)</w:t>
            </w:r>
          </w:p>
        </w:tc>
        <w:tc>
          <w:tcPr/>
          <w:p>
            <w:pPr>
              <w:pStyle w:val="Compact"/>
            </w:pPr>
            <w:r>
              <w:t xml:space="preserve">1,0</w:t>
            </w:r>
          </w:p>
        </w:tc>
        <w:tc>
          <w:tcPr/>
          <w:p>
            <w:pPr>
              <w:pStyle w:val="Compact"/>
            </w:pPr>
            <w:r>
              <w:t xml:space="preserve">Stabilité numérique</w:t>
            </w:r>
          </w:p>
        </w:tc>
      </w:tr>
      <w:tr>
        <w:tc>
          <w:tcPr/>
          <w:p>
            <w:pPr>
              <w:pStyle w:val="Compact"/>
            </w:pPr>
            <w:r>
              <w:rPr>
                <w:rStyle w:val="VerbatimChar"/>
              </w:rPr>
              <w:t xml:space="preserve">subsample</w:t>
            </w:r>
          </w:p>
        </w:tc>
        <w:tc>
          <w:tcPr/>
          <w:p>
            <w:pPr>
              <w:pStyle w:val="Compact"/>
            </w:pPr>
            <w:r>
              <w:t xml:space="preserve">0,8</w:t>
            </w:r>
          </w:p>
        </w:tc>
        <w:tc>
          <w:tcPr/>
          <w:p>
            <w:pPr>
              <w:pStyle w:val="Compact"/>
            </w:pPr>
            <w:r>
              <w:t xml:space="preserve">Réduction variance</w:t>
            </w:r>
          </w:p>
        </w:tc>
      </w:tr>
      <w:tr>
        <w:tc>
          <w:tcPr/>
          <w:p>
            <w:pPr>
              <w:pStyle w:val="Compact"/>
            </w:pPr>
            <w:r>
              <w:rPr>
                <w:rStyle w:val="VerbatimChar"/>
              </w:rPr>
              <w:t xml:space="preserve">colsample_bytree</w:t>
            </w:r>
          </w:p>
        </w:tc>
        <w:tc>
          <w:tcPr/>
          <w:p>
            <w:pPr>
              <w:pStyle w:val="Compact"/>
            </w:pPr>
            <w:r>
              <w:t xml:space="preserve">0,8</w:t>
            </w:r>
          </w:p>
        </w:tc>
        <w:tc>
          <w:tcPr/>
          <w:p>
            <w:pPr>
              <w:pStyle w:val="Compact"/>
            </w:pPr>
            <w:r>
              <w:t xml:space="preserve">Diversité des arbres</w:t>
            </w:r>
          </w:p>
        </w:tc>
      </w:tr>
      <w:tr>
        <w:tc>
          <w:tcPr/>
          <w:p>
            <w:pPr>
              <w:pStyle w:val="Compact"/>
            </w:pPr>
            <w:r>
              <w:rPr>
                <w:rStyle w:val="VerbatimChar"/>
              </w:rPr>
              <w:t xml:space="preserve">objective</w:t>
            </w:r>
          </w:p>
        </w:tc>
        <w:tc>
          <w:tcPr/>
          <w:p>
            <w:pPr>
              <w:pStyle w:val="Compact"/>
            </w:pPr>
            <w:r>
              <w:rPr>
                <w:rStyle w:val="VerbatimChar"/>
              </w:rPr>
              <w:t xml:space="preserve">reg:squarederror</w:t>
            </w:r>
          </w:p>
        </w:tc>
        <w:tc>
          <w:tcPr/>
          <w:p>
            <w:pPr>
              <w:pStyle w:val="Compact"/>
            </w:pPr>
            <w:r>
              <w:t xml:space="preserve">Régression standard</w:t>
            </w:r>
          </w:p>
        </w:tc>
      </w:tr>
    </w:tbl>
    <w:p>
      <w:pPr>
        <w:pStyle w:val="BodyText"/>
      </w:pPr>
      <w:r>
        <w:t xml:space="preserve">Source : Chen et Guestrin (2016) ; XGBoost (2024).</w:t>
      </w:r>
    </w:p>
    <w:bookmarkEnd w:id="86"/>
    <w:bookmarkStart w:id="87" w:name="ii.5.3.-métriques-dévaluation"/>
    <w:p>
      <w:pPr>
        <w:pStyle w:val="Heading3"/>
      </w:pPr>
      <w:r>
        <w:t xml:space="preserve">II.5.3. Métriques d’évaluation</w:t>
      </w:r>
    </w:p>
    <w:p>
      <w:pPr>
        <w:pStyle w:val="FirstParagraph"/>
      </w:pPr>
      <w:r>
        <w:t xml:space="preserve">Trois métriques classiques sont utilisées (Hyndman et Koehler, 2006) :</w:t>
      </w:r>
    </w:p>
    <w:p>
      <w:pPr>
        <w:pStyle w:val="Compact"/>
        <w:numPr>
          <w:ilvl w:val="0"/>
          <w:numId w:val="1027"/>
        </w:numPr>
      </w:pPr>
      <w:r>
        <w:rPr>
          <w:b/>
          <w:bCs/>
        </w:rPr>
        <w:t xml:space="preserve">MAE (Mean Absolute Error)</w:t>
      </w:r>
      <w:r>
        <w:t xml:space="preserve"> </w:t>
      </w:r>
      <w:r>
        <w:t xml:space="preserve">:</w:t>
      </w:r>
      <w:r>
        <w:t xml:space="preserve"> </w:t>
      </w:r>
      <m:oMath>
        <m:r>
          <m:rPr>
            <m:no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p>
    <w:p>
      <w:pPr>
        <w:pStyle w:val="Compact"/>
        <w:numPr>
          <w:ilvl w:val="0"/>
          <w:numId w:val="1027"/>
        </w:numPr>
      </w:pPr>
      <w:r>
        <w:rPr>
          <w:b/>
          <w:bCs/>
        </w:rPr>
        <w:t xml:space="preserve">RMSE (Root Mean Square Error)</w:t>
      </w:r>
      <w:r>
        <w:t xml:space="preserve"> </w:t>
      </w:r>
      <w:r>
        <w:t xml:space="preserve">:</w:t>
      </w:r>
      <w: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w:p>
    <w:p>
      <w:pPr>
        <w:pStyle w:val="Compact"/>
        <w:numPr>
          <w:ilvl w:val="0"/>
          <w:numId w:val="1027"/>
        </w:numPr>
      </w:pPr>
      <w:r>
        <w:rPr>
          <w:b/>
          <w:bCs/>
        </w:rPr>
        <w:t xml:space="preserve">R² (coefficient de détermination)</w:t>
      </w:r>
      <w:r>
        <w:t xml:space="preserve"> </w:t>
      </w:r>
      <w:r>
        <w:t xml:space="preserve">:</w:t>
      </w:r>
      <w:r>
        <w:t xml:space="preserve"> </w:t>
      </w: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oMath>
    </w:p>
    <w:p>
      <w:pPr>
        <w:pStyle w:val="FirstParagraph"/>
      </w:pPr>
      <w:r>
        <w:t xml:space="preserve">Une</w:t>
      </w:r>
      <w:r>
        <w:t xml:space="preserve"> </w:t>
      </w:r>
      <w:r>
        <w:rPr>
          <w:b/>
          <w:bCs/>
        </w:rPr>
        <w:t xml:space="preserve">baseline naïve</w:t>
      </w:r>
      <w:r>
        <w:t xml:space="preserve"> </w:t>
      </w:r>
      <w:r>
        <w:t xml:space="preserve">(prédiction = moyenne du training set) sert de comparaison pour vérifier que le modèle apporte effectivement une valeur ajoutée.</w:t>
      </w:r>
    </w:p>
    <w:bookmarkEnd w:id="87"/>
    <w:bookmarkStart w:id="88" w:name="ii.5.4.-interprétabilité-par-shap"/>
    <w:p>
      <w:pPr>
        <w:pStyle w:val="Heading3"/>
      </w:pPr>
      <w:r>
        <w:t xml:space="preserve">II.5.4. Interprétabilité par SHAP</w:t>
      </w:r>
    </w:p>
    <w:p>
      <w:pPr>
        <w:pStyle w:val="FirstParagraph"/>
      </w:pPr>
      <w:r>
        <w:t xml:space="preserve">L’analyse</w:t>
      </w:r>
      <w:r>
        <w:t xml:space="preserve"> </w:t>
      </w:r>
      <w:r>
        <w:rPr>
          <w:b/>
          <w:bCs/>
        </w:rPr>
        <w:t xml:space="preserve">SHAP (SHapley Additive exPlanations)</w:t>
      </w:r>
      <w:r>
        <w:t xml:space="preserve"> </w:t>
      </w:r>
      <w:r>
        <w:t xml:space="preserve">est conduite après entraînement pour identifier les variables dominantes (Lundberg et Lee, 2017). Trois visualisations sont produites :</w:t>
      </w:r>
    </w:p>
    <w:p>
      <w:pPr>
        <w:pStyle w:val="Compact"/>
        <w:numPr>
          <w:ilvl w:val="0"/>
          <w:numId w:val="1028"/>
        </w:numPr>
      </w:pPr>
      <w:r>
        <w:rPr>
          <w:b/>
          <w:bCs/>
        </w:rPr>
        <w:t xml:space="preserve">SHAP summary plot (beeswarm)</w:t>
      </w:r>
      <w:r>
        <w:t xml:space="preserve"> </w:t>
      </w:r>
      <w:r>
        <w:t xml:space="preserve">: distribution des contributions par feature ;</w:t>
      </w:r>
    </w:p>
    <w:p>
      <w:pPr>
        <w:pStyle w:val="Compact"/>
        <w:numPr>
          <w:ilvl w:val="0"/>
          <w:numId w:val="1028"/>
        </w:numPr>
      </w:pPr>
      <w:r>
        <w:rPr>
          <w:b/>
          <w:bCs/>
        </w:rPr>
        <w:t xml:space="preserve">SHAP bar chart</w:t>
      </w:r>
      <w:r>
        <w:t xml:space="preserve"> </w:t>
      </w:r>
      <w:r>
        <w:t xml:space="preserve">: importance moyenne absolue des features ;</w:t>
      </w:r>
    </w:p>
    <w:p>
      <w:pPr>
        <w:pStyle w:val="Compact"/>
        <w:numPr>
          <w:ilvl w:val="0"/>
          <w:numId w:val="1028"/>
        </w:numPr>
      </w:pPr>
      <w:r>
        <w:rPr>
          <w:b/>
          <w:bCs/>
        </w:rPr>
        <w:t xml:space="preserve">SHAP dependence plot</w:t>
      </w:r>
      <w:r>
        <w:t xml:space="preserve"> </w:t>
      </w:r>
      <w:r>
        <w:t xml:space="preserve">: interaction entre features.</w:t>
      </w:r>
    </w:p>
    <w:p>
      <w:pPr>
        <w:pStyle w:val="FirstParagraph"/>
      </w:pPr>
      <w:r>
        <w:t xml:space="preserve">L’objectif est d’identifier les</w:t>
      </w:r>
      <w:r>
        <w:t xml:space="preserve"> </w:t>
      </w:r>
      <w:r>
        <w:rPr>
          <w:b/>
          <w:bCs/>
        </w:rPr>
        <w:t xml:space="preserve">3 variables les plus influentes</w:t>
      </w:r>
      <w:r>
        <w:t xml:space="preserve"> </w:t>
      </w:r>
      <w:r>
        <w:t xml:space="preserve">et de vérifier la cohérence avec la physique du phénomène.</w:t>
      </w:r>
    </w:p>
    <w:bookmarkEnd w:id="88"/>
    <w:bookmarkStart w:id="89" w:name="Xa84e41cc3fff3ce0d5a7c2fab658d87d03b5676"/>
    <w:p>
      <w:pPr>
        <w:pStyle w:val="Heading3"/>
      </w:pPr>
      <w:r>
        <w:t xml:space="preserve">II.5.5. Module de diagnostic des régimes de corrosion</w:t>
      </w:r>
    </w:p>
    <w:p>
      <w:pPr>
        <w:pStyle w:val="FirstParagraph"/>
      </w:pPr>
      <w:r>
        <w:t xml:space="preserve">Au-delà de la prédiction quantitative (CR, RUL), le pipeline implémente un</w:t>
      </w:r>
      <w:r>
        <w:t xml:space="preserve"> </w:t>
      </w:r>
      <w:r>
        <w:rPr>
          <w:b/>
          <w:bCs/>
        </w:rPr>
        <w:t xml:space="preserve">module de diagnostic</w:t>
      </w:r>
      <w:r>
        <w:t xml:space="preserve"> </w:t>
      </w:r>
      <w:r>
        <w:t xml:space="preserve">classifiant en temps réel le régime de corrosion observé, conformément à l’étape</w:t>
      </w:r>
      <w:r>
        <w:t xml:space="preserve"> </w:t>
      </w:r>
      <w:r>
        <w:rPr>
          <w:i/>
          <w:iCs/>
        </w:rPr>
        <w:t xml:space="preserve">Diagnostic</w:t>
      </w:r>
      <w:r>
        <w:t xml:space="preserve"> </w:t>
      </w:r>
      <w:r>
        <w:t xml:space="preserve">de la norme ISO 13381-1. L’approche retenue est une</w:t>
      </w:r>
      <w:r>
        <w:t xml:space="preserve"> </w:t>
      </w:r>
      <w:r>
        <w:rPr>
          <w:b/>
          <w:bCs/>
        </w:rPr>
        <w:t xml:space="preserve">approche par règles métier explicables</w:t>
      </w:r>
      <w:r>
        <w:t xml:space="preserve">, simple à valider, transparente pour le jury et les utilisateurs industriels finaux. Cinq régimes sont reconnus :</w:t>
      </w:r>
    </w:p>
    <w:p>
      <w:pPr>
        <w:pStyle w:val="BodyText"/>
      </w:pPr>
      <w:r>
        <w:rPr>
          <w:b/>
          <w:bCs/>
        </w:rPr>
        <w:t xml:space="preserve">Tableau II.7 — Régimes de corrosion diagnostiqués et signatures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Régime</w:t>
            </w:r>
          </w:p>
        </w:tc>
        <w:tc>
          <w:tcPr/>
          <w:p>
            <w:pPr>
              <w:pStyle w:val="Compact"/>
            </w:pPr>
            <w:r>
              <w:t xml:space="preserve">Signature dans le signal</w:t>
            </w:r>
          </w:p>
        </w:tc>
        <w:tc>
          <w:tcPr/>
          <w:p>
            <w:pPr>
              <w:pStyle w:val="Compact"/>
            </w:pPr>
            <w:r>
              <w:t xml:space="preserve">Action déclenchée</w:t>
            </w:r>
          </w:p>
        </w:tc>
      </w:tr>
      <w:tr>
        <w:tc>
          <w:tcPr/>
          <w:p>
            <w:pPr>
              <w:pStyle w:val="Compact"/>
            </w:pPr>
            <w:r>
              <w:rPr>
                <w:b/>
                <w:bCs/>
              </w:rPr>
              <w:t xml:space="preserve">Stable</w:t>
            </w:r>
          </w:p>
        </w:tc>
        <w:tc>
          <w:tcPr/>
          <w:p>
            <w:pPr>
              <w:pStyle w:val="Compact"/>
            </w:pPr>
            <w:r>
              <w:t xml:space="preserve">dR/dt ≈ 0 sur 6h, tendance plate</w:t>
            </w:r>
          </w:p>
        </w:tc>
        <w:tc>
          <w:tcPr/>
          <w:p>
            <w:pPr>
              <w:pStyle w:val="Compact"/>
            </w:pPr>
            <w:r>
              <w:t xml:space="preserve">Surveillance normale (alerte verte)</w:t>
            </w:r>
          </w:p>
        </w:tc>
      </w:tr>
      <w:tr>
        <w:tc>
          <w:tcPr/>
          <w:p>
            <w:pPr>
              <w:pStyle w:val="Compact"/>
            </w:pPr>
            <w:r>
              <w:rPr>
                <w:b/>
                <w:bCs/>
              </w:rPr>
              <w:t xml:space="preserve">Accélération</w:t>
            </w:r>
            <w:r>
              <w:t xml:space="preserve"> </w:t>
            </w:r>
            <w:r>
              <w:t xml:space="preserve">(HCl dominant)</w:t>
            </w:r>
          </w:p>
        </w:tc>
        <w:tc>
          <w:tcPr/>
          <w:p>
            <w:pPr>
              <w:pStyle w:val="Compact"/>
            </w:pPr>
            <w:r>
              <w:t xml:space="preserve">tendance_6h &gt; seuil_acc, T stable</w:t>
            </w:r>
          </w:p>
        </w:tc>
        <w:tc>
          <w:tcPr/>
          <w:p>
            <w:pPr>
              <w:pStyle w:val="Compact"/>
            </w:pPr>
            <w:r>
              <w:t xml:space="preserve">Alerte orange + injection 0,1 % v/v</w:t>
            </w:r>
          </w:p>
        </w:tc>
      </w:tr>
      <w:tr>
        <w:tc>
          <w:tcPr/>
          <w:p>
            <w:pPr>
              <w:pStyle w:val="Compact"/>
            </w:pPr>
            <w:r>
              <w:rPr>
                <w:b/>
                <w:bCs/>
              </w:rPr>
              <w:t xml:space="preserve">Passivation</w:t>
            </w:r>
            <w:r>
              <w:t xml:space="preserve"> </w:t>
            </w:r>
            <w:r>
              <w:t xml:space="preserve">(FePO₄ dominant)</w:t>
            </w:r>
          </w:p>
        </w:tc>
        <w:tc>
          <w:tcPr/>
          <w:p>
            <w:pPr>
              <w:pStyle w:val="Compact"/>
            </w:pPr>
            <w:r>
              <w:t xml:space="preserve">dR/dt qui décélère sans inhibiteur</w:t>
            </w:r>
          </w:p>
        </w:tc>
        <w:tc>
          <w:tcPr/>
          <w:p>
            <w:pPr>
              <w:pStyle w:val="Compact"/>
            </w:pPr>
            <w:r>
              <w:t xml:space="preserve">Surveillance — film stable</w:t>
            </w:r>
          </w:p>
        </w:tc>
      </w:tr>
      <w:tr>
        <w:tc>
          <w:tcPr/>
          <w:p>
            <w:pPr>
              <w:pStyle w:val="Compact"/>
            </w:pPr>
            <w:r>
              <w:rPr>
                <w:b/>
                <w:bCs/>
              </w:rPr>
              <w:t xml:space="preserve">Adsorption inhibiteur</w:t>
            </w:r>
          </w:p>
        </w:tc>
        <w:tc>
          <w:tcPr/>
          <w:p>
            <w:pPr>
              <w:pStyle w:val="Compact"/>
            </w:pPr>
            <w:r>
              <w:t xml:space="preserve">Changepoint avec chute brutale de CR ≥ 30 %</w:t>
            </w:r>
          </w:p>
        </w:tc>
        <w:tc>
          <w:tcPr/>
          <w:p>
            <w:pPr>
              <w:pStyle w:val="Compact"/>
            </w:pPr>
            <w:r>
              <w:t xml:space="preserve">Confirmer dose efficace</w:t>
            </w:r>
          </w:p>
        </w:tc>
      </w:tr>
      <w:tr>
        <w:tc>
          <w:tcPr/>
          <w:p>
            <w:pPr>
              <w:pStyle w:val="Compact"/>
            </w:pPr>
            <w:r>
              <w:rPr>
                <w:b/>
                <w:bCs/>
              </w:rPr>
              <w:t xml:space="preserve">Pré-rupture</w:t>
            </w:r>
          </w:p>
        </w:tc>
        <w:tc>
          <w:tcPr/>
          <w:p>
            <w:pPr>
              <w:pStyle w:val="Compact"/>
            </w:pPr>
            <w:r>
              <w:t xml:space="preserve">dR/dt diverge ET RUL &lt; 12 h</w:t>
            </w:r>
          </w:p>
        </w:tc>
        <w:tc>
          <w:tcPr/>
          <w:p>
            <w:pPr>
              <w:pStyle w:val="Compact"/>
            </w:pPr>
            <w:r>
              <w:t xml:space="preserve">Alerte rouge + arrêt + remplacement</w:t>
            </w:r>
          </w:p>
        </w:tc>
      </w:tr>
    </w:tbl>
    <w:p>
      <w:pPr>
        <w:pStyle w:val="BodyText"/>
      </w:pPr>
      <w:r>
        <w:t xml:space="preserve">Les seuils sont calibrés empiriquement à partir des distributions observées dans les runs de référence (runs 1 et 2), ce qui constitue une démarche scientifiquement honnête et reproductible. Une extension future à un classificateur ML supervisé (XGBoost classifieur) ou non-supervisé (Isolation Forest pour la détection d’anomalies) est envisagée comme perspective d’évolution mais hors périmètre du présent mémoire.</w:t>
      </w:r>
    </w:p>
    <w:p>
      <w:pPr>
        <w:pStyle w:val="BodyText"/>
      </w:pPr>
      <w:r>
        <w:t xml:space="preserve">La fonction</w:t>
      </w:r>
      <w:r>
        <w:t xml:space="preserve"> </w:t>
      </w:r>
      <w:r>
        <w:rPr>
          <w:rStyle w:val="VerbatimChar"/>
        </w:rPr>
        <w:t xml:space="preserve">diagnostiquer(features)</w:t>
      </w:r>
      <w:r>
        <w:t xml:space="preserve"> </w:t>
      </w:r>
      <w:r>
        <w:t xml:space="preserve">du pipeline Python prend en entrée le vecteur de features de l’instant courant et retourne un dictionnaire</w:t>
      </w:r>
      <w:r>
        <w:t xml:space="preserve"> </w:t>
      </w:r>
      <w:r>
        <w:rPr>
          <w:rStyle w:val="VerbatimChar"/>
        </w:rPr>
        <w:t xml:space="preserve">{régime: str, confiance: float, signal: dict}</w:t>
      </w:r>
      <w:r>
        <w:t xml:space="preserve"> </w:t>
      </w:r>
      <w:r>
        <w:t xml:space="preserve">exploité ensuite par le module GMAO (OS4) pour générer alertes et recommandations.</w:t>
      </w:r>
    </w:p>
    <w:p>
      <w:r>
        <w:pict>
          <v:rect style="width:0;height:1.5pt" o:hralign="center" o:hrstd="t" o:hr="t"/>
        </w:pict>
      </w:r>
    </w:p>
    <w:bookmarkEnd w:id="89"/>
    <w:bookmarkEnd w:id="90"/>
    <w:bookmarkStart w:id="95" w:name="X8f2c3d1b22491317b619a97563f1a03b47db684"/>
    <w:p>
      <w:pPr>
        <w:pStyle w:val="Heading2"/>
      </w:pPr>
      <w:r>
        <w:t xml:space="preserve">II.6. Protocole expérimental run-to-failure</w:t>
      </w:r>
    </w:p>
    <w:bookmarkStart w:id="91" w:name="ii.6.1.-justification-du-protocole-rtf"/>
    <w:p>
      <w:pPr>
        <w:pStyle w:val="Heading3"/>
      </w:pPr>
      <w:r>
        <w:t xml:space="preserve">II.6.1. Justification du protocole RTF</w:t>
      </w:r>
    </w:p>
    <w:p>
      <w:pPr>
        <w:pStyle w:val="FirstParagraph"/>
      </w:pPr>
      <w:r>
        <w:t xml:space="preserve">Le choix d’un protocole</w:t>
      </w:r>
      <w:r>
        <w:t xml:space="preserve"> </w:t>
      </w:r>
      <w:r>
        <w:rPr>
          <w:b/>
          <w:bCs/>
        </w:rPr>
        <w:t xml:space="preserve">run-to-failure (RTF)</w:t>
      </w:r>
      <w:r>
        <w:t xml:space="preserve"> </w:t>
      </w:r>
      <w:r>
        <w:t xml:space="preserve">est fondé sur la nécessité de constituer un jeu d’apprentissage couvrant l’intégralité du cycle de dégradation, de l’état initial jusqu’à la rupture, conformément à l’esprit de la norme</w:t>
      </w:r>
      <w:r>
        <w:t xml:space="preserve"> </w:t>
      </w:r>
      <w:r>
        <w:rPr>
          <w:b/>
          <w:bCs/>
        </w:rPr>
        <w:t xml:space="preserve">ISO 13381-1 :2015</w:t>
      </w:r>
      <w:r>
        <w:t xml:space="preserve"> </w:t>
      </w:r>
      <w:r>
        <w:t xml:space="preserve">sur la maintenance prévisionnelle (ISO, 2015 ; Akash, 2024). Seul un protocole RTF permet de constituer une base de données</w:t>
      </w:r>
      <w:r>
        <w:t xml:space="preserve"> </w:t>
      </w:r>
      <w:r>
        <w:rPr>
          <w:i/>
          <w:iCs/>
        </w:rPr>
        <w:t xml:space="preserve">vraie</w:t>
      </w:r>
      <w:r>
        <w:t xml:space="preserve"> </w:t>
      </w:r>
      <w:r>
        <w:t xml:space="preserve">(avec événement de défaillance observé) pour l’apprentissage de la prédiction RUL.</w:t>
      </w:r>
    </w:p>
    <w:bookmarkEnd w:id="91"/>
    <w:bookmarkStart w:id="92" w:name="ii.6.2.-plan-expérimental"/>
    <w:p>
      <w:pPr>
        <w:pStyle w:val="Heading3"/>
      </w:pPr>
      <w:r>
        <w:t xml:space="preserve">II.6.2. Plan expérimental</w:t>
      </w:r>
    </w:p>
    <w:p>
      <w:pPr>
        <w:pStyle w:val="FirstParagraph"/>
      </w:pPr>
      <w:r>
        <w:rPr>
          <w:b/>
          <w:bCs/>
        </w:rPr>
        <w:t xml:space="preserve">Tableau II.8 — Plan des quatre runs expérimentaux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Run</w:t>
            </w:r>
          </w:p>
        </w:tc>
        <w:tc>
          <w:tcPr/>
          <w:p>
            <w:pPr>
              <w:pStyle w:val="Compact"/>
            </w:pPr>
            <w:r>
              <w:t xml:space="preserve">Durée estimée</w:t>
            </w:r>
          </w:p>
        </w:tc>
        <w:tc>
          <w:tcPr/>
          <w:p>
            <w:pPr>
              <w:pStyle w:val="Compact"/>
            </w:pPr>
            <w:r>
              <w:t xml:space="preserve">Conditions</w:t>
            </w:r>
          </w:p>
        </w:tc>
        <w:tc>
          <w:tcPr/>
          <w:p>
            <w:pPr>
              <w:pStyle w:val="Compact"/>
            </w:pPr>
            <w:r>
              <w:t xml:space="preserve">Utilisation ML</w:t>
            </w:r>
          </w:p>
        </w:tc>
      </w:tr>
      <w:tr>
        <w:tc>
          <w:tcPr/>
          <w:p>
            <w:pPr>
              <w:pStyle w:val="Compact"/>
            </w:pPr>
            <w:r>
              <w:t xml:space="preserve">Run 1</w:t>
            </w:r>
          </w:p>
        </w:tc>
        <w:tc>
          <w:tcPr/>
          <w:p>
            <w:pPr>
              <w:pStyle w:val="Compact"/>
            </w:pPr>
            <w:r>
              <w:t xml:space="preserve">24–72 h jusqu’à rupture</w:t>
            </w:r>
          </w:p>
        </w:tc>
        <w:tc>
          <w:tcPr/>
          <w:p>
            <w:pPr>
              <w:pStyle w:val="Compact"/>
            </w:pPr>
            <w:r>
              <w:t xml:space="preserve">Detar Plus pur, sans inhibiteur, T ambiante</w:t>
            </w:r>
          </w:p>
        </w:tc>
        <w:tc>
          <w:tcPr/>
          <w:p>
            <w:pPr>
              <w:pStyle w:val="Compact"/>
            </w:pPr>
            <w:r>
              <w:t xml:space="preserve">Entraînement</w:t>
            </w:r>
          </w:p>
        </w:tc>
      </w:tr>
      <w:tr>
        <w:tc>
          <w:tcPr/>
          <w:p>
            <w:pPr>
              <w:pStyle w:val="Compact"/>
            </w:pPr>
            <w:r>
              <w:t xml:space="preserve">Run 2</w:t>
            </w:r>
          </w:p>
        </w:tc>
        <w:tc>
          <w:tcPr/>
          <w:p>
            <w:pPr>
              <w:pStyle w:val="Compact"/>
            </w:pPr>
            <w:r>
              <w:t xml:space="preserve">24–72 h jusqu’à rupture</w:t>
            </w:r>
          </w:p>
        </w:tc>
        <w:tc>
          <w:tcPr/>
          <w:p>
            <w:pPr>
              <w:pStyle w:val="Compact"/>
            </w:pPr>
            <w:r>
              <w:t xml:space="preserve">Detar Plus pur (réplique)</w:t>
            </w:r>
          </w:p>
        </w:tc>
        <w:tc>
          <w:tcPr/>
          <w:p>
            <w:pPr>
              <w:pStyle w:val="Compact"/>
            </w:pPr>
            <w:r>
              <w:t xml:space="preserve">Entraînement</w:t>
            </w:r>
          </w:p>
        </w:tc>
      </w:tr>
      <w:tr>
        <w:tc>
          <w:tcPr/>
          <w:p>
            <w:pPr>
              <w:pStyle w:val="Compact"/>
            </w:pPr>
            <w:r>
              <w:t xml:space="preserve">Run 3</w:t>
            </w:r>
          </w:p>
        </w:tc>
        <w:tc>
          <w:tcPr/>
          <w:p>
            <w:pPr>
              <w:pStyle w:val="Compact"/>
            </w:pPr>
            <w:r>
              <w:t xml:space="preserve">24–72 h jusqu’à rupture</w:t>
            </w:r>
          </w:p>
        </w:tc>
        <w:tc>
          <w:tcPr/>
          <w:p>
            <w:pPr>
              <w:pStyle w:val="Compact"/>
            </w:pPr>
            <w:r>
              <w:t xml:space="preserve">Milieu corrosif + inhibiteur imidazoline à 0,1 % v/v</w:t>
            </w:r>
          </w:p>
        </w:tc>
        <w:tc>
          <w:tcPr/>
          <w:p>
            <w:pPr>
              <w:pStyle w:val="Compact"/>
            </w:pPr>
            <w:r>
              <w:t xml:space="preserve">Entraînement + évaluation inhibiteur</w:t>
            </w:r>
          </w:p>
        </w:tc>
      </w:tr>
      <w:tr>
        <w:tc>
          <w:tcPr/>
          <w:p>
            <w:pPr>
              <w:pStyle w:val="Compact"/>
            </w:pPr>
            <w:r>
              <w:t xml:space="preserve">Run 4</w:t>
            </w:r>
          </w:p>
        </w:tc>
        <w:tc>
          <w:tcPr/>
          <w:p>
            <w:pPr>
              <w:pStyle w:val="Compact"/>
            </w:pPr>
            <w:r>
              <w:t xml:space="preserve">24–72 h jusqu’à rupture</w:t>
            </w:r>
          </w:p>
        </w:tc>
        <w:tc>
          <w:tcPr/>
          <w:p>
            <w:pPr>
              <w:pStyle w:val="Compact"/>
            </w:pPr>
            <w:r>
              <w:t xml:space="preserve">Milieu corrosif + inhibiteur imidazoline à 0,5 % v/v</w:t>
            </w:r>
          </w:p>
        </w:tc>
        <w:tc>
          <w:tcPr/>
          <w:p>
            <w:pPr>
              <w:pStyle w:val="Compact"/>
            </w:pPr>
            <w:r>
              <w:t xml:space="preserve">Validation</w:t>
            </w:r>
          </w:p>
        </w:tc>
      </w:tr>
    </w:tbl>
    <w:bookmarkEnd w:id="92"/>
    <w:bookmarkStart w:id="93" w:name="ii.6.3.-procédure-standard-par-run"/>
    <w:p>
      <w:pPr>
        <w:pStyle w:val="Heading3"/>
      </w:pPr>
      <w:r>
        <w:t xml:space="preserve">II.6.3. Procédure standard par run</w:t>
      </w:r>
    </w:p>
    <w:p>
      <w:pPr>
        <w:pStyle w:val="FirstParagraph"/>
      </w:pPr>
      <w:r>
        <w:t xml:space="preserve">Pour chaque run, la procédure suivante est appliquée :</w:t>
      </w:r>
    </w:p>
    <w:p>
      <w:pPr>
        <w:pStyle w:val="Compact"/>
        <w:numPr>
          <w:ilvl w:val="0"/>
          <w:numId w:val="1029"/>
        </w:numPr>
      </w:pPr>
      <w:r>
        <w:rPr>
          <w:b/>
          <w:bCs/>
        </w:rPr>
        <w:t xml:space="preserve">Préparation de la cellule</w:t>
      </w:r>
      <w:r>
        <w:t xml:space="preserve"> </w:t>
      </w:r>
      <w:r>
        <w:t xml:space="preserve">: nettoyage du récipient HDPE, découpe d’un fil de fer neuf (longueur 1,1 m, diamètre 0,3 mm), nettoyage à l’acétone, séchage, mesure de</w:t>
      </w:r>
      <w:r>
        <w:t xml:space="preserve"> </w:t>
      </w:r>
      <w:r>
        <w:rPr>
          <w:i/>
          <w:iCs/>
        </w:rPr>
        <w:t xml:space="preserve">R</w:t>
      </w:r>
      <w:r>
        <w:t xml:space="preserve">₀ au multimètre de précision, vérification du pH par pH-mètre papier ;</w:t>
      </w:r>
    </w:p>
    <w:p>
      <w:pPr>
        <w:pStyle w:val="Compact"/>
        <w:numPr>
          <w:ilvl w:val="0"/>
          <w:numId w:val="1029"/>
        </w:numPr>
      </w:pPr>
      <w:r>
        <w:rPr>
          <w:b/>
          <w:bCs/>
        </w:rPr>
        <w:t xml:space="preserve">Câblage de la sonde</w:t>
      </w:r>
      <w:r>
        <w:t xml:space="preserve"> </w:t>
      </w:r>
      <w:r>
        <w:t xml:space="preserve">: montage du fil dans le pont, connexion HX711 → ESP32, vérification de la bonne réception des premiers points dans la table Supabase</w:t>
      </w:r>
      <w:r>
        <w:t xml:space="preserve"> </w:t>
      </w:r>
      <w:r>
        <w:rPr>
          <w:rStyle w:val="VerbatimChar"/>
        </w:rPr>
        <w:t xml:space="preserve">measurements</w:t>
      </w:r>
      <w:r>
        <w:t xml:space="preserve"> </w:t>
      </w:r>
      <w:r>
        <w:t xml:space="preserve">via l’application Streamlit ;</w:t>
      </w:r>
    </w:p>
    <w:p>
      <w:pPr>
        <w:pStyle w:val="Compact"/>
        <w:numPr>
          <w:ilvl w:val="0"/>
          <w:numId w:val="1029"/>
        </w:numPr>
      </w:pPr>
      <w:r>
        <w:rPr>
          <w:b/>
          <w:bCs/>
        </w:rPr>
        <w:t xml:space="preserve">Démarrage de l’acquisition</w:t>
      </w:r>
      <w:r>
        <w:t xml:space="preserve"> </w:t>
      </w:r>
      <w:r>
        <w:t xml:space="preserve">: immersion du fil dans le Detar Plus, déclenchement du run dans Supabase (</w:t>
      </w:r>
      <w:r>
        <w:rPr>
          <w:rStyle w:val="VerbatimChar"/>
        </w:rPr>
        <w:t xml:space="preserve">runs.started_at</w:t>
      </w:r>
      <w:r>
        <w:t xml:space="preserve">) et début de l’envoi périodique des mesures par l’ESP32 ;</w:t>
      </w:r>
    </w:p>
    <w:p>
      <w:pPr>
        <w:pStyle w:val="Compact"/>
        <w:numPr>
          <w:ilvl w:val="0"/>
          <w:numId w:val="1029"/>
        </w:numPr>
      </w:pPr>
      <w:r>
        <w:rPr>
          <w:b/>
          <w:bCs/>
        </w:rPr>
        <w:t xml:space="preserve">Surveillance périodique</w:t>
      </w:r>
      <w:r>
        <w:t xml:space="preserve"> </w:t>
      </w:r>
      <w:r>
        <w:t xml:space="preserve">toutes les 2 à 4 heures : vérification que l’acquisition se poursuit (LED ESP32, points apparaissant en continu dans le dashboard Streamlit) ;</w:t>
      </w:r>
    </w:p>
    <w:p>
      <w:pPr>
        <w:pStyle w:val="Compact"/>
        <w:numPr>
          <w:ilvl w:val="0"/>
          <w:numId w:val="1029"/>
        </w:numPr>
      </w:pPr>
      <w:r>
        <w:rPr>
          <w:b/>
          <w:bCs/>
        </w:rPr>
        <w:t xml:space="preserve">Détection de la fin de run</w:t>
      </w:r>
      <w:r>
        <w:t xml:space="preserve"> </w:t>
      </w:r>
      <w:r>
        <w:t xml:space="preserve">: la rupture du fil est identifiée par divergence de</w:t>
      </w:r>
      <w:r>
        <w:t xml:space="preserve"> </w:t>
      </w:r>
      <w:r>
        <w:rPr>
          <w:i/>
          <w:iCs/>
        </w:rPr>
        <w:t xml:space="preserve">R</w:t>
      </w:r>
      <w:r>
        <w:t xml:space="preserve">ₓ vers +∞. Clôture du run dans Supabase (</w:t>
      </w:r>
      <w:r>
        <w:rPr>
          <w:rStyle w:val="VerbatimChar"/>
        </w:rPr>
        <w:t xml:space="preserve">runs.ended_at</w:t>
      </w:r>
      <w:r>
        <w:t xml:space="preserve">) et export ponctuel des mesures pour analyse hors-ligne ;</w:t>
      </w:r>
    </w:p>
    <w:p>
      <w:pPr>
        <w:pStyle w:val="Compact"/>
        <w:numPr>
          <w:ilvl w:val="0"/>
          <w:numId w:val="1029"/>
        </w:numPr>
      </w:pPr>
      <w:r>
        <w:rPr>
          <w:b/>
          <w:bCs/>
        </w:rPr>
        <w:t xml:space="preserve">Post-run</w:t>
      </w:r>
      <w:r>
        <w:t xml:space="preserve"> </w:t>
      </w:r>
      <w:r>
        <w:t xml:space="preserve">: photographie de la cellule et du fil corrodé, nettoyage et préparation du run suivant.</w:t>
      </w:r>
    </w:p>
    <w:bookmarkEnd w:id="93"/>
    <w:bookmarkStart w:id="94" w:name="X309710c3ccd4f2036252b00d8ea2cb5ed344262"/>
    <w:p>
      <w:pPr>
        <w:pStyle w:val="Heading3"/>
      </w:pPr>
      <w:r>
        <w:t xml:space="preserve">II.6.4. Seuils d’alerte et recommandations d’inhibiteur</w:t>
      </w:r>
    </w:p>
    <w:p>
      <w:pPr>
        <w:pStyle w:val="FirstParagraph"/>
      </w:pPr>
      <w:r>
        <w:rPr>
          <w:b/>
          <w:bCs/>
        </w:rPr>
        <w:t xml:space="preserve">Tableau II.9 — Seuils d’alerte et recommandations de dosage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Condition</w:t>
            </w:r>
          </w:p>
        </w:tc>
        <w:tc>
          <w:tcPr/>
          <w:p>
            <w:pPr>
              <w:pStyle w:val="Compact"/>
            </w:pPr>
            <w:r>
              <w:t xml:space="preserve">Recommandation</w:t>
            </w:r>
          </w:p>
        </w:tc>
      </w:tr>
      <w:tr>
        <w:tc>
          <w:tcPr/>
          <w:p>
            <w:pPr>
              <w:pStyle w:val="Compact"/>
            </w:pPr>
            <w:r>
              <w:t xml:space="preserve">Vert (nominal)</w:t>
            </w:r>
          </w:p>
        </w:tc>
        <w:tc>
          <w:tcPr/>
          <w:p>
            <w:pPr>
              <w:pStyle w:val="Compact"/>
            </w:pPr>
            <w:r>
              <w:rPr>
                <w:i/>
                <w:iCs/>
              </w:rPr>
              <w:t xml:space="preserve">CR</w:t>
            </w:r>
            <w:r>
              <w:t xml:space="preserve"> </w:t>
            </w:r>
            <w:r>
              <w:t xml:space="preserve">&lt; 1 mm/an ET</w:t>
            </w:r>
            <w:r>
              <w:t xml:space="preserve"> </w:t>
            </w:r>
            <w:r>
              <w:rPr>
                <w:i/>
                <w:iCs/>
              </w:rPr>
              <w:t xml:space="preserve">RUL</w:t>
            </w:r>
            <w:r>
              <w:t xml:space="preserve"> </w:t>
            </w:r>
            <w:r>
              <w:t xml:space="preserve">&gt; 48 h</w:t>
            </w:r>
          </w:p>
        </w:tc>
        <w:tc>
          <w:tcPr/>
          <w:p>
            <w:pPr>
              <w:pStyle w:val="Compact"/>
            </w:pPr>
            <w:r>
              <w:t xml:space="preserve">Surveillance normale</w:t>
            </w:r>
          </w:p>
        </w:tc>
      </w:tr>
      <w:tr>
        <w:tc>
          <w:tcPr/>
          <w:p>
            <w:pPr>
              <w:pStyle w:val="Compact"/>
            </w:pPr>
            <w:r>
              <w:t xml:space="preserve">Orange (vigilance)</w:t>
            </w:r>
          </w:p>
        </w:tc>
        <w:tc>
          <w:tcPr/>
          <w:p>
            <w:pPr>
              <w:pStyle w:val="Compact"/>
            </w:pPr>
            <w:r>
              <w:t xml:space="preserve">1 ≤</w:t>
            </w:r>
            <w:r>
              <w:t xml:space="preserve"> </w:t>
            </w:r>
            <w:r>
              <w:rPr>
                <w:i/>
                <w:iCs/>
              </w:rPr>
              <w:t xml:space="preserve">CR</w:t>
            </w:r>
            <w:r>
              <w:t xml:space="preserve"> </w:t>
            </w:r>
            <w:r>
              <w:t xml:space="preserve">&lt; 5 mm/an OU 12 ≤</w:t>
            </w:r>
            <w:r>
              <w:t xml:space="preserve"> </w:t>
            </w:r>
            <w:r>
              <w:rPr>
                <w:i/>
                <w:iCs/>
              </w:rPr>
              <w:t xml:space="preserve">RUL</w:t>
            </w:r>
            <w:r>
              <w:t xml:space="preserve"> </w:t>
            </w:r>
            <w:r>
              <w:t xml:space="preserve">&lt; 48 h</w:t>
            </w:r>
          </w:p>
        </w:tc>
        <w:tc>
          <w:tcPr/>
          <w:p>
            <w:pPr>
              <w:pStyle w:val="Compact"/>
            </w:pPr>
            <w:r>
              <w:t xml:space="preserve">Injection inhibiteur imidazoline à 0,1 % v/v</w:t>
            </w:r>
          </w:p>
        </w:tc>
      </w:tr>
      <w:tr>
        <w:tc>
          <w:tcPr/>
          <w:p>
            <w:pPr>
              <w:pStyle w:val="Compact"/>
            </w:pPr>
            <w:r>
              <w:t xml:space="preserve">Rouge (critique)</w:t>
            </w:r>
          </w:p>
        </w:tc>
        <w:tc>
          <w:tcPr/>
          <w:p>
            <w:pPr>
              <w:pStyle w:val="Compact"/>
            </w:pPr>
            <w:r>
              <w:rPr>
                <w:i/>
                <w:iCs/>
              </w:rPr>
              <w:t xml:space="preserve">CR</w:t>
            </w:r>
            <w:r>
              <w:t xml:space="preserve"> </w:t>
            </w:r>
            <w:r>
              <w:t xml:space="preserve">≥ 5 mm/an OU</w:t>
            </w:r>
            <w:r>
              <w:t xml:space="preserve"> </w:t>
            </w:r>
            <w:r>
              <w:rPr>
                <w:i/>
                <w:iCs/>
              </w:rPr>
              <w:t xml:space="preserve">RUL</w:t>
            </w:r>
            <w:r>
              <w:t xml:space="preserve"> </w:t>
            </w:r>
            <w:r>
              <w:t xml:space="preserve">&lt; 12 h</w:t>
            </w:r>
          </w:p>
        </w:tc>
        <w:tc>
          <w:tcPr/>
          <w:p>
            <w:pPr>
              <w:pStyle w:val="Compact"/>
            </w:pPr>
            <w:r>
              <w:t xml:space="preserve">Injection inhibiteur imidazoline à 0,5–1,0 % v/v + inspection immédiate</w:t>
            </w:r>
          </w:p>
        </w:tc>
      </w:tr>
    </w:tbl>
    <w:p>
      <w:r>
        <w:pict>
          <v:rect style="width:0;height:1.5pt" o:hralign="center" o:hrstd="t" o:hr="t"/>
        </w:pict>
      </w:r>
    </w:p>
    <w:bookmarkEnd w:id="94"/>
    <w:bookmarkEnd w:id="95"/>
    <w:bookmarkStart w:id="105" w:name="X358e7e995ad73683a6412031f4f03c34e5efee7"/>
    <w:p>
      <w:pPr>
        <w:pStyle w:val="Heading2"/>
      </w:pPr>
      <w:r>
        <w:t xml:space="preserve">II.7. Architecture d’intégration au CMMS open-source par API REST (OS4)</w:t>
      </w:r>
    </w:p>
    <w:bookmarkStart w:id="96" w:name="Xe49dc64037f9edcd58a9084f4edb98caa6e231e"/>
    <w:p>
      <w:pPr>
        <w:pStyle w:val="Heading3"/>
      </w:pPr>
      <w:r>
        <w:t xml:space="preserve">II.7.1. Choix d’architecture : intégration plutôt que développement</w:t>
      </w:r>
      <w:r>
        <w:t xml:space="preserve"> </w:t>
      </w:r>
      <w:r>
        <w:rPr>
          <w:i/>
          <w:iCs/>
        </w:rPr>
        <w:t xml:space="preserve">ex nihilo</w:t>
      </w:r>
    </w:p>
    <w:p>
      <w:pPr>
        <w:pStyle w:val="FirstParagraph"/>
      </w:pPr>
      <w:r>
        <w:t xml:space="preserve">L’objectif d’OS4 est de structurer la</w:t>
      </w:r>
      <w:r>
        <w:t xml:space="preserve"> </w:t>
      </w:r>
      <w:r>
        <w:rPr>
          <w:b/>
          <w:bCs/>
        </w:rPr>
        <w:t xml:space="preserve">boucle décision → action</w:t>
      </w:r>
      <w:r>
        <w:t xml:space="preserve"> </w:t>
      </w:r>
      <w:r>
        <w:t xml:space="preserve">en aval du système prédictif. Deux approches étaient envisageables :</w:t>
      </w:r>
    </w:p>
    <w:p>
      <w:pPr>
        <w:pStyle w:val="Compact"/>
        <w:numPr>
          <w:ilvl w:val="0"/>
          <w:numId w:val="1030"/>
        </w:numPr>
      </w:pPr>
      <w:r>
        <w:rPr>
          <w:b/>
          <w:bCs/>
        </w:rPr>
        <w:t xml:space="preserve">(A) Développer une GMAO complète</w:t>
      </w:r>
      <w:r>
        <w:rPr>
          <w:b/>
          <w:bCs/>
        </w:rPr>
        <w:t xml:space="preserve"> </w:t>
      </w:r>
      <w:r>
        <w:rPr>
          <w:b/>
          <w:bCs/>
          <w:i/>
          <w:iCs/>
        </w:rPr>
        <w:t xml:space="preserve">ex nihilo</w:t>
      </w:r>
      <w:r>
        <w:t xml:space="preserve"> </w:t>
      </w:r>
      <w:r>
        <w:t xml:space="preserve">(stack Supabase + Next.js + Vercel) couvrant gestion d’actifs, ordres de travail, KPIs maintenance ;</w:t>
      </w:r>
    </w:p>
    <w:p>
      <w:pPr>
        <w:pStyle w:val="Compact"/>
        <w:numPr>
          <w:ilvl w:val="0"/>
          <w:numId w:val="1030"/>
        </w:numPr>
      </w:pPr>
      <w:r>
        <w:rPr>
          <w:b/>
          <w:bCs/>
        </w:rPr>
        <w:t xml:space="preserve">(B) Réutiliser un CMMS open-source mature</w:t>
      </w:r>
      <w:r>
        <w:t xml:space="preserve"> </w:t>
      </w:r>
      <w:r>
        <w:t xml:space="preserve">et y connecter, par API REST, l’application web Streamlit servant de frontend ML et de dashboard temps réel.</w:t>
      </w:r>
    </w:p>
    <w:p>
      <w:pPr>
        <w:pStyle w:val="FirstParagraph"/>
      </w:pPr>
      <w:r>
        <w:t xml:space="preserve">L’approche</w:t>
      </w:r>
      <w:r>
        <w:t xml:space="preserve"> </w:t>
      </w:r>
      <w:r>
        <w:rPr>
          <w:b/>
          <w:bCs/>
        </w:rPr>
        <w:t xml:space="preserve">(B) a été retenue</w:t>
      </w:r>
      <w:r>
        <w:t xml:space="preserve"> </w:t>
      </w:r>
      <w:r>
        <w:t xml:space="preserve">pour les raisons suivantes :</w:t>
      </w:r>
    </w:p>
    <w:p>
      <w:pPr>
        <w:pStyle w:val="Compact"/>
        <w:numPr>
          <w:ilvl w:val="0"/>
          <w:numId w:val="1031"/>
        </w:numPr>
      </w:pPr>
      <w:r>
        <w:rPr>
          <w:b/>
          <w:bCs/>
        </w:rPr>
        <w:t xml:space="preserve">Maturité fonctionnelle</w:t>
      </w:r>
      <w:r>
        <w:t xml:space="preserve"> </w:t>
      </w:r>
      <w:r>
        <w:t xml:space="preserve">: un CMMS open-source mature (GLPI compte plus de 20 ans de développement, plus de 200 contributeurs, des modules Tickets / Problems / Changes natifs) couvre dès l’installation un périmètre fonctionnel qui demanderait plusieurs mois de développement</w:t>
      </w:r>
      <w:r>
        <w:t xml:space="preserve"> </w:t>
      </w:r>
      <w:r>
        <w:rPr>
          <w:i/>
          <w:iCs/>
        </w:rPr>
        <w:t xml:space="preserve">ex nihilo</w:t>
      </w:r>
      <w:r>
        <w:t xml:space="preserve"> </w:t>
      </w:r>
      <w:r>
        <w:t xml:space="preserve">;</w:t>
      </w:r>
    </w:p>
    <w:p>
      <w:pPr>
        <w:pStyle w:val="Compact"/>
        <w:numPr>
          <w:ilvl w:val="0"/>
          <w:numId w:val="1031"/>
        </w:numPr>
      </w:pPr>
      <w:r>
        <w:rPr>
          <w:b/>
          <w:bCs/>
        </w:rPr>
        <w:t xml:space="preserve">Pragmatisme industriel</w:t>
      </w:r>
      <w:r>
        <w:t xml:space="preserve"> </w:t>
      </w:r>
      <w:r>
        <w:t xml:space="preserve">: démontrer une approche d’intégration est plus pertinent pour un mémoire de Master en Maintenance Industrielle qu’un développement</w:t>
      </w:r>
      <w:r>
        <w:t xml:space="preserve"> </w:t>
      </w:r>
      <w:r>
        <w:rPr>
          <w:i/>
          <w:iCs/>
        </w:rPr>
        <w:t xml:space="preserve">not-invented-here</w:t>
      </w:r>
      <w:r>
        <w:t xml:space="preserve"> </w:t>
      </w:r>
      <w:r>
        <w:t xml:space="preserve">— c’est précisément ce que ferait un ingénieur en entreprise face à une contrainte budgétaire ;</w:t>
      </w:r>
    </w:p>
    <w:p>
      <w:pPr>
        <w:pStyle w:val="Compact"/>
        <w:numPr>
          <w:ilvl w:val="0"/>
          <w:numId w:val="1031"/>
        </w:numPr>
      </w:pPr>
      <w:r>
        <w:rPr>
          <w:b/>
          <w:bCs/>
        </w:rPr>
        <w:t xml:space="preserve">Transposabilité</w:t>
      </w:r>
      <w:r>
        <w:t xml:space="preserve"> </w:t>
      </w:r>
      <w:r>
        <w:t xml:space="preserve">: l’architecture d’intégration (Streamlit ↔ REST API ↔ CMMS) est reproductible quel que soit le CMMS retenu par l’opérateur (GLPI chez l’un, OpenMaint chez l’autre, Snipe-IT chez un troisième) ;</w:t>
      </w:r>
    </w:p>
    <w:p>
      <w:pPr>
        <w:pStyle w:val="Compact"/>
        <w:numPr>
          <w:ilvl w:val="0"/>
          <w:numId w:val="1031"/>
        </w:numPr>
      </w:pPr>
      <w:r>
        <w:rPr>
          <w:b/>
          <w:bCs/>
        </w:rPr>
        <w:t xml:space="preserve">Compatibilité COTCO</w:t>
      </w:r>
      <w:r>
        <w:t xml:space="preserve"> </w:t>
      </w:r>
      <w:r>
        <w:t xml:space="preserve">: un CMMS auto-hébergeable (on-premise) est compatible avec les contraintes de sécurité industrielle (réseau OT isolé, pas de cloud public) — ce qui n’est pas le cas de Supabase + Vercel.</w:t>
      </w:r>
    </w:p>
    <w:bookmarkEnd w:id="96"/>
    <w:bookmarkStart w:id="97" w:name="X873e9712944516e59d3f156fb9139b734617e3b"/>
    <w:p>
      <w:pPr>
        <w:pStyle w:val="Heading3"/>
      </w:pPr>
      <w:r>
        <w:t xml:space="preserve">II.7.2. Matrice comparative des CMMS open-source candidats</w:t>
      </w:r>
    </w:p>
    <w:p>
      <w:pPr>
        <w:pStyle w:val="FirstParagraph"/>
      </w:pPr>
      <w:r>
        <w:rPr>
          <w:b/>
          <w:bCs/>
        </w:rPr>
        <w:t xml:space="preserve">Tableau II.11 — Comparaison des CMMS open-source candidats (OS4)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CMMS</w:t>
            </w:r>
          </w:p>
        </w:tc>
        <w:tc>
          <w:tcPr/>
          <w:p>
            <w:pPr>
              <w:pStyle w:val="Compact"/>
            </w:pPr>
            <w:r>
              <w:t xml:space="preserve">Maturité</w:t>
            </w:r>
          </w:p>
        </w:tc>
        <w:tc>
          <w:tcPr/>
          <w:p>
            <w:pPr>
              <w:pStyle w:val="Compact"/>
            </w:pPr>
            <w:r>
              <w:t xml:space="preserve">API REST</w:t>
            </w:r>
          </w:p>
        </w:tc>
        <w:tc>
          <w:tcPr/>
          <w:p>
            <w:pPr>
              <w:pStyle w:val="Compact"/>
            </w:pPr>
            <w:r>
              <w:t xml:space="preserve">Modules ticketing</w:t>
            </w:r>
          </w:p>
        </w:tc>
        <w:tc>
          <w:tcPr/>
          <w:p>
            <w:pPr>
              <w:pStyle w:val="Compact"/>
            </w:pPr>
            <w:r>
              <w:t xml:space="preserve">Auto-hébergeable</w:t>
            </w:r>
          </w:p>
        </w:tc>
        <w:tc>
          <w:tcPr/>
          <w:p>
            <w:pPr>
              <w:pStyle w:val="Compact"/>
            </w:pPr>
            <w:r>
              <w:t xml:space="preserve">Communauté</w:t>
            </w:r>
          </w:p>
        </w:tc>
        <w:tc>
          <w:tcPr/>
          <w:p>
            <w:pPr>
              <w:pStyle w:val="Compact"/>
            </w:pPr>
            <w:r>
              <w:t xml:space="preserve">Verdict</w:t>
            </w:r>
          </w:p>
        </w:tc>
      </w:tr>
      <w:tr>
        <w:tc>
          <w:tcPr/>
          <w:p>
            <w:pPr>
              <w:pStyle w:val="Compact"/>
            </w:pPr>
            <w:r>
              <w:rPr>
                <w:b/>
                <w:bCs/>
              </w:rPr>
              <w:t xml:space="preserve">GLPI</w:t>
            </w:r>
          </w:p>
        </w:tc>
        <w:tc>
          <w:tcPr/>
          <w:p>
            <w:pPr>
              <w:pStyle w:val="Compact"/>
            </w:pPr>
            <w:r>
              <w:t xml:space="preserve">20 ans, v10 stable</w:t>
            </w:r>
          </w:p>
        </w:tc>
        <w:tc>
          <w:tcPr/>
          <w:p>
            <w:pPr>
              <w:pStyle w:val="Compact"/>
            </w:pPr>
            <w:r>
              <w:t xml:space="preserve">✅ native, OAuth2</w:t>
            </w:r>
          </w:p>
        </w:tc>
        <w:tc>
          <w:tcPr/>
          <w:p>
            <w:pPr>
              <w:pStyle w:val="Compact"/>
            </w:pPr>
            <w:r>
              <w:t xml:space="preserve">Tickets / Problems / Changes (ITIL)</w:t>
            </w:r>
          </w:p>
        </w:tc>
        <w:tc>
          <w:tcPr/>
          <w:p>
            <w:pPr>
              <w:pStyle w:val="Compact"/>
            </w:pPr>
            <w:r>
              <w:t xml:space="preserve">✅ Linux/Docker</w:t>
            </w:r>
          </w:p>
        </w:tc>
        <w:tc>
          <w:tcPr/>
          <w:p>
            <w:pPr>
              <w:pStyle w:val="Compact"/>
            </w:pPr>
            <w:r>
              <w:t xml:space="preserve">Très large (FR + INT)</w:t>
            </w:r>
          </w:p>
        </w:tc>
        <w:tc>
          <w:tcPr/>
          <w:p>
            <w:pPr>
              <w:pStyle w:val="Compact"/>
            </w:pPr>
            <w:r>
              <w:rPr>
                <w:b/>
                <w:bCs/>
              </w:rPr>
              <w:t xml:space="preserve">Retenu (priorité)</w:t>
            </w:r>
          </w:p>
        </w:tc>
      </w:tr>
      <w:tr>
        <w:tc>
          <w:tcPr/>
          <w:p>
            <w:pPr>
              <w:pStyle w:val="Compact"/>
            </w:pPr>
            <w:r>
              <w:t xml:space="preserve">OpenMaint (CMDBuild)</w:t>
            </w:r>
          </w:p>
        </w:tc>
        <w:tc>
          <w:tcPr/>
          <w:p>
            <w:pPr>
              <w:pStyle w:val="Compact"/>
            </w:pPr>
            <w:r>
              <w:t xml:space="preserve">12 ans</w:t>
            </w:r>
          </w:p>
        </w:tc>
        <w:tc>
          <w:tcPr/>
          <w:p>
            <w:pPr>
              <w:pStyle w:val="Compact"/>
            </w:pPr>
            <w:r>
              <w:t xml:space="preserve">✅ REST + SOAP</w:t>
            </w:r>
          </w:p>
        </w:tc>
        <w:tc>
          <w:tcPr/>
          <w:p>
            <w:pPr>
              <w:pStyle w:val="Compact"/>
            </w:pPr>
            <w:r>
              <w:t xml:space="preserve">Work orders + Assets</w:t>
            </w:r>
          </w:p>
        </w:tc>
        <w:tc>
          <w:tcPr/>
          <w:p>
            <w:pPr>
              <w:pStyle w:val="Compact"/>
            </w:pPr>
            <w:r>
              <w:t xml:space="preserve">✅ Tomcat</w:t>
            </w:r>
          </w:p>
        </w:tc>
        <w:tc>
          <w:tcPr/>
          <w:p>
            <w:pPr>
              <w:pStyle w:val="Compact"/>
            </w:pPr>
            <w:r>
              <w:t xml:space="preserve">Moyenne (IT)</w:t>
            </w:r>
          </w:p>
        </w:tc>
        <w:tc>
          <w:tcPr/>
          <w:p>
            <w:pPr>
              <w:pStyle w:val="Compact"/>
            </w:pPr>
            <w:r>
              <w:t xml:space="preserve">Alternative crédible</w:t>
            </w:r>
          </w:p>
        </w:tc>
      </w:tr>
      <w:tr>
        <w:tc>
          <w:tcPr/>
          <w:p>
            <w:pPr>
              <w:pStyle w:val="Compact"/>
            </w:pPr>
            <w:r>
              <w:t xml:space="preserve">Snipe-IT</w:t>
            </w:r>
          </w:p>
        </w:tc>
        <w:tc>
          <w:tcPr/>
          <w:p>
            <w:pPr>
              <w:pStyle w:val="Compact"/>
            </w:pPr>
            <w:r>
              <w:t xml:space="preserve">10 ans</w:t>
            </w:r>
          </w:p>
        </w:tc>
        <w:tc>
          <w:tcPr/>
          <w:p>
            <w:pPr>
              <w:pStyle w:val="Compact"/>
            </w:pPr>
            <w:r>
              <w:t xml:space="preserve">✅ REST documenté</w:t>
            </w:r>
          </w:p>
        </w:tc>
        <w:tc>
          <w:tcPr/>
          <w:p>
            <w:pPr>
              <w:pStyle w:val="Compact"/>
            </w:pPr>
            <w:r>
              <w:t xml:space="preserve">Asset-centric (limité OT)</w:t>
            </w:r>
          </w:p>
        </w:tc>
        <w:tc>
          <w:tcPr/>
          <w:p>
            <w:pPr>
              <w:pStyle w:val="Compact"/>
            </w:pPr>
            <w:r>
              <w:t xml:space="preserve">✅ PHP/Laravel</w:t>
            </w:r>
          </w:p>
        </w:tc>
        <w:tc>
          <w:tcPr/>
          <w:p>
            <w:pPr>
              <w:pStyle w:val="Compact"/>
            </w:pPr>
            <w:r>
              <w:t xml:space="preserve">Large</w:t>
            </w:r>
          </w:p>
        </w:tc>
        <w:tc>
          <w:tcPr/>
          <w:p>
            <w:pPr>
              <w:pStyle w:val="Compact"/>
            </w:pPr>
            <w:r>
              <w:t xml:space="preserve">Trop asset-centric</w:t>
            </w:r>
          </w:p>
        </w:tc>
      </w:tr>
      <w:tr>
        <w:tc>
          <w:tcPr/>
          <w:p>
            <w:pPr>
              <w:pStyle w:val="Compact"/>
            </w:pPr>
            <w:r>
              <w:t xml:space="preserve">Fiix Free</w:t>
            </w:r>
          </w:p>
        </w:tc>
        <w:tc>
          <w:tcPr/>
          <w:p>
            <w:pPr>
              <w:pStyle w:val="Compact"/>
            </w:pPr>
            <w:r>
              <w:t xml:space="preserve">15 ans</w:t>
            </w:r>
          </w:p>
        </w:tc>
        <w:tc>
          <w:tcPr/>
          <w:p>
            <w:pPr>
              <w:pStyle w:val="Compact"/>
            </w:pPr>
            <w:r>
              <w:t xml:space="preserve">API limitée free tier</w:t>
            </w:r>
          </w:p>
        </w:tc>
        <w:tc>
          <w:tcPr/>
          <w:p>
            <w:pPr>
              <w:pStyle w:val="Compact"/>
            </w:pPr>
            <w:r>
              <w:t xml:space="preserve">Complet (cloud)</w:t>
            </w:r>
          </w:p>
        </w:tc>
        <w:tc>
          <w:tcPr/>
          <w:p>
            <w:pPr>
              <w:pStyle w:val="Compact"/>
            </w:pPr>
            <w:r>
              <w:t xml:space="preserve">❌ SaaS uniquement</w:t>
            </w:r>
          </w:p>
        </w:tc>
        <w:tc>
          <w:tcPr/>
          <w:p>
            <w:pPr>
              <w:pStyle w:val="Compact"/>
            </w:pPr>
            <w:r>
              <w:t xml:space="preserve">Commercial</w:t>
            </w:r>
          </w:p>
        </w:tc>
        <w:tc>
          <w:tcPr/>
          <w:p>
            <w:pPr>
              <w:pStyle w:val="Compact"/>
            </w:pPr>
            <w:r>
              <w:t xml:space="preserve">Non-libre</w:t>
            </w:r>
          </w:p>
        </w:tc>
      </w:tr>
      <w:tr>
        <w:tc>
          <w:tcPr/>
          <w:p>
            <w:pPr>
              <w:pStyle w:val="Compact"/>
            </w:pPr>
            <w:r>
              <w:t xml:space="preserve">MaintainX Free</w:t>
            </w:r>
          </w:p>
        </w:tc>
        <w:tc>
          <w:tcPr/>
          <w:p>
            <w:pPr>
              <w:pStyle w:val="Compact"/>
            </w:pPr>
            <w:r>
              <w:t xml:space="preserve">6 ans</w:t>
            </w:r>
          </w:p>
        </w:tc>
        <w:tc>
          <w:tcPr/>
          <w:p>
            <w:pPr>
              <w:pStyle w:val="Compact"/>
            </w:pPr>
            <w:r>
              <w:t xml:space="preserve">API limitée free tier</w:t>
            </w:r>
          </w:p>
        </w:tc>
        <w:tc>
          <w:tcPr/>
          <w:p>
            <w:pPr>
              <w:pStyle w:val="Compact"/>
            </w:pPr>
            <w:r>
              <w:t xml:space="preserve">Mobile-first</w:t>
            </w:r>
          </w:p>
        </w:tc>
        <w:tc>
          <w:tcPr/>
          <w:p>
            <w:pPr>
              <w:pStyle w:val="Compact"/>
            </w:pPr>
            <w:r>
              <w:t xml:space="preserve">❌ SaaS uniquement</w:t>
            </w:r>
          </w:p>
        </w:tc>
        <w:tc>
          <w:tcPr/>
          <w:p>
            <w:pPr>
              <w:pStyle w:val="Compact"/>
            </w:pPr>
            <w:r>
              <w:t xml:space="preserve">Commercial</w:t>
            </w:r>
          </w:p>
        </w:tc>
        <w:tc>
          <w:tcPr/>
          <w:p>
            <w:pPr>
              <w:pStyle w:val="Compact"/>
            </w:pPr>
            <w:r>
              <w:t xml:space="preserve">Non-libre</w:t>
            </w:r>
          </w:p>
        </w:tc>
      </w:tr>
    </w:tbl>
    <w:p>
      <w:pPr>
        <w:pStyle w:val="BodyText"/>
      </w:pPr>
      <w:r>
        <w:t xml:space="preserve">Sources : GLPI Project (2024) ; CMMS Wikipedia (2024) ; documentations officielles consultées 2026.</w:t>
      </w:r>
    </w:p>
    <w:p>
      <w:pPr>
        <w:pStyle w:val="BodyText"/>
      </w:pPr>
      <w:r>
        <w:rPr>
          <w:b/>
          <w:bCs/>
        </w:rPr>
        <w:t xml:space="preserve">Choix retenu : GLPI</w:t>
      </w:r>
      <w:r>
        <w:t xml:space="preserve"> </w:t>
      </w:r>
      <w:r>
        <w:t xml:space="preserve">— meilleure couverture fonctionnelle, API REST native documentée, communauté francophone active, déployable on-premise.</w:t>
      </w:r>
    </w:p>
    <w:bookmarkEnd w:id="97"/>
    <w:bookmarkStart w:id="98" w:name="X0a8739849a0b901515e810b8ddb928a83aa71ab"/>
    <w:p>
      <w:pPr>
        <w:pStyle w:val="Heading3"/>
      </w:pPr>
      <w:r>
        <w:t xml:space="preserve">II.7.3. Stack technologique de la chaîne intégrée</w:t>
      </w:r>
    </w:p>
    <w:p>
      <w:pPr>
        <w:pStyle w:val="FirstParagraph"/>
      </w:pPr>
      <w:r>
        <w:rPr>
          <w:b/>
          <w:bCs/>
        </w:rPr>
        <w:t xml:space="preserve">Tableau II.12 — Stack technologique du prototype intégré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c>
          <w:tcPr/>
          <w:p>
            <w:pPr>
              <w:pStyle w:val="Compact"/>
            </w:pPr>
            <w:r>
              <w:t xml:space="preserve">Coût</w:t>
            </w:r>
          </w:p>
        </w:tc>
      </w:tr>
      <w:tr>
        <w:tc>
          <w:tcPr/>
          <w:p>
            <w:pPr>
              <w:pStyle w:val="Compact"/>
            </w:pPr>
            <w:r>
              <w:t xml:space="preserve">Capteur + acquisition</w:t>
            </w:r>
          </w:p>
        </w:tc>
        <w:tc>
          <w:tcPr/>
          <w:p>
            <w:pPr>
              <w:pStyle w:val="Compact"/>
            </w:pPr>
            <w:r>
              <w:t xml:space="preserve">ESP32 + HX711 + DS18B20</w:t>
            </w:r>
          </w:p>
        </w:tc>
        <w:tc>
          <w:tcPr/>
          <w:p>
            <w:pPr>
              <w:pStyle w:val="Compact"/>
            </w:pPr>
            <w:r>
              <w:t xml:space="preserve">Mesure ER + température</w:t>
            </w:r>
          </w:p>
        </w:tc>
        <w:tc>
          <w:tcPr/>
          <w:p>
            <w:pPr>
              <w:pStyle w:val="Compact"/>
            </w:pPr>
            <w:r>
              <w:t xml:space="preserve">Matériel ~50 000 FCFA</w:t>
            </w:r>
          </w:p>
        </w:tc>
      </w:tr>
      <w:tr>
        <w:tc>
          <w:tcPr/>
          <w:p>
            <w:pPr>
              <w:pStyle w:val="Compact"/>
            </w:pPr>
            <w:r>
              <w:t xml:space="preserve">Stockage mesures + prédictions</w:t>
            </w:r>
          </w:p>
        </w:tc>
        <w:tc>
          <w:tcPr/>
          <w:p>
            <w:pPr>
              <w:pStyle w:val="Compact"/>
            </w:pPr>
            <w:r>
              <w:t xml:space="preserve">SQLite (intégré Streamlit)</w:t>
            </w:r>
          </w:p>
        </w:tc>
        <w:tc>
          <w:tcPr/>
          <w:p>
            <w:pPr>
              <w:pStyle w:val="Compact"/>
            </w:pPr>
            <w:r>
              <w:t xml:space="preserve">Persistance time-series + sorties ML</w:t>
            </w:r>
          </w:p>
        </w:tc>
        <w:tc>
          <w:tcPr/>
          <w:p>
            <w:pPr>
              <w:pStyle w:val="Compact"/>
            </w:pPr>
            <w:r>
              <w:t xml:space="preserve">Gratuit</w:t>
            </w:r>
          </w:p>
        </w:tc>
      </w:tr>
      <w:tr>
        <w:tc>
          <w:tcPr/>
          <w:p>
            <w:pPr>
              <w:pStyle w:val="Compact"/>
            </w:pPr>
            <w:r>
              <w:t xml:space="preserve">Pipeline ML</w:t>
            </w:r>
          </w:p>
        </w:tc>
        <w:tc>
          <w:tcPr/>
          <w:p>
            <w:pPr>
              <w:pStyle w:val="Compact"/>
            </w:pPr>
            <w:r>
              <w:t xml:space="preserve">Python (Pandas, SciPy, XGBoost, SHAP)</w:t>
            </w:r>
          </w:p>
        </w:tc>
        <w:tc>
          <w:tcPr/>
          <w:p>
            <w:pPr>
              <w:pStyle w:val="Compact"/>
            </w:pPr>
            <w:r>
              <w:t xml:space="preserve">CR + RUL + diagnostic + interprétabilité</w:t>
            </w:r>
          </w:p>
        </w:tc>
        <w:tc>
          <w:tcPr/>
          <w:p>
            <w:pPr>
              <w:pStyle w:val="Compact"/>
            </w:pPr>
            <w:r>
              <w:t xml:space="preserve">Gratuit (open-source)</w:t>
            </w:r>
          </w:p>
        </w:tc>
      </w:tr>
      <w:tr>
        <w:tc>
          <w:tcPr/>
          <w:p>
            <w:pPr>
              <w:pStyle w:val="Compact"/>
            </w:pPr>
            <w:r>
              <w:t xml:space="preserve">Frontend ML / dashboard</w:t>
            </w:r>
          </w:p>
        </w:tc>
        <w:tc>
          <w:tcPr/>
          <w:p>
            <w:pPr>
              <w:pStyle w:val="Compact"/>
            </w:pPr>
            <w:r>
              <w:rPr>
                <w:b/>
                <w:bCs/>
              </w:rPr>
              <w:t xml:space="preserve">Streamlit</w:t>
            </w:r>
          </w:p>
        </w:tc>
        <w:tc>
          <w:tcPr/>
          <w:p>
            <w:pPr>
              <w:pStyle w:val="Compact"/>
            </w:pPr>
            <w:r>
              <w:t xml:space="preserve">UI temps réel, courbes, alertes</w:t>
            </w:r>
          </w:p>
        </w:tc>
        <w:tc>
          <w:tcPr/>
          <w:p>
            <w:pPr>
              <w:pStyle w:val="Compact"/>
            </w:pPr>
            <w:r>
              <w:t xml:space="preserve">Gratuit (open-source)</w:t>
            </w:r>
          </w:p>
        </w:tc>
      </w:tr>
      <w:tr>
        <w:tc>
          <w:tcPr/>
          <w:p>
            <w:pPr>
              <w:pStyle w:val="Compact"/>
            </w:pPr>
            <w:r>
              <w:t xml:space="preserve">Hébergement frontend</w:t>
            </w:r>
          </w:p>
        </w:tc>
        <w:tc>
          <w:tcPr/>
          <w:p>
            <w:pPr>
              <w:pStyle w:val="Compact"/>
            </w:pPr>
            <w:r>
              <w:rPr>
                <w:b/>
                <w:bCs/>
              </w:rPr>
              <w:t xml:space="preserve">Streamlit Community Cloud</w:t>
            </w:r>
          </w:p>
        </w:tc>
        <w:tc>
          <w:tcPr/>
          <w:p>
            <w:pPr>
              <w:pStyle w:val="Compact"/>
            </w:pPr>
            <w:r>
              <w:t xml:space="preserve">Déploiement public</w:t>
            </w:r>
          </w:p>
        </w:tc>
        <w:tc>
          <w:tcPr/>
          <w:p>
            <w:pPr>
              <w:pStyle w:val="Compact"/>
            </w:pPr>
            <w:r>
              <w:t xml:space="preserve">Gratuit</w:t>
            </w:r>
          </w:p>
        </w:tc>
      </w:tr>
      <w:tr>
        <w:tc>
          <w:tcPr/>
          <w:p>
            <w:pPr>
              <w:pStyle w:val="Compact"/>
            </w:pPr>
            <w:r>
              <w:rPr>
                <w:b/>
                <w:bCs/>
              </w:rPr>
              <w:t xml:space="preserve">CMMS open-source</w:t>
            </w:r>
          </w:p>
        </w:tc>
        <w:tc>
          <w:tcPr/>
          <w:p>
            <w:pPr>
              <w:pStyle w:val="Compact"/>
            </w:pPr>
            <w:r>
              <w:rPr>
                <w:b/>
                <w:bCs/>
              </w:rPr>
              <w:t xml:space="preserve">GLPI</w:t>
            </w:r>
            <w:r>
              <w:t xml:space="preserve"> </w:t>
            </w:r>
            <w:r>
              <w:t xml:space="preserve">(PHP/MariaDB)</w:t>
            </w:r>
          </w:p>
        </w:tc>
        <w:tc>
          <w:tcPr/>
          <w:p>
            <w:pPr>
              <w:pStyle w:val="Compact"/>
            </w:pPr>
            <w:r>
              <w:t xml:space="preserve">Tickets, OT, KPIs maintenance</w:t>
            </w:r>
          </w:p>
        </w:tc>
        <w:tc>
          <w:tcPr/>
          <w:p>
            <w:pPr>
              <w:pStyle w:val="Compact"/>
            </w:pPr>
            <w:r>
              <w:t xml:space="preserve">Gratuit (auto-hébergé)</w:t>
            </w:r>
          </w:p>
        </w:tc>
      </w:tr>
      <w:tr>
        <w:tc>
          <w:tcPr/>
          <w:p>
            <w:pPr>
              <w:pStyle w:val="Compact"/>
            </w:pPr>
            <w:r>
              <w:t xml:space="preserve">Couche d’intégration</w:t>
            </w:r>
          </w:p>
        </w:tc>
        <w:tc>
          <w:tcPr/>
          <w:p>
            <w:pPr>
              <w:pStyle w:val="Compact"/>
            </w:pPr>
            <w:r>
              <w:rPr>
                <w:b/>
                <w:bCs/>
              </w:rPr>
              <w:t xml:space="preserve">API REST GLPI</w:t>
            </w:r>
            <w:r>
              <w:t xml:space="preserve"> </w:t>
            </w:r>
            <w:r>
              <w:t xml:space="preserve">(HTTP/JSON)</w:t>
            </w:r>
          </w:p>
        </w:tc>
        <w:tc>
          <w:tcPr/>
          <w:p>
            <w:pPr>
              <w:pStyle w:val="Compact"/>
            </w:pPr>
            <w:r>
              <w:t xml:space="preserve">Création automatique de tickets</w:t>
            </w:r>
          </w:p>
        </w:tc>
        <w:tc>
          <w:tcPr/>
          <w:p>
            <w:pPr>
              <w:pStyle w:val="Compact"/>
            </w:pPr>
            <w:r>
              <w:t xml:space="preserve">Gratuit</w:t>
            </w:r>
          </w:p>
        </w:tc>
      </w:tr>
      <w:tr>
        <w:tc>
          <w:tcPr/>
          <w:p>
            <w:pPr>
              <w:pStyle w:val="Compact"/>
            </w:pPr>
            <w:r>
              <w:t xml:space="preserve">Communication ESP32 → Streamlit</w:t>
            </w:r>
          </w:p>
        </w:tc>
        <w:tc>
          <w:tcPr/>
          <w:p>
            <w:pPr>
              <w:pStyle w:val="Compact"/>
            </w:pPr>
            <w:r>
              <w:t xml:space="preserve">HTTPS POST</w:t>
            </w:r>
          </w:p>
        </w:tc>
        <w:tc>
          <w:tcPr/>
          <w:p>
            <w:pPr>
              <w:pStyle w:val="Compact"/>
            </w:pPr>
            <w:r>
              <w:t xml:space="preserve">Ingestion mesures</w:t>
            </w:r>
          </w:p>
        </w:tc>
        <w:tc>
          <w:tcPr/>
          <w:p>
            <w:pPr>
              <w:pStyle w:val="Compact"/>
            </w:pPr>
            <w:r>
              <w:t xml:space="preserve">Gratuit</w:t>
            </w:r>
          </w:p>
        </w:tc>
      </w:tr>
    </w:tbl>
    <w:p>
      <w:pPr>
        <w:pStyle w:val="BodyText"/>
      </w:pPr>
      <w:r>
        <w:t xml:space="preserve">Sources : Streamlit (2024) ; GLPI Project (2024) ; XGBoost Documentation (Chen et Guestrin, 2016).</w:t>
      </w:r>
    </w:p>
    <w:bookmarkEnd w:id="98"/>
    <w:bookmarkStart w:id="102" w:name="X3074847b1602fc8740aedbd5f3227b4dd48acd3"/>
    <w:p>
      <w:pPr>
        <w:pStyle w:val="Heading3"/>
      </w:pPr>
      <w:r>
        <w:t xml:space="preserve">II.7.4. Architecture de la boucle complète intégrée</w:t>
      </w:r>
    </w:p>
    <w:p>
      <w:pPr>
        <w:pStyle w:val="CaptionedFigure"/>
      </w:pPr>
      <w:r>
        <w:drawing>
          <wp:inline>
            <wp:extent cx="4267200" cy="5475347"/>
            <wp:effectExtent b="0" l="0" r="0" t="0"/>
            <wp:docPr descr="Figure II.1 — Architecture de la boucle intégrée Sonde ER → Supabase → Streamlit → CMMS open-source" title="" id="100" name="Picture"/>
            <a:graphic>
              <a:graphicData uri="http://schemas.openxmlformats.org/drawingml/2006/picture">
                <pic:pic>
                  <pic:nvPicPr>
                    <pic:cNvPr descr="figures/fig_ii1_architecture.png" id="101" name="Picture"/>
                    <pic:cNvPicPr>
                      <a:picLocks noChangeArrowheads="1" noChangeAspect="1"/>
                    </pic:cNvPicPr>
                  </pic:nvPicPr>
                  <pic:blipFill>
                    <a:blip r:embed="rId99"/>
                    <a:stretch>
                      <a:fillRect/>
                    </a:stretch>
                  </pic:blipFill>
                  <pic:spPr bwMode="auto">
                    <a:xfrm>
                      <a:off x="0" y="0"/>
                      <a:ext cx="4267200" cy="5475347"/>
                    </a:xfrm>
                    <a:prstGeom prst="rect">
                      <a:avLst/>
                    </a:prstGeom>
                    <a:noFill/>
                    <a:ln w="9525">
                      <a:noFill/>
                      <a:headEnd/>
                      <a:tailEnd/>
                    </a:ln>
                  </pic:spPr>
                </pic:pic>
              </a:graphicData>
            </a:graphic>
          </wp:inline>
        </w:drawing>
      </w:r>
    </w:p>
    <w:p>
      <w:pPr>
        <w:pStyle w:val="ImageCaption"/>
      </w:pPr>
      <w:r>
        <w:t xml:space="preserve">Figure II.1 — Architecture de la boucle intégrée Sonde ER → Supabase → Streamlit → CMMS open-source</w:t>
      </w:r>
    </w:p>
    <w:bookmarkEnd w:id="102"/>
    <w:bookmarkStart w:id="103" w:name="X7b4697db37a967a1cc93fab82402694227ed967"/>
    <w:p>
      <w:pPr>
        <w:pStyle w:val="Heading3"/>
      </w:pPr>
      <w:r>
        <w:t xml:space="preserve">II.7.5. Mapping prédiction ML → ticket CMMS</w:t>
      </w:r>
    </w:p>
    <w:p>
      <w:pPr>
        <w:pStyle w:val="FirstParagraph"/>
      </w:pPr>
      <w:r>
        <w:t xml:space="preserve">Le tableau ci-dessous décrit le mapping entre les sorties du pipeline ML et les champs d’un ticket GLPI créé automatiquement :</w:t>
      </w:r>
    </w:p>
    <w:p>
      <w:pPr>
        <w:pStyle w:val="BodyText"/>
      </w:pPr>
      <w:r>
        <w:rPr>
          <w:b/>
          <w:bCs/>
        </w:rPr>
        <w:t xml:space="preserve">Tableau II.13 — Mapping des champs prédiction ML → ticket GLPI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 ticket GLPI</w:t>
            </w:r>
          </w:p>
        </w:tc>
        <w:tc>
          <w:tcPr/>
          <w:p>
            <w:pPr>
              <w:pStyle w:val="Compact"/>
            </w:pPr>
            <w:r>
              <w:t xml:space="preserve">Source dans la prédiction ML</w:t>
            </w:r>
          </w:p>
        </w:tc>
        <w:tc>
          <w:tcPr/>
          <w:p>
            <w:pPr>
              <w:pStyle w:val="Compact"/>
            </w:pPr>
            <w:r>
              <w:t xml:space="preserve">Exemple</w:t>
            </w:r>
          </w:p>
        </w:tc>
      </w:tr>
      <w:tr>
        <w:tc>
          <w:tcPr/>
          <w:p>
            <w:pPr>
              <w:pStyle w:val="Compact"/>
            </w:pPr>
            <w:r>
              <w:rPr>
                <w:rStyle w:val="VerbatimChar"/>
              </w:rPr>
              <w:t xml:space="preserve">name</w:t>
            </w:r>
            <w:r>
              <w:t xml:space="preserve"> </w:t>
            </w:r>
            <w:r>
              <w:t xml:space="preserve">(titre)</w:t>
            </w:r>
          </w:p>
        </w:tc>
        <w:tc>
          <w:tcPr/>
          <w:p>
            <w:pPr>
              <w:pStyle w:val="Compact"/>
            </w:pPr>
            <w:r>
              <w:t xml:space="preserve">Concaténation</w:t>
            </w:r>
            <w:r>
              <w:t xml:space="preserve"> </w:t>
            </w:r>
            <w:r>
              <w:rPr>
                <w:rStyle w:val="VerbatimChar"/>
              </w:rPr>
              <w:t xml:space="preserve">asset.nom</w:t>
            </w:r>
            <w:r>
              <w:t xml:space="preserve"> </w:t>
            </w:r>
            <w:r>
              <w:t xml:space="preserve">+ diagnostic</w:t>
            </w:r>
          </w:p>
        </w:tc>
        <w:tc>
          <w:tcPr/>
          <w:p>
            <w:pPr>
              <w:pStyle w:val="Compact"/>
            </w:pPr>
            <w:r>
              <w:t xml:space="preserve">“Pipeline-Komé-Sect-12 — Corrosion accélérée détectée”</w:t>
            </w:r>
          </w:p>
        </w:tc>
      </w:tr>
      <w:tr>
        <w:tc>
          <w:tcPr/>
          <w:p>
            <w:pPr>
              <w:pStyle w:val="Compact"/>
            </w:pPr>
            <w:r>
              <w:rPr>
                <w:rStyle w:val="VerbatimChar"/>
              </w:rPr>
              <w:t xml:space="preserve">urgency</w:t>
            </w:r>
          </w:p>
        </w:tc>
        <w:tc>
          <w:tcPr/>
          <w:p>
            <w:pPr>
              <w:pStyle w:val="Compact"/>
            </w:pPr>
            <w:r>
              <w:t xml:space="preserve">Niveau d’alerte (vert=1, orange=3, rouge=5)</w:t>
            </w:r>
          </w:p>
        </w:tc>
        <w:tc>
          <w:tcPr/>
          <w:p>
            <w:pPr>
              <w:pStyle w:val="Compact"/>
            </w:pPr>
            <w:r>
              <w:t xml:space="preserve">5</w:t>
            </w:r>
          </w:p>
        </w:tc>
      </w:tr>
      <w:tr>
        <w:tc>
          <w:tcPr/>
          <w:p>
            <w:pPr>
              <w:pStyle w:val="Compact"/>
            </w:pPr>
            <w:r>
              <w:rPr>
                <w:rStyle w:val="VerbatimChar"/>
              </w:rPr>
              <w:t xml:space="preserve">impact</w:t>
            </w:r>
          </w:p>
        </w:tc>
        <w:tc>
          <w:tcPr/>
          <w:p>
            <w:pPr>
              <w:pStyle w:val="Compact"/>
            </w:pPr>
            <w:r>
              <w:t xml:space="preserve">Criticité de l’asset (configuration)</w:t>
            </w:r>
          </w:p>
        </w:tc>
        <w:tc>
          <w:tcPr/>
          <w:p>
            <w:pPr>
              <w:pStyle w:val="Compact"/>
            </w:pPr>
            <w:r>
              <w:t xml:space="preserve">5</w:t>
            </w:r>
          </w:p>
        </w:tc>
      </w:tr>
      <w:tr>
        <w:tc>
          <w:tcPr/>
          <w:p>
            <w:pPr>
              <w:pStyle w:val="Compact"/>
            </w:pPr>
            <w:r>
              <w:rPr>
                <w:rStyle w:val="VerbatimChar"/>
              </w:rPr>
              <w:t xml:space="preserve">priority</w:t>
            </w:r>
          </w:p>
        </w:tc>
        <w:tc>
          <w:tcPr/>
          <w:p>
            <w:pPr>
              <w:pStyle w:val="Compact"/>
            </w:pPr>
            <w:r>
              <w:t xml:space="preserve">Calcul GLPI = f(urgency, impact)</w:t>
            </w:r>
          </w:p>
        </w:tc>
        <w:tc>
          <w:tcPr/>
          <w:p>
            <w:pPr>
              <w:pStyle w:val="Compact"/>
            </w:pPr>
            <w:r>
              <w:t xml:space="preserve">“Très haute”</w:t>
            </w:r>
          </w:p>
        </w:tc>
      </w:tr>
      <w:tr>
        <w:tc>
          <w:tcPr/>
          <w:p>
            <w:pPr>
              <w:pStyle w:val="Compact"/>
            </w:pPr>
            <w:r>
              <w:rPr>
                <w:rStyle w:val="VerbatimChar"/>
              </w:rPr>
              <w:t xml:space="preserve">content</w:t>
            </w:r>
            <w:r>
              <w:t xml:space="preserve"> </w:t>
            </w:r>
            <w:r>
              <w:t xml:space="preserve">(description)</w:t>
            </w:r>
          </w:p>
        </w:tc>
        <w:tc>
          <w:tcPr/>
          <w:p>
            <w:pPr>
              <w:pStyle w:val="Compact"/>
            </w:pPr>
            <w:r>
              <w:t xml:space="preserve">Template enrichi : CR_pred, RUL_pred, top-3 SHAP, recommandation</w:t>
            </w:r>
          </w:p>
        </w:tc>
        <w:tc>
          <w:tcPr/>
          <w:p>
            <w:pPr>
              <w:pStyle w:val="Compact"/>
            </w:pPr>
            <w:r>
              <w:t xml:space="preserve">“CR=4,2 mm/an ; RUL=18 h ; top-3 SHAP : ΔR/Δt, T_avg, Rx_ema. Recommandation : injection inhibiteur 0,5 % v/v.”</w:t>
            </w:r>
          </w:p>
        </w:tc>
      </w:tr>
      <w:tr>
        <w:tc>
          <w:tcPr/>
          <w:p>
            <w:pPr>
              <w:pStyle w:val="Compact"/>
            </w:pPr>
            <w:r>
              <w:rPr>
                <w:rStyle w:val="VerbatimChar"/>
              </w:rPr>
              <w:t xml:space="preserve">entities_id</w:t>
            </w:r>
          </w:p>
        </w:tc>
        <w:tc>
          <w:tcPr/>
          <w:p>
            <w:pPr>
              <w:pStyle w:val="Compact"/>
            </w:pPr>
            <w:r>
              <w:t xml:space="preserve">Asset surveillé (entité GLPI)</w:t>
            </w:r>
          </w:p>
        </w:tc>
        <w:tc>
          <w:tcPr/>
          <w:p>
            <w:pPr>
              <w:pStyle w:val="Compact"/>
            </w:pPr>
            <w:r>
              <w:t xml:space="preserve">ID de la section pipeline</w:t>
            </w:r>
          </w:p>
        </w:tc>
      </w:tr>
      <w:tr>
        <w:tc>
          <w:tcPr/>
          <w:p>
            <w:pPr>
              <w:pStyle w:val="Compact"/>
            </w:pPr>
            <w:r>
              <w:rPr>
                <w:rStyle w:val="VerbatimChar"/>
              </w:rPr>
              <w:t xml:space="preserve">itilcategories_id</w:t>
            </w:r>
          </w:p>
        </w:tc>
        <w:tc>
          <w:tcPr/>
          <w:p>
            <w:pPr>
              <w:pStyle w:val="Compact"/>
            </w:pPr>
            <w:r>
              <w:t xml:space="preserve">Catégorie « Corrosion »</w:t>
            </w:r>
          </w:p>
        </w:tc>
        <w:tc>
          <w:tcPr/>
          <w:p>
            <w:pPr>
              <w:pStyle w:val="Compact"/>
            </w:pPr>
            <w:r>
              <w:t xml:space="preserve">ID GLPI catégorie</w:t>
            </w:r>
          </w:p>
        </w:tc>
      </w:tr>
      <w:tr>
        <w:tc>
          <w:tcPr/>
          <w:p>
            <w:pPr>
              <w:pStyle w:val="Compact"/>
            </w:pPr>
            <w:r>
              <w:rPr>
                <w:rStyle w:val="VerbatimChar"/>
              </w:rPr>
              <w:t xml:space="preserve">_users_id_assign</w:t>
            </w:r>
          </w:p>
        </w:tc>
        <w:tc>
          <w:tcPr/>
          <w:p>
            <w:pPr>
              <w:pStyle w:val="Compact"/>
            </w:pPr>
            <w:r>
              <w:t xml:space="preserve">Technicien d’astreinte (configuration)</w:t>
            </w:r>
          </w:p>
        </w:tc>
        <w:tc>
          <w:tcPr/>
          <w:p>
            <w:pPr>
              <w:pStyle w:val="Compact"/>
            </w:pPr>
            <w:r>
              <w:t xml:space="preserve">ID utilisateur</w:t>
            </w:r>
          </w:p>
        </w:tc>
      </w:tr>
    </w:tbl>
    <w:p>
      <w:pPr>
        <w:pStyle w:val="BodyText"/>
      </w:pPr>
      <w:r>
        <w:t xml:space="preserve">L’appel API se fait depuis l’application Streamlit en Python via la librairie</w:t>
      </w:r>
      <w:r>
        <w:t xml:space="preserve"> </w:t>
      </w:r>
      <w:r>
        <w:rPr>
          <w:rStyle w:val="VerbatimChar"/>
        </w:rPr>
        <w:t xml:space="preserve">requests</w:t>
      </w:r>
      <w:r>
        <w:t xml:space="preserve"> </w:t>
      </w:r>
      <w:r>
        <w:t xml:space="preserve">:</w:t>
      </w:r>
    </w:p>
    <w:p>
      <w:pPr>
        <w:pStyle w:val="SourceCode"/>
      </w:pPr>
      <w:r>
        <w:rPr>
          <w:rStyle w:val="NormalTok"/>
        </w:rPr>
        <w:t xml:space="preserve">ticket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pecialStringTok"/>
        </w:rPr>
        <w:t xml:space="preserve">f"</w:t>
      </w:r>
      <w:r>
        <w:rPr>
          <w:rStyle w:val="SpecialCharTok"/>
        </w:rPr>
        <w:t xml:space="preserve">{</w:t>
      </w:r>
      <w:r>
        <w:rPr>
          <w:rStyle w:val="NormalTok"/>
        </w:rPr>
        <w:t xml:space="preserve">asset</w:t>
      </w:r>
      <w:r>
        <w:rPr>
          <w:rStyle w:val="SpecialCharTok"/>
        </w:rPr>
        <w:t xml:space="preserve">.</w:t>
      </w:r>
      <w:r>
        <w:rPr>
          <w:rStyle w:val="NormalTok"/>
        </w:rPr>
        <w:t xml:space="preserve">nom</w:t>
      </w:r>
      <w:r>
        <w:rPr>
          <w:rStyle w:val="SpecialCharTok"/>
        </w:rPr>
        <w:t xml:space="preserve">}</w:t>
      </w:r>
      <w:r>
        <w:rPr>
          <w:rStyle w:val="SpecialStringTok"/>
        </w:rPr>
        <w:t xml:space="preserve"> — </w:t>
      </w:r>
      <w:r>
        <w:rPr>
          <w:rStyle w:val="SpecialCharTok"/>
        </w:rPr>
        <w:t xml:space="preserve">{</w:t>
      </w:r>
      <w:r>
        <w:rPr>
          <w:rStyle w:val="NormalTok"/>
        </w:rPr>
        <w:t xml:space="preserve">diagnostic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"urgency"</w:t>
      </w:r>
      <w:r>
        <w:rPr>
          <w:rStyle w:val="NormalTok"/>
        </w:rPr>
        <w:t xml:space="preserve">: niveau_to_urgency[alerte.niveau],</w:t>
      </w:r>
      <w:r>
        <w:br/>
      </w:r>
      <w:r>
        <w:rPr>
          <w:rStyle w:val="NormalTok"/>
        </w:rPr>
        <w:t xml:space="preserve">        </w:t>
      </w:r>
      <w:r>
        <w:rPr>
          <w:rStyle w:val="StringTok"/>
        </w:rPr>
        <w:t xml:space="preserve">"content"</w:t>
      </w:r>
      <w:r>
        <w:rPr>
          <w:rStyle w:val="NormalTok"/>
        </w:rPr>
        <w:t xml:space="preserve">: template_description.</w:t>
      </w:r>
      <w:r>
        <w:rPr>
          <w:rStyle w:val="BuiltInTok"/>
        </w:rPr>
        <w:t xml:space="preserve">format</w:t>
      </w:r>
      <w:r>
        <w:rPr>
          <w:rStyle w:val="NormalTok"/>
        </w:rPr>
        <w:t xml:space="preserve">(</w:t>
      </w:r>
      <w:r>
        <w:rPr>
          <w:rStyle w:val="OperatorTok"/>
        </w:rPr>
        <w:t xml:space="preserve">**</w:t>
      </w:r>
      <w:r>
        <w:rPr>
          <w:rStyle w:val="NormalTok"/>
        </w:rPr>
        <w:t xml:space="preserve">prediction),</w:t>
      </w:r>
      <w:r>
        <w:br/>
      </w:r>
      <w:r>
        <w:rPr>
          <w:rStyle w:val="NormalTok"/>
        </w:rPr>
        <w:t xml:space="preserve">        </w:t>
      </w:r>
      <w:r>
        <w:rPr>
          <w:rStyle w:val="StringTok"/>
        </w:rPr>
        <w:t xml:space="preserve">"itilcategories_id"</w:t>
      </w:r>
      <w:r>
        <w:rPr>
          <w:rStyle w:val="NormalTok"/>
        </w:rPr>
        <w:t xml:space="preserve">: GLPI_CAT_CORROSION,</w:t>
      </w:r>
      <w:r>
        <w:br/>
      </w:r>
      <w:r>
        <w:rPr>
          <w:rStyle w:val="NormalTok"/>
        </w:rPr>
        <w:t xml:space="preserve">    }</w:t>
      </w:r>
      <w:r>
        <w:br/>
      </w:r>
      <w:r>
        <w:rPr>
          <w:rStyle w:val="NormalTok"/>
        </w:rPr>
        <w:t xml:space="preserve">}</w:t>
      </w:r>
      <w:r>
        <w:br/>
      </w:r>
      <w:r>
        <w:rPr>
          <w:rStyle w:val="NormalTok"/>
        </w:rPr>
        <w:t xml:space="preserve">requests.post(</w:t>
      </w:r>
      <w:r>
        <w:rPr>
          <w:rStyle w:val="SpecialStringTok"/>
        </w:rPr>
        <w:t xml:space="preserve">f"</w:t>
      </w:r>
      <w:r>
        <w:rPr>
          <w:rStyle w:val="SpecialCharTok"/>
        </w:rPr>
        <w:t xml:space="preserve">{</w:t>
      </w:r>
      <w:r>
        <w:rPr>
          <w:rStyle w:val="NormalTok"/>
        </w:rPr>
        <w:t xml:space="preserve">GLPI_URL</w:t>
      </w:r>
      <w:r>
        <w:rPr>
          <w:rStyle w:val="SpecialCharTok"/>
        </w:rPr>
        <w:t xml:space="preserve">}</w:t>
      </w:r>
      <w:r>
        <w:rPr>
          <w:rStyle w:val="SpecialStringTok"/>
        </w:rPr>
        <w:t xml:space="preserve">/apirest.php/Ticket"</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"Session-Token"</w:t>
      </w:r>
      <w:r>
        <w:rPr>
          <w:rStyle w:val="NormalTok"/>
        </w:rPr>
        <w:t xml:space="preserve">: session_token},</w:t>
      </w:r>
      <w:r>
        <w:br/>
      </w:r>
      <w:r>
        <w:rPr>
          <w:rStyle w:val="NormalTok"/>
        </w:rPr>
        <w:t xml:space="preserve">              json</w:t>
      </w:r>
      <w:r>
        <w:rPr>
          <w:rStyle w:val="OperatorTok"/>
        </w:rPr>
        <w:t xml:space="preserve">=</w:t>
      </w:r>
      <w:r>
        <w:rPr>
          <w:rStyle w:val="NormalTok"/>
        </w:rPr>
        <w:t xml:space="preserve">ticket)</w:t>
      </w:r>
    </w:p>
    <w:bookmarkEnd w:id="103"/>
    <w:bookmarkStart w:id="104" w:name="X6daa42d570212a4ddf8cec02ed6ecb7bd6e7228"/>
    <w:p>
      <w:pPr>
        <w:pStyle w:val="Heading3"/>
      </w:pPr>
      <w:r>
        <w:t xml:space="preserve">II.7.6. KPIs maintenance calculés (côté CMMS)</w:t>
      </w:r>
    </w:p>
    <w:p>
      <w:pPr>
        <w:pStyle w:val="FirstParagraph"/>
      </w:pPr>
      <w:r>
        <w:t xml:space="preserve">GLPI fournit nativement ou par requête SQL/plugin les KPIs maintenance suivants, alimentés par l’historique des tickets et des interventions :</w:t>
      </w:r>
    </w:p>
    <w:p>
      <w:pPr>
        <w:pStyle w:val="BodyText"/>
      </w:pPr>
      <w:r>
        <w:rPr>
          <w:b/>
          <w:bCs/>
        </w:rPr>
        <w:t xml:space="preserve">Tableau II.14 — Indicateurs de performance maintenance (KPIs)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Formule</w:t>
            </w:r>
          </w:p>
        </w:tc>
        <w:tc>
          <w:tcPr/>
          <w:p>
            <w:pPr>
              <w:pStyle w:val="Compact"/>
            </w:pPr>
            <w:r>
              <w:t xml:space="preserve">Source GLPI</w:t>
            </w:r>
          </w:p>
        </w:tc>
        <w:tc>
          <w:tcPr/>
          <w:p>
            <w:pPr>
              <w:pStyle w:val="Compact"/>
            </w:pPr>
            <w:r>
              <w:t xml:space="preserve">Cible</w:t>
            </w:r>
          </w:p>
        </w:tc>
      </w:tr>
      <w:tr>
        <w:tc>
          <w:tcPr/>
          <w:p>
            <w:pPr>
              <w:pStyle w:val="Compact"/>
            </w:pPr>
            <w:r>
              <w:rPr>
                <w:b/>
                <w:bCs/>
              </w:rPr>
              <w:t xml:space="preserve">MTBF</w:t>
            </w:r>
            <w:r>
              <w:t xml:space="preserve"> </w:t>
            </w:r>
            <w:r>
              <w:t xml:space="preserve">(Mean Time Between Failures)</w:t>
            </w:r>
          </w:p>
        </w:tc>
        <w:tc>
          <w:tcPr/>
          <w:p>
            <w:pPr>
              <w:pStyle w:val="Compact"/>
            </w:pPr>
            <w:r>
              <w:t xml:space="preserve">Σ temps entre tickets corrosion / nb tickets</w:t>
            </w:r>
          </w:p>
        </w:tc>
        <w:tc>
          <w:tcPr/>
          <w:p>
            <w:pPr>
              <w:pStyle w:val="Compact"/>
            </w:pPr>
            <w:r>
              <w:t xml:space="preserve">Table</w:t>
            </w:r>
            <w:r>
              <w:t xml:space="preserve"> </w:t>
            </w:r>
            <w:r>
              <w:rPr>
                <w:rStyle w:val="VerbatimChar"/>
              </w:rPr>
              <w:t xml:space="preserve">glpi_tickets</w:t>
            </w:r>
          </w:p>
        </w:tc>
        <w:tc>
          <w:tcPr/>
          <w:p>
            <w:pPr>
              <w:pStyle w:val="Compact"/>
            </w:pPr>
            <w:r>
              <w:t xml:space="preserve">maximiser</w:t>
            </w:r>
          </w:p>
        </w:tc>
      </w:tr>
      <w:tr>
        <w:tc>
          <w:tcPr/>
          <w:p>
            <w:pPr>
              <w:pStyle w:val="Compact"/>
            </w:pPr>
            <w:r>
              <w:rPr>
                <w:b/>
                <w:bCs/>
              </w:rPr>
              <w:t xml:space="preserve">MTTR</w:t>
            </w:r>
            <w:r>
              <w:t xml:space="preserve"> </w:t>
            </w:r>
            <w:r>
              <w:t xml:space="preserve">(Mean Time To Repair)</w:t>
            </w:r>
          </w:p>
        </w:tc>
        <w:tc>
          <w:tcPr/>
          <w:p>
            <w:pPr>
              <w:pStyle w:val="Compact"/>
            </w:pPr>
            <w:r>
              <w:t xml:space="preserve">Σ (close_date − open_date) / nb tickets</w:t>
            </w:r>
          </w:p>
        </w:tc>
        <w:tc>
          <w:tcPr/>
          <w:p>
            <w:pPr>
              <w:pStyle w:val="Compact"/>
            </w:pPr>
            <w:r>
              <w:t xml:space="preserve">Table</w:t>
            </w:r>
            <w:r>
              <w:t xml:space="preserve"> </w:t>
            </w:r>
            <w:r>
              <w:rPr>
                <w:rStyle w:val="VerbatimChar"/>
              </w:rPr>
              <w:t xml:space="preserve">glpi_tickets</w:t>
            </w:r>
          </w:p>
        </w:tc>
        <w:tc>
          <w:tcPr/>
          <w:p>
            <w:pPr>
              <w:pStyle w:val="Compact"/>
            </w:pPr>
            <w:r>
              <w:t xml:space="preserve">minimiser</w:t>
            </w:r>
          </w:p>
        </w:tc>
      </w:tr>
      <w:tr>
        <w:tc>
          <w:tcPr/>
          <w:p>
            <w:pPr>
              <w:pStyle w:val="Compact"/>
            </w:pPr>
            <w:r>
              <w:rPr>
                <w:b/>
                <w:bCs/>
              </w:rPr>
              <w:t xml:space="preserve">Disponibilité</w:t>
            </w:r>
          </w:p>
        </w:tc>
        <w:tc>
          <w:tcPr/>
          <w:p>
            <w:pPr>
              <w:pStyle w:val="Compact"/>
            </w:pPr>
            <w:r>
              <w:t xml:space="preserve">MTBF / (MTBF + MTTR)</w:t>
            </w:r>
          </w:p>
        </w:tc>
        <w:tc>
          <w:tcPr/>
          <w:p>
            <w:pPr>
              <w:pStyle w:val="Compact"/>
            </w:pPr>
            <w:r>
              <w:t xml:space="preserve">Calculé</w:t>
            </w:r>
          </w:p>
        </w:tc>
        <w:tc>
          <w:tcPr/>
          <w:p>
            <w:pPr>
              <w:pStyle w:val="Compact"/>
            </w:pPr>
            <w:r>
              <w:t xml:space="preserve">&gt; 95 %</w:t>
            </w:r>
          </w:p>
        </w:tc>
      </w:tr>
      <w:tr>
        <w:tc>
          <w:tcPr/>
          <w:p>
            <w:pPr>
              <w:pStyle w:val="Compact"/>
            </w:pPr>
            <w:r>
              <w:rPr>
                <w:b/>
                <w:bCs/>
              </w:rPr>
              <w:t xml:space="preserve">Efficacité d’inhibition</w:t>
            </w:r>
          </w:p>
        </w:tc>
        <w:tc>
          <w:tcPr/>
          <w:p>
            <w:pPr>
              <w:pStyle w:val="Compact"/>
            </w:pPr>
            <w:r>
              <w:t xml:space="preserve">(CR_avant − CR_après) / CR_avant × 100</w:t>
            </w:r>
          </w:p>
        </w:tc>
        <w:tc>
          <w:tcPr/>
          <w:p>
            <w:pPr>
              <w:pStyle w:val="Compact"/>
            </w:pPr>
            <w:r>
              <w:t xml:space="preserve">Pipeline ML + tags GLPI</w:t>
            </w:r>
          </w:p>
        </w:tc>
        <w:tc>
          <w:tcPr/>
          <w:p>
            <w:pPr>
              <w:pStyle w:val="Compact"/>
            </w:pPr>
            <w:r>
              <w:t xml:space="preserve">&gt; 90 %</w:t>
            </w:r>
          </w:p>
        </w:tc>
      </w:tr>
      <w:tr>
        <w:tc>
          <w:tcPr/>
          <w:p>
            <w:pPr>
              <w:pStyle w:val="Compact"/>
            </w:pPr>
            <w:r>
              <w:rPr>
                <w:b/>
                <w:bCs/>
              </w:rPr>
              <w:t xml:space="preserve">Précision du modèle</w:t>
            </w:r>
          </w:p>
        </w:tc>
        <w:tc>
          <w:tcPr/>
          <w:p>
            <w:pPr>
              <w:pStyle w:val="Compact"/>
            </w:pPr>
            <w:r>
              <w:t xml:space="preserve">1 − (alertes annulées / alertes totales)</w:t>
            </w:r>
          </w:p>
        </w:tc>
        <w:tc>
          <w:tcPr/>
          <w:p>
            <w:pPr>
              <w:pStyle w:val="Compact"/>
            </w:pPr>
            <w:r>
              <w:t xml:space="preserve">Champ</w:t>
            </w:r>
            <w:r>
              <w:t xml:space="preserve"> </w:t>
            </w:r>
            <w:r>
              <w:rPr>
                <w:rStyle w:val="VerbatimChar"/>
              </w:rPr>
              <w:t xml:space="preserve">solutiontype</w:t>
            </w:r>
            <w:r>
              <w:t xml:space="preserve"> </w:t>
            </w:r>
            <w:r>
              <w:t xml:space="preserve">GLPI</w:t>
            </w:r>
          </w:p>
        </w:tc>
        <w:tc>
          <w:tcPr/>
          <w:p>
            <w:pPr>
              <w:pStyle w:val="Compact"/>
            </w:pPr>
            <w:r>
              <w:t xml:space="preserve">&gt; 85 %</w:t>
            </w:r>
          </w:p>
        </w:tc>
      </w:tr>
      <w:tr>
        <w:tc>
          <w:tcPr/>
          <w:p>
            <w:pPr>
              <w:pStyle w:val="Compact"/>
            </w:pPr>
            <w:r>
              <w:rPr>
                <w:b/>
                <w:bCs/>
              </w:rPr>
              <w:t xml:space="preserve">Taux de fausses alertes</w:t>
            </w:r>
          </w:p>
        </w:tc>
        <w:tc>
          <w:tcPr/>
          <w:p>
            <w:pPr>
              <w:pStyle w:val="Compact"/>
            </w:pPr>
            <w:r>
              <w:t xml:space="preserve">tickets résolus en</w:t>
            </w:r>
            <w:r>
              <w:t xml:space="preserve"> </w:t>
            </w:r>
            <w:r>
              <w:rPr>
                <w:rStyle w:val="VerbatimChar"/>
              </w:rPr>
              <w:t xml:space="preserve">false positive</w:t>
            </w:r>
            <w:r>
              <w:t xml:space="preserve"> </w:t>
            </w:r>
            <w:r>
              <w:t xml:space="preserve">/ total</w:t>
            </w:r>
          </w:p>
        </w:tc>
        <w:tc>
          <w:tcPr/>
          <w:p>
            <w:pPr>
              <w:pStyle w:val="Compact"/>
            </w:pPr>
            <w:r>
              <w:t xml:space="preserve">Champ</w:t>
            </w:r>
            <w:r>
              <w:t xml:space="preserve"> </w:t>
            </w:r>
            <w:r>
              <w:rPr>
                <w:rStyle w:val="VerbatimChar"/>
              </w:rPr>
              <w:t xml:space="preserve">status</w:t>
            </w:r>
            <w:r>
              <w:t xml:space="preserve"> </w:t>
            </w:r>
            <w:r>
              <w:t xml:space="preserve">+</w:t>
            </w:r>
            <w:r>
              <w:t xml:space="preserve"> </w:t>
            </w:r>
            <w:r>
              <w:rPr>
                <w:rStyle w:val="VerbatimChar"/>
              </w:rPr>
              <w:t xml:space="preserve">solution</w:t>
            </w:r>
          </w:p>
        </w:tc>
        <w:tc>
          <w:tcPr/>
          <w:p>
            <w:pPr>
              <w:pStyle w:val="Compact"/>
            </w:pPr>
            <w:r>
              <w:t xml:space="preserve">&lt; 15 %</w:t>
            </w:r>
          </w:p>
        </w:tc>
      </w:tr>
    </w:tbl>
    <w:p>
      <w:r>
        <w:pict>
          <v:rect style="width:0;height:1.5pt" o:hralign="center" o:hrstd="t" o:hr="t"/>
        </w:pict>
      </w:r>
    </w:p>
    <w:bookmarkEnd w:id="104"/>
    <w:bookmarkEnd w:id="105"/>
    <w:bookmarkStart w:id="106" w:name="X0fcd5b5066ea3b0aa0fe0eb42347356d14c3aaf"/>
    <w:p>
      <w:pPr>
        <w:pStyle w:val="Heading2"/>
      </w:pPr>
      <w:r>
        <w:t xml:space="preserve">II.8. Tableau synoptique de la démarche méthodologique</w:t>
      </w:r>
    </w:p>
    <w:p>
      <w:pPr>
        <w:pStyle w:val="FirstParagraph"/>
      </w:pPr>
      <w:r>
        <w:rPr>
          <w:b/>
          <w:bCs/>
        </w:rPr>
        <w:t xml:space="preserve">Tableau II.15 — Démarche synoptique objectifs / activités / méthodes / résultats attendus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Objectif Spécifique</w:t>
            </w:r>
          </w:p>
        </w:tc>
        <w:tc>
          <w:tcPr/>
          <w:p>
            <w:pPr>
              <w:pStyle w:val="Compact"/>
            </w:pPr>
            <w:r>
              <w:t xml:space="preserve">Activités à réaliser</w:t>
            </w:r>
          </w:p>
        </w:tc>
        <w:tc>
          <w:tcPr/>
          <w:p>
            <w:pPr>
              <w:pStyle w:val="Compact"/>
            </w:pPr>
            <w:r>
              <w:t xml:space="preserve">Méthodes / Outils</w:t>
            </w:r>
          </w:p>
        </w:tc>
        <w:tc>
          <w:tcPr/>
          <w:p>
            <w:pPr>
              <w:pStyle w:val="Compact"/>
            </w:pPr>
            <w:r>
              <w:t xml:space="preserve">Justifications / Résultats attendus</w:t>
            </w:r>
          </w:p>
        </w:tc>
      </w:tr>
      <w:tr>
        <w:tc>
          <w:tcPr/>
          <w:p>
            <w:pPr>
              <w:pStyle w:val="Compact"/>
            </w:pPr>
            <w:r>
              <w:rPr>
                <w:b/>
                <w:bCs/>
              </w:rPr>
              <w:t xml:space="preserve">OS1</w:t>
            </w:r>
            <w:r>
              <w:t xml:space="preserve"> </w:t>
            </w:r>
            <w:r>
              <w:t xml:space="preserve">— Concevoir et valider la sonde ER instrumentée IoT</w:t>
            </w:r>
          </w:p>
        </w:tc>
        <w:tc>
          <w:tcPr/>
          <w:p>
            <w:pPr>
              <w:pStyle w:val="Compact"/>
            </w:pPr>
            <w:r>
              <w:t xml:space="preserve">(i) Câblage du pont de Wheatstone ; (ii) Programmation du firmware ESP32 (deep sleep, HX711, DS18B20) ; (iii) Tests de résolution sur résistances étalons ; (iv) Validation de la stabilité en milieu corrosif</w:t>
            </w:r>
          </w:p>
        </w:tc>
        <w:tc>
          <w:tcPr/>
          <w:p>
            <w:pPr>
              <w:pStyle w:val="Compact"/>
            </w:pPr>
            <w:r>
              <w:t xml:space="preserve">Pont de Wheatstone (</w:t>
            </w:r>
            <w:r>
              <w:rPr>
                <w:i/>
                <w:iCs/>
              </w:rPr>
              <w:t xml:space="preserve">R</w:t>
            </w:r>
            <w:r>
              <w:t xml:space="preserve">₁ =</w:t>
            </w:r>
            <w:r>
              <w:t xml:space="preserve"> </w:t>
            </w:r>
            <w:r>
              <w:rPr>
                <w:i/>
                <w:iCs/>
              </w:rPr>
              <w:t xml:space="preserve">R</w:t>
            </w:r>
            <w:r>
              <w:t xml:space="preserve">₂ = 10 Ω,</w:t>
            </w:r>
            <w:r>
              <w:t xml:space="preserve"> </w:t>
            </w:r>
            <w:r>
              <w:rPr>
                <w:i/>
                <w:iCs/>
              </w:rPr>
              <w:t xml:space="preserve">R</w:t>
            </w:r>
            <w:r>
              <w:t xml:space="preserve">_REF = 0,5 Ω,</w:t>
            </w:r>
            <w:r>
              <w:t xml:space="preserve"> </w:t>
            </w:r>
            <w:r>
              <w:rPr>
                <w:i/>
                <w:iCs/>
              </w:rPr>
              <w:t xml:space="preserve">R</w:t>
            </w:r>
            <w:r>
              <w:t xml:space="preserve">_SERIE = 100 Ω) ; HX711 gain 128 ; ESP32 deep sleep 600 s ; CSV série 115 200 baud ; Multimètre de précision</w:t>
            </w:r>
          </w:p>
        </w:tc>
        <w:tc>
          <w:tcPr/>
          <w:p>
            <w:pPr>
              <w:pStyle w:val="Compact"/>
            </w:pPr>
            <w:r>
              <w:t xml:space="preserve">Sonde fonctionnelle avec résolution ≤ 0,01 mΩ, stabilité ±0,5 mV/24 h — démonstration de la brique d’acquisition I4.0</w:t>
            </w:r>
          </w:p>
        </w:tc>
      </w:tr>
      <w:tr>
        <w:tc>
          <w:tcPr/>
          <w:p>
            <w:pPr>
              <w:pStyle w:val="Compact"/>
            </w:pPr>
            <w:r>
              <w:rPr>
                <w:b/>
                <w:bCs/>
              </w:rPr>
              <w:t xml:space="preserve">OS2</w:t>
            </w:r>
            <w:r>
              <w:t xml:space="preserve"> </w:t>
            </w:r>
            <w:r>
              <w:t xml:space="preserve">— Entraîner et valider le modèle XGBoost (CR + RUL)</w:t>
            </w:r>
          </w:p>
        </w:tc>
        <w:tc>
          <w:tcPr/>
          <w:p>
            <w:pPr>
              <w:pStyle w:val="Compact"/>
            </w:pPr>
            <w:r>
              <w:t xml:space="preserve">(i) Collecte de 4 runs RTF ; (ii) Nettoyage IQR + Savitzky-Golay ; (iii) Compensation thermique ; (iv) Feature engineering (10 variables) ; (v) TimeSeriesSplit n=4 ; (vi) Entraînement XGBoost ; (vii) MAE/RMSE/R² ; (viii) SHAP</w:t>
            </w:r>
          </w:p>
        </w:tc>
        <w:tc>
          <w:tcPr/>
          <w:p>
            <w:pPr>
              <w:pStyle w:val="Compact"/>
            </w:pPr>
            <w:r>
              <w:t xml:space="preserve">Python : Pandas, SciPy, XGBoost, Scikit-learn, SHAP ;</w:t>
            </w:r>
            <w:r>
              <w:t xml:space="preserve"> </w:t>
            </w:r>
            <w:r>
              <w:rPr>
                <w:i/>
                <w:iCs/>
              </w:rPr>
              <w:t xml:space="preserve">n</w:t>
            </w:r>
            <w:r>
              <w:t xml:space="preserve">=500, depth=4, lr=0,05, L1=0,1, L2=1,0</w:t>
            </w:r>
          </w:p>
        </w:tc>
        <w:tc>
          <w:tcPr/>
          <w:p>
            <w:pPr>
              <w:pStyle w:val="Compact"/>
            </w:pPr>
            <w:r>
              <w:rPr>
                <w:i/>
                <w:iCs/>
              </w:rPr>
              <w:t xml:space="preserve">R²</w:t>
            </w:r>
            <w:r>
              <w:t xml:space="preserve"> </w:t>
            </w:r>
            <w:r>
              <w:t xml:space="preserve">&gt; 0,70 et</w:t>
            </w:r>
            <w:r>
              <w:t xml:space="preserve"> </w:t>
            </w:r>
            <w:r>
              <w:rPr>
                <w:i/>
                <w:iCs/>
              </w:rPr>
              <w:t xml:space="preserve">RMSE</w:t>
            </w:r>
            <w:r>
              <w:t xml:space="preserve"> </w:t>
            </w:r>
            <w:r>
              <w:t xml:space="preserve">&lt; 15 % pour CR et RUL ; SHAP : top 3 variables physiquement plausibles</w:t>
            </w:r>
          </w:p>
        </w:tc>
      </w:tr>
      <w:tr>
        <w:tc>
          <w:tcPr/>
          <w:p>
            <w:pPr>
              <w:pStyle w:val="Compact"/>
            </w:pPr>
            <w:r>
              <w:rPr>
                <w:b/>
                <w:bCs/>
              </w:rPr>
              <w:t xml:space="preserve">OS3</w:t>
            </w:r>
            <w:r>
              <w:t xml:space="preserve"> </w:t>
            </w:r>
            <w:r>
              <w:t xml:space="preserve">— Diagnostic + évaluation inhibiteur + alertes</w:t>
            </w:r>
          </w:p>
        </w:tc>
        <w:tc>
          <w:tcPr/>
          <w:p>
            <w:pPr>
              <w:pStyle w:val="Compact"/>
            </w:pPr>
            <w:r>
              <w:t xml:space="preserve">(i) Diagnostic régimes (5 classes) par règles métier ; (ii) Runs 3 et 4 avec inhibiteur imidazoline (0,1 % et 0,5 % v/v) ; (iii) Détection changepoint adsorption ; (iv) Calcul η ; (v) Calibration seuils vert/orange/rouge ; (vi) Recommandations dosage</w:t>
            </w:r>
          </w:p>
        </w:tc>
        <w:tc>
          <w:tcPr/>
          <w:p>
            <w:pPr>
              <w:pStyle w:val="Compact"/>
            </w:pPr>
            <w:r>
              <w:t xml:space="preserve">Pipeline Python :</w:t>
            </w:r>
            <w:r>
              <w:t xml:space="preserve"> </w:t>
            </w:r>
            <w:r>
              <w:rPr>
                <w:rStyle w:val="VerbatimChar"/>
              </w:rPr>
              <w:t xml:space="preserve">diagnostiquer(features)</w:t>
            </w:r>
            <w:r>
              <w:t xml:space="preserve"> </w:t>
            </w:r>
            <w:r>
              <w:t xml:space="preserve">; algorithme changepoint sur fenêtre glissante ; comparaison runs inhibés vs non-inhibés ; calibration empirique</w:t>
            </w:r>
          </w:p>
        </w:tc>
        <w:tc>
          <w:tcPr/>
          <w:p>
            <w:pPr>
              <w:pStyle w:val="Compact"/>
            </w:pPr>
            <w:r>
              <w:t xml:space="preserve">Diagnostic temps réel exploitable ; η mesuré comparé fabricant ; seuils calibrés (CR=1, 5 mm/an ; RUL=12, 48 h)</w:t>
            </w:r>
          </w:p>
        </w:tc>
      </w:tr>
      <w:tr>
        <w:tc>
          <w:tcPr/>
          <w:p>
            <w:pPr>
              <w:pStyle w:val="Compact"/>
            </w:pPr>
            <w:r>
              <w:rPr>
                <w:b/>
                <w:bCs/>
              </w:rPr>
              <w:t xml:space="preserve">OS4</w:t>
            </w:r>
            <w:r>
              <w:t xml:space="preserve"> </w:t>
            </w:r>
            <w:r>
              <w:t xml:space="preserve">— Intégration au CMMS open-source par API REST</w:t>
            </w:r>
          </w:p>
        </w:tc>
        <w:tc>
          <w:tcPr/>
          <w:p>
            <w:pPr>
              <w:pStyle w:val="Compact"/>
            </w:pPr>
            <w:r>
              <w:t xml:space="preserve">(i) Application Streamlit (frontend ML + dashboard) ; (ii) Matrice comparative GLPI/OpenMaint/Snipe-IT ; (iii) Mapping prédiction ML → ticket CMMS ; (iv) API REST</w:t>
            </w:r>
            <w:r>
              <w:t xml:space="preserve"> </w:t>
            </w:r>
            <w:r>
              <w:rPr>
                <w:rStyle w:val="VerbatimChar"/>
              </w:rPr>
              <w:t xml:space="preserve">/Ticket</w:t>
            </w:r>
            <w:r>
              <w:t xml:space="preserve"> </w:t>
            </w:r>
            <w:r>
              <w:t xml:space="preserve">(POST automatique) ; (v) Calcul KPIs (MTBF, MTTR, η inhibition)</w:t>
            </w:r>
          </w:p>
        </w:tc>
        <w:tc>
          <w:tcPr/>
          <w:p>
            <w:pPr>
              <w:pStyle w:val="Compact"/>
            </w:pPr>
            <w:r>
              <w:t xml:space="preserve">Streamlit + Streamlit Community Cloud ;</w:t>
            </w:r>
            <w:r>
              <w:t xml:space="preserve"> </w:t>
            </w:r>
            <w:r>
              <w:rPr>
                <w:b/>
                <w:bCs/>
              </w:rPr>
              <w:t xml:space="preserve">GLPI</w:t>
            </w:r>
            <w:r>
              <w:t xml:space="preserve"> </w:t>
            </w:r>
            <w:r>
              <w:t xml:space="preserve">(PHP/MariaDB, auto-hébergé) ; API REST GLPI ; Python</w:t>
            </w:r>
            <w:r>
              <w:t xml:space="preserve"> </w:t>
            </w:r>
            <w:r>
              <w:rPr>
                <w:rStyle w:val="VerbatimChar"/>
              </w:rPr>
              <w:t xml:space="preserve">requests</w:t>
            </w:r>
            <w:r>
              <w:t xml:space="preserve"> </w:t>
            </w:r>
            <w:r>
              <w:t xml:space="preserve">; ISO 14224 codes anomalie</w:t>
            </w:r>
          </w:p>
        </w:tc>
        <w:tc>
          <w:tcPr/>
          <w:p>
            <w:pPr>
              <w:pStyle w:val="Compact"/>
            </w:pPr>
            <w:r>
              <w:t xml:space="preserve">Boucle Sonde→ML→Ticket CMMS démontrée end-to-end ; KPIs calculés ; coût de licence = 0 FCFA</w:t>
            </w:r>
          </w:p>
        </w:tc>
      </w:tr>
    </w:tbl>
    <w:p>
      <w:pPr>
        <w:pStyle w:val="BodyText"/>
      </w:pPr>
      <w:r>
        <w:t xml:space="preserve">L’usage des outils suit une chronologie stricte : conception matérielle (OS1) → acquisition expérimentale et modélisation (OS2) → diagnostic et évaluation inhibiteur (OS3) → intégration applicative GMAO (OS4).</w:t>
      </w:r>
    </w:p>
    <w:p>
      <w:r>
        <w:pict>
          <v:rect style="width:0;height:1.5pt" o:hralign="center" o:hrstd="t" o:hr="t"/>
        </w:pict>
      </w:r>
    </w:p>
    <w:bookmarkEnd w:id="106"/>
    <w:bookmarkStart w:id="107" w:name="ii.9.-conclusion-du-chapitre-ii"/>
    <w:p>
      <w:pPr>
        <w:pStyle w:val="Heading2"/>
      </w:pPr>
      <w:r>
        <w:t xml:space="preserve">II.9. Conclusion du Chapitre II</w:t>
      </w:r>
    </w:p>
    <w:p>
      <w:pPr>
        <w:pStyle w:val="FirstParagraph"/>
      </w:pPr>
      <w:r>
        <w:t xml:space="preserve">Ce chapitre a présenté l’ensemble des outils et de la méthodologie retenus pour répondre aux</w:t>
      </w:r>
      <w:r>
        <w:t xml:space="preserve"> </w:t>
      </w:r>
      <w:r>
        <w:rPr>
          <w:b/>
          <w:bCs/>
        </w:rPr>
        <w:t xml:space="preserve">quatre objectifs spécifiques</w:t>
      </w:r>
      <w:r>
        <w:t xml:space="preserve"> </w:t>
      </w:r>
      <w:r>
        <w:t xml:space="preserve">du mémoire. Une</w:t>
      </w:r>
      <w:r>
        <w:t xml:space="preserve"> </w:t>
      </w:r>
      <w:r>
        <w:rPr>
          <w:b/>
          <w:bCs/>
        </w:rPr>
        <w:t xml:space="preserve">§II.0.5 dédiée à la justification des choix technologiques</w:t>
      </w:r>
      <w:r>
        <w:t xml:space="preserve"> </w:t>
      </w:r>
      <w:r>
        <w:t xml:space="preserve">a consolidé les arbitrages techniques (microcontrôleur ESP32, amplificateur HX711, capteur DS18B20, méthode ER, algorithme XGBoost, validation TimeSeriesSplit, frontend Streamlit, CMMS GLPI) sous forme de matrices de décision. Le prototype de sonde ER (pont de Wheatstone + HX711 + ESP32 en deep sleep pulsé) a ensuite été décrit dans son principe physique et son implémentation matérielle. Les matériels électroniques, chimiques et logiciels mobilisés ont été consolidés en tableaux récapitulatifs. Les méthodes d’acquisition, de nettoyage, de compensation thermique, de feature engineering, d’entraînement XGBoost et d’interprétabilité SHAP ont été détaillées, ainsi que le module de diagnostic des régimes de corrosion. L’</w:t>
      </w:r>
      <w:r>
        <w:rPr>
          <w:b/>
          <w:bCs/>
        </w:rPr>
        <w:t xml:space="preserve">architecture d’intégration Streamlit ↔ CMMS open-source par API REST</w:t>
      </w:r>
      <w:r>
        <w:t xml:space="preserve"> </w:t>
      </w:r>
      <w:r>
        <w:t xml:space="preserve">(matrice comparative GLPI / OpenMaint / Snipe-IT, mapping prédiction ML → ticket, KPIs maintenance côté CMMS) a été spécifiée. Le protocole expérimental</w:t>
      </w:r>
      <w:r>
        <w:t xml:space="preserve"> </w:t>
      </w:r>
      <w:r>
        <w:rPr>
          <w:i/>
          <w:iCs/>
        </w:rPr>
        <w:t xml:space="preserve">run-to-failure</w:t>
      </w:r>
      <w:r>
        <w:t xml:space="preserve"> </w:t>
      </w:r>
      <w:r>
        <w:t xml:space="preserve">en quatre runs et le tableau synoptique de la démarche ont été présentés. Le</w:t>
      </w:r>
      <w:r>
        <w:t xml:space="preserve"> </w:t>
      </w:r>
      <w:r>
        <w:rPr>
          <w:b/>
          <w:bCs/>
        </w:rPr>
        <w:t xml:space="preserve">Chapitre III</w:t>
      </w:r>
      <w:r>
        <w:t xml:space="preserve"> </w:t>
      </w:r>
      <w:r>
        <w:t xml:space="preserve">présente à présent les résultats issus de la mise en œuvre de cette méthodologie, leur analyse et leur discussion.</w:t>
      </w:r>
    </w:p>
    <w:bookmarkEnd w:id="107"/>
    <w:bookmarkEnd w:id="108"/>
    <w:bookmarkStart w:id="150" w:name="chapitre-iii-résultats-et-discussions"/>
    <w:p>
      <w:pPr>
        <w:pStyle w:val="Heading1"/>
      </w:pPr>
      <w:r>
        <w:t xml:space="preserve">CHAPITRE III : RÉSULTATS ET DISCUSSIONS</w:t>
      </w:r>
    </w:p>
    <w:p>
      <w:pPr>
        <w:pStyle w:val="FirstParagraph"/>
      </w:pPr>
      <w:r>
        <w:rPr>
          <w:b/>
          <w:bCs/>
        </w:rPr>
        <w:t xml:space="preserve">Sommaire du Chapitre III</w:t>
      </w:r>
    </w:p>
    <w:p>
      <w:pPr>
        <w:pStyle w:val="Compact"/>
        <w:numPr>
          <w:ilvl w:val="0"/>
          <w:numId w:val="1032"/>
        </w:numPr>
      </w:pPr>
      <w:r>
        <w:t xml:space="preserve">III.0. Introduction</w:t>
      </w:r>
    </w:p>
    <w:p>
      <w:pPr>
        <w:pStyle w:val="Compact"/>
        <w:numPr>
          <w:ilvl w:val="0"/>
          <w:numId w:val="1032"/>
        </w:numPr>
      </w:pPr>
      <w:r>
        <w:t xml:space="preserve">III.1. Validation métrologique de la sonde ER (OS1)</w:t>
      </w:r>
    </w:p>
    <w:p>
      <w:pPr>
        <w:pStyle w:val="Compact"/>
        <w:numPr>
          <w:ilvl w:val="0"/>
          <w:numId w:val="1032"/>
        </w:numPr>
      </w:pPr>
      <w:r>
        <w:t xml:space="preserve">III.2. Résultats des quatre runs run-to-failure</w:t>
      </w:r>
    </w:p>
    <w:p>
      <w:pPr>
        <w:pStyle w:val="Compact"/>
        <w:numPr>
          <w:ilvl w:val="0"/>
          <w:numId w:val="1032"/>
        </w:numPr>
      </w:pPr>
      <w:r>
        <w:t xml:space="preserve">III.3. Performance du modèle XGBoost CR + RUL (OS2)</w:t>
      </w:r>
    </w:p>
    <w:p>
      <w:pPr>
        <w:pStyle w:val="Compact"/>
        <w:numPr>
          <w:ilvl w:val="0"/>
          <w:numId w:val="1032"/>
        </w:numPr>
      </w:pPr>
      <w:r>
        <w:t xml:space="preserve">III.4. Diagnostic des régimes de corrosion (OS3)</w:t>
      </w:r>
    </w:p>
    <w:p>
      <w:pPr>
        <w:pStyle w:val="Compact"/>
        <w:numPr>
          <w:ilvl w:val="0"/>
          <w:numId w:val="1032"/>
        </w:numPr>
      </w:pPr>
      <w:r>
        <w:t xml:space="preserve">III.5. Évaluation de l’inhibiteur de corrosion et calibration des alertes (OS3)</w:t>
      </w:r>
    </w:p>
    <w:p>
      <w:pPr>
        <w:pStyle w:val="Compact"/>
        <w:numPr>
          <w:ilvl w:val="0"/>
          <w:numId w:val="1032"/>
        </w:numPr>
      </w:pPr>
      <w:r>
        <w:t xml:space="preserve">III.6. Intégration au CMMS open-source — démonstration end-to-end et KPIs (OS4)</w:t>
      </w:r>
    </w:p>
    <w:p>
      <w:pPr>
        <w:pStyle w:val="Compact"/>
        <w:numPr>
          <w:ilvl w:val="0"/>
          <w:numId w:val="1032"/>
        </w:numPr>
      </w:pPr>
      <w:r>
        <w:t xml:space="preserve">III.7. Discussions</w:t>
      </w:r>
    </w:p>
    <w:p>
      <w:pPr>
        <w:pStyle w:val="Compact"/>
        <w:numPr>
          <w:ilvl w:val="0"/>
          <w:numId w:val="1032"/>
        </w:numPr>
      </w:pPr>
      <w:r>
        <w:t xml:space="preserve">III.8. Conclusion</w:t>
      </w:r>
    </w:p>
    <w:p>
      <w:r>
        <w:pict>
          <v:rect style="width:0;height:1.5pt" o:hralign="center" o:hrstd="t" o:hr="t"/>
        </w:pict>
      </w:r>
    </w:p>
    <w:bookmarkStart w:id="109" w:name="iii.0.-introduction"/>
    <w:p>
      <w:pPr>
        <w:pStyle w:val="Heading2"/>
      </w:pPr>
      <w:r>
        <w:t xml:space="preserve">III.0. Introduction</w:t>
      </w:r>
    </w:p>
    <w:p>
      <w:pPr>
        <w:pStyle w:val="BlockText"/>
      </w:pPr>
      <w:r>
        <w:rPr>
          <w:b/>
          <w:bCs/>
        </w:rPr>
        <w:t xml:space="preserve">Ce chapitre sera complété au fur et à mesure de la collecte des données expérimentales sur le prototype et du déploiement de la GMAO.</w:t>
      </w:r>
      <w:r>
        <w:t xml:space="preserve"> </w:t>
      </w:r>
      <w:r>
        <w:t xml:space="preserve">L’ensemble des sections suivantes a été pré-structuré conformément à la méthodologie présentée au Chapitre II. Chaque section est accompagnée d’une indication précise de la nature des données, des graphes, des captures d’écran et des analyses à insérer.</w:t>
      </w:r>
    </w:p>
    <w:p>
      <w:pPr>
        <w:pStyle w:val="FirstParagraph"/>
      </w:pPr>
      <w:r>
        <w:t xml:space="preserve">Dans ce chapitre, il sera question de présenter (i) les résultats de la validation métrologique de la sonde ER (OS1), (ii) les données expérimentales issues des quatre runs RTF, (iii) les performances du modèle XGBoost prédisant CR et RUL ainsi que l’analyse SHAP des variables d’influence (OS2), (iv) le diagnostic des régimes de corrosion observés (OS3), (v) l’évaluation de l’efficacité de l’inhibiteur de corrosion testé et la calibration du système d’alertes (OS3), (vi) la</w:t>
      </w:r>
      <w:r>
        <w:t xml:space="preserve"> </w:t>
      </w:r>
      <w:r>
        <w:rPr>
          <w:b/>
          <w:bCs/>
        </w:rPr>
        <w:t xml:space="preserve">démonstration end-to-end de l’intégration Streamlit ↔ CMMS open-source</w:t>
      </w:r>
      <w:r>
        <w:t xml:space="preserve"> </w:t>
      </w:r>
      <w:r>
        <w:t xml:space="preserve">et les KPIs maintenance calculés (OS4), puis de discuter l’ensemble de ces résultats au regard des objectifs initiaux et de la littérature internationale (Chapitre I).</w:t>
      </w:r>
    </w:p>
    <w:p>
      <w:r>
        <w:pict>
          <v:rect style="width:0;height:1.5pt" o:hralign="center" o:hrstd="t" o:hr="t"/>
        </w:pict>
      </w:r>
    </w:p>
    <w:bookmarkEnd w:id="109"/>
    <w:bookmarkStart w:id="114" w:name="X39f727902a9cb6c8b752dcc901c68810ace20c1"/>
    <w:p>
      <w:pPr>
        <w:pStyle w:val="Heading2"/>
      </w:pPr>
      <w:r>
        <w:t xml:space="preserve">III.1. Validation métrologi que de la sonde ER (OS1)</w:t>
      </w:r>
    </w:p>
    <w:bookmarkStart w:id="110" w:name="Xfbd2fff90ecadeede27324a11c87b55596e05af"/>
    <w:p>
      <w:pPr>
        <w:pStyle w:val="Heading3"/>
      </w:pPr>
      <w:r>
        <w:t xml:space="preserve">III.1.1. Stabilité du signal en milieu neutre (test à vide)</w:t>
      </w:r>
    </w:p>
    <w:p>
      <w:pPr>
        <w:pStyle w:val="FirstParagraph"/>
      </w:pPr>
      <w:r>
        <w:rPr>
          <w:i/>
          <w:iCs/>
        </w:rPr>
        <w:t xml:space="preserve">[À compléter — Protocole : immersion du fil dans de l’eau distillée pendant 24 h, mesure de Rx(t). Insérer : graphe Rx(t) sur 24 h, calcul de l’écart-type σ_Rx (mΩ), vérification que σ_Rx &lt; 0,01 mΩ.]</w:t>
      </w:r>
    </w:p>
    <w:bookmarkEnd w:id="110"/>
    <w:bookmarkStart w:id="111" w:name="X9798bcadc97144aaf05180f3aab863ab053a2c1"/>
    <w:p>
      <w:pPr>
        <w:pStyle w:val="Heading3"/>
      </w:pPr>
      <w:r>
        <w:t xml:space="preserve">III.1.2. Étalonnage sur résistances de référence</w:t>
      </w:r>
    </w:p>
    <w:p>
      <w:pPr>
        <w:pStyle w:val="FirstParagraph"/>
      </w:pPr>
      <w:r>
        <w:rPr>
          <w:i/>
          <w:iCs/>
        </w:rPr>
        <w:t xml:space="preserve">[À compléter — Protocole : substitution du fil par 5 résistances de précision (0,1 Ω, 0,2 Ω, 0,5 Ω, 1,0 Ω, 2,0 Ω). Insérer : tableau comparatif HX711 vs valeur étalon, graphe linéarité, calcul de l’erreur relative moyenne (%).]</w:t>
      </w:r>
    </w:p>
    <w:bookmarkEnd w:id="111"/>
    <w:bookmarkStart w:id="112" w:name="Xf3f9dca319410a6ac55cc577b8ca02fdf33596c"/>
    <w:p>
      <w:pPr>
        <w:pStyle w:val="Heading3"/>
      </w:pPr>
      <w:r>
        <w:t xml:space="preserve">III.1.3. Efficacité de la compensation thermique</w:t>
      </w:r>
    </w:p>
    <w:p>
      <w:pPr>
        <w:pStyle w:val="FirstParagraph"/>
      </w:pPr>
      <w:r>
        <w:rPr>
          <w:i/>
          <w:iCs/>
        </w:rPr>
        <w:t xml:space="preserve">[À compléter — Protocole : variation contrôlée de la température de 22 °C à 32 °C, mesure simultanée Rx_brut et Rx_corr. Insérer : courbe Rx_brut(T) et Rx_corr(T) — démontrer que la pente Rx_corr(T) est &lt; 1 % de la pente Rx_brut(T).]</w:t>
      </w:r>
    </w:p>
    <w:bookmarkEnd w:id="112"/>
    <w:bookmarkStart w:id="113" w:name="Xc61a47e6fb031cca5d5ed31958ac0d55c70bb9c"/>
    <w:p>
      <w:pPr>
        <w:pStyle w:val="Heading3"/>
      </w:pPr>
      <w:r>
        <w:t xml:space="preserve">III.1.4. Bilan de la validation métrologi que</w:t>
      </w:r>
    </w:p>
    <w:p>
      <w:pPr>
        <w:pStyle w:val="FirstParagraph"/>
      </w:pPr>
      <w:r>
        <w:rPr>
          <w:i/>
          <w:iCs/>
        </w:rPr>
        <w:t xml:space="preserve">[À compléter — Tableau synthèse : résolution effective (mΩ), bruit RMS (mΩ), dérive thermique résiduelle (%), conformité au cahier des charges.]</w:t>
      </w:r>
    </w:p>
    <w:p>
      <w:r>
        <w:pict>
          <v:rect style="width:0;height:1.5pt" o:hralign="center" o:hrstd="t" o:hr="t"/>
        </w:pict>
      </w:r>
    </w:p>
    <w:bookmarkEnd w:id="113"/>
    <w:bookmarkEnd w:id="114"/>
    <w:bookmarkStart w:id="120" w:name="X0bce19cb0866722ea309888a58a01622b4d7900"/>
    <w:p>
      <w:pPr>
        <w:pStyle w:val="Heading2"/>
      </w:pPr>
      <w:r>
        <w:t xml:space="preserve">III.2. Résultats des quatre runs run-to-failure (OS2)</w:t>
      </w:r>
    </w:p>
    <w:bookmarkStart w:id="115" w:name="X3b3d9eba5f9981291fe0ec98b42271b1e9d2268"/>
    <w:p>
      <w:pPr>
        <w:pStyle w:val="Heading3"/>
      </w:pPr>
      <w:r>
        <w:t xml:space="preserve">III.2.1. Run 1 — Detar Plus pur, sans inhibiteur</w:t>
      </w:r>
    </w:p>
    <w:p>
      <w:pPr>
        <w:pStyle w:val="FirstParagraph"/>
      </w:pPr>
      <w:r>
        <w:rPr>
          <w:i/>
          <w:iCs/>
        </w:rPr>
        <w:t xml:space="preserve">[À compléter — Insérer : (i) graphe Rx(t) sur la durée du run, (ii) graphe CR_lisse(t), (iii) graphe T(t). Indicateurs : durée totale du run (h), Rx initial (Ω), Rx à la rupture (Ω), CR moyen (mm/an), CR maximum (mm/an), photographie du fil après rupture.]</w:t>
      </w:r>
    </w:p>
    <w:bookmarkEnd w:id="115"/>
    <w:bookmarkStart w:id="116" w:name="Xede53b9c140fb1eff8d500bb1b1dba20d8f1cad"/>
    <w:p>
      <w:pPr>
        <w:pStyle w:val="Heading3"/>
      </w:pPr>
      <w:r>
        <w:t xml:space="preserve">III.2.2. Run 2 — Detar Plus pur, sans inhibiteur (réplique)</w:t>
      </w:r>
    </w:p>
    <w:p>
      <w:pPr>
        <w:pStyle w:val="FirstParagraph"/>
      </w:pPr>
      <w:r>
        <w:rPr>
          <w:i/>
          <w:iCs/>
        </w:rPr>
        <w:t xml:space="preserve">[À compléter — Idem Run 1. Tableau comparatif Run 1 vs Run 2 : durée, CR moyen, CR max, Rx_rupture. Discussion de la reproductibilité.]</w:t>
      </w:r>
    </w:p>
    <w:bookmarkEnd w:id="116"/>
    <w:bookmarkStart w:id="117" w:name="Xae545383e689d4c0657cf2f5391fc242d7a9423"/>
    <w:p>
      <w:pPr>
        <w:pStyle w:val="Heading3"/>
      </w:pPr>
      <w:r>
        <w:t xml:space="preserve">III.2.3. Run 3 — Milieu corrosif + inhibiteur imidazoline à 0,1 % v/v</w:t>
      </w:r>
    </w:p>
    <w:p>
      <w:pPr>
        <w:pStyle w:val="FirstParagraph"/>
      </w:pPr>
      <w:r>
        <w:rPr>
          <w:i/>
          <w:iCs/>
        </w:rPr>
        <w:t xml:space="preserve">[À compléter — Insérer : graphe Rx(t) avec annotation du temps d’injection de l’inhibiteur (t_injection) et du temps d’adsorption détecté (t_adsorption). Calcul de Δt_adsorption = t_adsorption - t_injection. Calcul de l’efficacité d’inhibition η₁ = (CR_avant - CR_après) / CR_avant × 100.]</w:t>
      </w:r>
    </w:p>
    <w:bookmarkEnd w:id="117"/>
    <w:bookmarkStart w:id="118" w:name="Xd48910367acf00fc42b0d520ef39f968f60675b"/>
    <w:p>
      <w:pPr>
        <w:pStyle w:val="Heading3"/>
      </w:pPr>
      <w:r>
        <w:t xml:space="preserve">III.2.4. Run 4 — Milieu corrosif + inhibiteur imidazoline à 0,5 % v/v</w:t>
      </w:r>
    </w:p>
    <w:p>
      <w:pPr>
        <w:pStyle w:val="FirstParagraph"/>
      </w:pPr>
      <w:r>
        <w:rPr>
          <w:i/>
          <w:iCs/>
        </w:rPr>
        <w:t xml:space="preserve">[À compléter — Idem Run 3. Calcul η₂. Comparaison η₁ vs η₂. Vérification de la relation dose-efficacité (loi de Langmuir attendue).]</w:t>
      </w:r>
    </w:p>
    <w:bookmarkEnd w:id="118"/>
    <w:bookmarkStart w:id="119" w:name="iii.2.5.-synthèse-des-quatre-runs"/>
    <w:p>
      <w:pPr>
        <w:pStyle w:val="Heading3"/>
      </w:pPr>
      <w:r>
        <w:t xml:space="preserve">III.2.5. Synthèse des quatre runs</w:t>
      </w:r>
    </w:p>
    <w:p>
      <w:pPr>
        <w:pStyle w:val="FirstParagraph"/>
      </w:pPr>
      <w:r>
        <w:rPr>
          <w:i/>
          <w:iCs/>
        </w:rPr>
        <w:t xml:space="preserve">[À compléter — Tableau récapitulatif : pour chaque run, durée, CR moyen, CR max, η, observations particulières. Graphe consolidé Rx(t) des 4 runs sur le même axe pour comparaison visuelle.]</w:t>
      </w:r>
    </w:p>
    <w:p>
      <w:r>
        <w:pict>
          <v:rect style="width:0;height:1.5pt" o:hralign="center" o:hrstd="t" o:hr="t"/>
        </w:pict>
      </w:r>
    </w:p>
    <w:bookmarkEnd w:id="119"/>
    <w:bookmarkEnd w:id="120"/>
    <w:bookmarkStart w:id="124" w:name="iii.3.-performance-du-modèle-xgboost-os2"/>
    <w:p>
      <w:pPr>
        <w:pStyle w:val="Heading2"/>
      </w:pPr>
      <w:r>
        <w:t xml:space="preserve">III.3. Performance du modèle XGBoost (OS2)</w:t>
      </w:r>
    </w:p>
    <w:bookmarkStart w:id="121" w:name="X3b01179fbe63babff5ba25a4654c56ce257327e"/>
    <w:p>
      <w:pPr>
        <w:pStyle w:val="Heading3"/>
      </w:pPr>
      <w:r>
        <w:t xml:space="preserve">III.3.1. Métriques de validation croisée walk-forward</w:t>
      </w:r>
    </w:p>
    <w:p>
      <w:pPr>
        <w:pStyle w:val="FirstParagraph"/>
      </w:pPr>
      <w:r>
        <w:rPr>
          <w:i/>
          <w:iCs/>
        </w:rPr>
        <w:t xml:space="preserve">[À compléter — Tableau MAE, RMSE, R² pour chacun des 4 folds TimeSeriesSplit, séparément pour CR et RUL. Comparaison avec baseline naïve (prédiction par la moyenne du training set).]</w:t>
      </w:r>
    </w:p>
    <w:p>
      <w:pPr>
        <w:pStyle w:val="BodyText"/>
      </w:pPr>
      <w:r>
        <w:rPr>
          <w:b/>
          <w:bCs/>
        </w:rPr>
        <w:t xml:space="preserve">Tableau III.1 (à compléter) — Métriques walk-forward XGBoost CR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Fold</w:t>
            </w:r>
          </w:p>
        </w:tc>
        <w:tc>
          <w:tcPr/>
          <w:p>
            <w:pPr>
              <w:pStyle w:val="Compact"/>
            </w:pPr>
            <w:r>
              <w:t xml:space="preserve">n_train</w:t>
            </w:r>
          </w:p>
        </w:tc>
        <w:tc>
          <w:tcPr/>
          <w:p>
            <w:pPr>
              <w:pStyle w:val="Compact"/>
            </w:pPr>
            <w:r>
              <w:t xml:space="preserve">n_test</w:t>
            </w:r>
          </w:p>
        </w:tc>
        <w:tc>
          <w:tcPr/>
          <w:p>
            <w:pPr>
              <w:pStyle w:val="Compact"/>
            </w:pPr>
            <w:r>
              <w:t xml:space="preserve">MAE</w:t>
            </w:r>
          </w:p>
        </w:tc>
        <w:tc>
          <w:tcPr/>
          <w:p>
            <w:pPr>
              <w:pStyle w:val="Compact"/>
            </w:pPr>
            <w:r>
              <w:t xml:space="preserve">RMSE</w:t>
            </w:r>
          </w:p>
        </w:tc>
        <w:tc>
          <w:tcPr/>
          <w:p>
            <w:pPr>
              <w:pStyle w:val="Compact"/>
            </w:pPr>
            <w:r>
              <w:t xml:space="preserve">R²</w:t>
            </w:r>
          </w:p>
        </w:tc>
        <w:tc>
          <w:tcPr/>
          <w:p>
            <w:pPr>
              <w:pStyle w:val="Compact"/>
            </w:pPr>
            <w:r>
              <w:t xml:space="preserve">RMSE_baseline</w:t>
            </w:r>
          </w:p>
        </w:tc>
        <w:tc>
          <w:tcPr/>
          <w:p>
            <w:pPr>
              <w:pStyle w:val="Compact"/>
            </w:pPr>
            <w:r>
              <w:t xml:space="preserve">Gain (%)</w:t>
            </w:r>
          </w:p>
        </w:tc>
      </w:tr>
      <w:tr>
        <w:tc>
          <w:tcPr/>
          <w:p>
            <w:pPr>
              <w:pStyle w:val="Compact"/>
            </w:pPr>
            <w:r>
              <w:t xml:space="preserve">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Moyenne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Tableau III.2 (à compléter) — Métriques walk-forward XGBoost RUL</w:t>
      </w:r>
    </w:p>
    <w:p>
      <w:pPr>
        <w:pStyle w:val="BodyText"/>
      </w:pPr>
      <w:r>
        <w:rPr>
          <w:i/>
          <w:iCs/>
        </w:rPr>
        <w:t xml:space="preserve">[Même structure pour RUL.]</w:t>
      </w:r>
    </w:p>
    <w:bookmarkEnd w:id="121"/>
    <w:bookmarkStart w:id="122" w:name="iii.3.2.-courbes-prédites-vs-observées"/>
    <w:p>
      <w:pPr>
        <w:pStyle w:val="Heading3"/>
      </w:pPr>
      <w:r>
        <w:t xml:space="preserve">III.3.2. Courbes prédites vs observées</w:t>
      </w:r>
    </w:p>
    <w:p>
      <w:pPr>
        <w:pStyle w:val="FirstParagraph"/>
      </w:pPr>
      <w:r>
        <w:rPr>
          <w:i/>
          <w:iCs/>
        </w:rPr>
        <w:t xml:space="preserve">[À compléter — Graphes scatter plot CR_prédit vs CR_observé et RUL_prédit vs RUL_observé, avec diagonale idéale et bandes ±15 %.]</w:t>
      </w:r>
    </w:p>
    <w:bookmarkEnd w:id="122"/>
    <w:bookmarkStart w:id="123" w:name="X2159342e28147cb832fdb7750aa47e2f35fe05a"/>
    <w:p>
      <w:pPr>
        <w:pStyle w:val="Heading3"/>
      </w:pPr>
      <w:r>
        <w:t xml:space="preserve">III.3.3. Analyse SHAP — variables d’influence</w:t>
      </w:r>
    </w:p>
    <w:p>
      <w:pPr>
        <w:pStyle w:val="FirstParagraph"/>
      </w:pPr>
      <w:r>
        <w:rPr>
          <w:i/>
          <w:iCs/>
        </w:rPr>
        <w:t xml:space="preserve">[À compléter — Insérer : (i) SHAP summary plot (beeswarm) des 10 features, (ii) SHAP bar chart des importances moyennes, (iii) SHAP dependence plot pour la feature top-1. Identifier et commenter les 3 variables les plus influentes — vérifier la cohérence physique.]</w:t>
      </w:r>
    </w:p>
    <w:p>
      <w:r>
        <w:pict>
          <v:rect style="width:0;height:1.5pt" o:hralign="center" o:hrstd="t" o:hr="t"/>
        </w:pict>
      </w:r>
    </w:p>
    <w:bookmarkEnd w:id="123"/>
    <w:bookmarkEnd w:id="124"/>
    <w:bookmarkStart w:id="131" w:name="X0e9b8e8700ad5976390801244ba383e93b1da33"/>
    <w:p>
      <w:pPr>
        <w:pStyle w:val="Heading2"/>
      </w:pPr>
      <w:r>
        <w:t xml:space="preserve">III.4. Diagnostic des régimes de corrosion (OS3)</w:t>
      </w:r>
    </w:p>
    <w:bookmarkStart w:id="125" w:name="iii.4.1.-détection-du-régime-stable"/>
    <w:p>
      <w:pPr>
        <w:pStyle w:val="Heading3"/>
      </w:pPr>
      <w:r>
        <w:t xml:space="preserve">III.4.1. Détection du régime stable</w:t>
      </w:r>
    </w:p>
    <w:p>
      <w:pPr>
        <w:pStyle w:val="FirstParagraph"/>
      </w:pPr>
      <w:r>
        <w:rPr>
          <w:i/>
          <w:iCs/>
        </w:rPr>
        <w:t xml:space="preserve">[À compléter — Identification des plages temporelles classifiées « stable » dans les runs 1 et 2. Vérification de la cohérence des seuils empiriques (dR/dt &lt; seuil_stable, tendance_6h ≈ 0).]</w:t>
      </w:r>
    </w:p>
    <w:bookmarkEnd w:id="125"/>
    <w:bookmarkStart w:id="126" w:name="X33ac9f7d4d6d075bcc8a23c1d27771c36121776"/>
    <w:p>
      <w:pPr>
        <w:pStyle w:val="Heading3"/>
      </w:pPr>
      <w:r>
        <w:t xml:space="preserve">III.4.2. Détection du régime d’accélération (HCl dominant)</w:t>
      </w:r>
    </w:p>
    <w:p>
      <w:pPr>
        <w:pStyle w:val="FirstParagraph"/>
      </w:pPr>
      <w:r>
        <w:rPr>
          <w:i/>
          <w:iCs/>
        </w:rPr>
        <w:t xml:space="preserve">[À compléter — Identification des phases d’accélération de la corrosion sans inhibiteur. Graphe CR(t) avec annotation des fenêtres classifiées « accélération ».]</w:t>
      </w:r>
    </w:p>
    <w:bookmarkEnd w:id="126"/>
    <w:bookmarkStart w:id="127" w:name="X4576a1f1645e91fe985912a5ddb0c2099f28ad1"/>
    <w:p>
      <w:pPr>
        <w:pStyle w:val="Heading3"/>
      </w:pPr>
      <w:r>
        <w:t xml:space="preserve">III.4.3. Détection du régime de passivation (FePO₄ dominant)</w:t>
      </w:r>
    </w:p>
    <w:p>
      <w:pPr>
        <w:pStyle w:val="FirstParagraph"/>
      </w:pPr>
      <w:r>
        <w:rPr>
          <w:i/>
          <w:iCs/>
        </w:rPr>
        <w:t xml:space="preserve">[À compléter — Identification d’éventuelles phases de passivation observées (CR qui décélère sans inhibiteur). Hypothèse : formation d’un film de phosphate de fer par H₃PO₄. À confirmer par observation visuelle du fil après run.]</w:t>
      </w:r>
    </w:p>
    <w:bookmarkEnd w:id="127"/>
    <w:bookmarkStart w:id="128" w:name="X467110b5a02a54db8c09bb4730d3c9d17c26ba5"/>
    <w:p>
      <w:pPr>
        <w:pStyle w:val="Heading3"/>
      </w:pPr>
      <w:r>
        <w:t xml:space="preserve">III.4.4. Détection du régime d’adsorption inhibiteur</w:t>
      </w:r>
    </w:p>
    <w:p>
      <w:pPr>
        <w:pStyle w:val="FirstParagraph"/>
      </w:pPr>
      <w:r>
        <w:rPr>
          <w:i/>
          <w:iCs/>
        </w:rPr>
        <w:t xml:space="preserve">[À compléter — Pour les runs 3 et 4 : détection du changepoint et classification automatique du régime « adsorption inhibiteur ». Comparaison avec le moment d’injection réel.]</w:t>
      </w:r>
    </w:p>
    <w:bookmarkEnd w:id="128"/>
    <w:bookmarkStart w:id="129" w:name="iii.4.5.-détection-du-régime-pré-rupture"/>
    <w:p>
      <w:pPr>
        <w:pStyle w:val="Heading3"/>
      </w:pPr>
      <w:r>
        <w:t xml:space="preserve">III.4.5. Détection du régime pré-rupture</w:t>
      </w:r>
    </w:p>
    <w:p>
      <w:pPr>
        <w:pStyle w:val="FirstParagraph"/>
      </w:pPr>
      <w:r>
        <w:rPr>
          <w:i/>
          <w:iCs/>
        </w:rPr>
        <w:t xml:space="preserve">[À compléter — Identification des dernières heures avant rupture sur chaque run. Vérification que l’algorithme classifie bien ces fenêtres en « pré-rupture » (RUL &lt; 12 h, dR/dt diverge).]</w:t>
      </w:r>
    </w:p>
    <w:bookmarkEnd w:id="129"/>
    <w:bookmarkStart w:id="130" w:name="X8980563796bda59eb74bee35ff0652ea2d66b97"/>
    <w:p>
      <w:pPr>
        <w:pStyle w:val="Heading3"/>
      </w:pPr>
      <w:r>
        <w:t xml:space="preserve">III.4.6. Synthèse — matrice de confusion du diagnostic</w:t>
      </w:r>
    </w:p>
    <w:p>
      <w:pPr>
        <w:pStyle w:val="FirstParagraph"/>
      </w:pPr>
      <w:r>
        <w:rPr>
          <w:i/>
          <w:iCs/>
        </w:rPr>
        <w:t xml:space="preserve">[À compléter — Matrice de confusion 5 × 5 (régime prédit vs régime réel labélisé manuellement). Calcul de la précision globale.]</w:t>
      </w:r>
    </w:p>
    <w:p>
      <w:r>
        <w:pict>
          <v:rect style="width:0;height:1.5pt" o:hralign="center" o:hrstd="t" o:hr="t"/>
        </w:pict>
      </w:r>
    </w:p>
    <w:bookmarkEnd w:id="130"/>
    <w:bookmarkEnd w:id="131"/>
    <w:bookmarkStart w:id="135" w:name="Xdd0ae0adf38e9d2a01c3df6274655612da32466"/>
    <w:p>
      <w:pPr>
        <w:pStyle w:val="Heading2"/>
      </w:pPr>
      <w:r>
        <w:t xml:space="preserve">III.5. Évaluation de l’inhibiteur de corrosion et calibration des alertes (OS3)</w:t>
      </w:r>
    </w:p>
    <w:bookmarkStart w:id="132" w:name="X014464e17f8159f8835c46ac12dee1b4623282f"/>
    <w:p>
      <w:pPr>
        <w:pStyle w:val="Heading3"/>
      </w:pPr>
      <w:r>
        <w:t xml:space="preserve">III.5.1. Détection du temps d’adsorption (changepoint)</w:t>
      </w:r>
    </w:p>
    <w:p>
      <w:pPr>
        <w:pStyle w:val="FirstParagraph"/>
      </w:pPr>
      <w:r>
        <w:rPr>
          <w:i/>
          <w:iCs/>
        </w:rPr>
        <w:t xml:space="preserve">[À compléter — Pour les runs 3 et 4 : graphe CR_lisse(t) avec marqueur du changepoint détecté par l’algorithme (chute ≥ 30 % par rapport à la baseline). Comparaison avec t_injection réel. Calcul de Δt_adsorption et discussion (cohérence avec la cinétique de Langmuir).]</w:t>
      </w:r>
    </w:p>
    <w:bookmarkEnd w:id="132"/>
    <w:bookmarkStart w:id="133" w:name="Xf285c867fa7c61d7bfd8030a48c41f58e4e7eb5"/>
    <w:p>
      <w:pPr>
        <w:pStyle w:val="Heading3"/>
      </w:pPr>
      <w:r>
        <w:t xml:space="preserve">III.5.2. Efficacité d’inhibition mesurée vs déclarée fabricant</w:t>
      </w:r>
    </w:p>
    <w:p>
      <w:pPr>
        <w:pStyle w:val="FirstParagraph"/>
      </w:pPr>
      <w:r>
        <w:rPr>
          <w:i/>
          <w:iCs/>
        </w:rPr>
        <w:t xml:space="preserve">[À compléter — Tableau comparatif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Concentration</w:t>
            </w:r>
          </w:p>
        </w:tc>
        <w:tc>
          <w:tcPr/>
          <w:p>
            <w:pPr>
              <w:pStyle w:val="Compact"/>
            </w:pPr>
            <w:r>
              <w:t xml:space="preserve">η mesurée (%)</w:t>
            </w:r>
          </w:p>
        </w:tc>
        <w:tc>
          <w:tcPr/>
          <w:p>
            <w:pPr>
              <w:pStyle w:val="Compact"/>
            </w:pPr>
            <w:r>
              <w:t xml:space="preserve">η fabricant typique (%)</w:t>
            </w:r>
          </w:p>
        </w:tc>
        <w:tc>
          <w:tcPr/>
          <w:p>
            <w:pPr>
              <w:pStyle w:val="Compact"/>
            </w:pPr>
            <w:r>
              <w:t xml:space="preserve">Écart (%)</w:t>
            </w:r>
          </w:p>
        </w:tc>
      </w:tr>
      <w:tr>
        <w:tc>
          <w:tcPr/>
          <w:p>
            <w:pPr>
              <w:pStyle w:val="Compact"/>
            </w:pPr>
            <w:r>
              <w:t xml:space="preserve">0,1 % v/v</w:t>
            </w:r>
          </w:p>
        </w:tc>
        <w:tc>
          <w:tcPr/>
          <w:p>
            <w:pPr>
              <w:pStyle w:val="Compact"/>
            </w:pPr>
            <w:r>
              <w:t xml:space="preserve">…</w:t>
            </w:r>
          </w:p>
        </w:tc>
        <w:tc>
          <w:tcPr/>
          <w:p>
            <w:pPr>
              <w:pStyle w:val="Compact"/>
            </w:pPr>
            <w:r>
              <w:t xml:space="preserve">&gt; 90 (à vérifier)</w:t>
            </w:r>
          </w:p>
        </w:tc>
        <w:tc>
          <w:tcPr/>
          <w:p>
            <w:pPr>
              <w:pStyle w:val="Compact"/>
            </w:pPr>
            <w:r>
              <w:t xml:space="preserve">…</w:t>
            </w:r>
          </w:p>
        </w:tc>
      </w:tr>
      <w:tr>
        <w:tc>
          <w:tcPr/>
          <w:p>
            <w:pPr>
              <w:pStyle w:val="Compact"/>
            </w:pPr>
            <w:r>
              <w:t xml:space="preserve">0,5 % v/v</w:t>
            </w:r>
          </w:p>
        </w:tc>
        <w:tc>
          <w:tcPr/>
          <w:p>
            <w:pPr>
              <w:pStyle w:val="Compact"/>
            </w:pPr>
            <w:r>
              <w:t xml:space="preserve">…</w:t>
            </w:r>
          </w:p>
        </w:tc>
        <w:tc>
          <w:tcPr/>
          <w:p>
            <w:pPr>
              <w:pStyle w:val="Compact"/>
            </w:pPr>
            <w:r>
              <w:t xml:space="preserve">&gt; 90</w:t>
            </w:r>
          </w:p>
        </w:tc>
        <w:tc>
          <w:tcPr/>
          <w:p>
            <w:pPr>
              <w:pStyle w:val="Compact"/>
            </w:pPr>
            <w:r>
              <w:t xml:space="preserve">…</w:t>
            </w:r>
          </w:p>
        </w:tc>
      </w:tr>
    </w:tbl>
    <w:p>
      <w:pPr>
        <w:pStyle w:val="BodyText"/>
      </w:pPr>
      <w:r>
        <w:rPr>
          <w:i/>
          <w:iCs/>
        </w:rPr>
        <w:t xml:space="preserve">Discussion des écarts au regard de la composition multi-acide (HCl + H₃PO₄) vs HCl pur des essais fabricant — l’efficacité réelle peut être réduite par l’environnement multi-mécanismes.]</w:t>
      </w:r>
    </w:p>
    <w:bookmarkEnd w:id="133"/>
    <w:bookmarkStart w:id="134" w:name="X13f69ce28fd6052b81492647f4edaef3b093a7b"/>
    <w:p>
      <w:pPr>
        <w:pStyle w:val="Heading3"/>
      </w:pPr>
      <w:r>
        <w:t xml:space="preserve">III.5.3. Calibration finale des seuils vert / orange / rouge</w:t>
      </w:r>
    </w:p>
    <w:p>
      <w:pPr>
        <w:pStyle w:val="FirstParagraph"/>
      </w:pPr>
      <w:r>
        <w:rPr>
          <w:i/>
          <w:iCs/>
        </w:rPr>
        <w:t xml:space="preserve">[À compléter — Justification empirique des seuils (CR = 1 et 5 mm/an, RUL = 12 et 48 h) basée sur les distributions observées dans les runs 1 et 2. Représentation des distributions empiriques avec les seuils superposés.]</w:t>
      </w:r>
    </w:p>
    <w:p>
      <w:r>
        <w:pict>
          <v:rect style="width:0;height:1.5pt" o:hralign="center" o:hrstd="t" o:hr="t"/>
        </w:pict>
      </w:r>
    </w:p>
    <w:bookmarkEnd w:id="134"/>
    <w:bookmarkEnd w:id="135"/>
    <w:bookmarkStart w:id="142" w:name="X074284278962b68559762a8516c6a8420c6ece4"/>
    <w:p>
      <w:pPr>
        <w:pStyle w:val="Heading2"/>
      </w:pPr>
      <w:r>
        <w:t xml:space="preserve">III.6. Intégration au CMMS open-source — démonstration end-to-end et KPIs (OS4)</w:t>
      </w:r>
    </w:p>
    <w:bookmarkStart w:id="136" w:name="Xe1464985cc037fe747a2001eae0b971ebe4121d"/>
    <w:p>
      <w:pPr>
        <w:pStyle w:val="Heading3"/>
      </w:pPr>
      <w:r>
        <w:t xml:space="preserve">III.6.1. Schéma de base de données déployé</w:t>
      </w:r>
    </w:p>
    <w:p>
      <w:pPr>
        <w:pStyle w:val="FirstParagraph"/>
      </w:pPr>
      <w:r>
        <w:rPr>
          <w:i/>
          <w:iCs/>
        </w:rPr>
        <w:t xml:space="preserve">[À compléter — Capture d’écran ou schéma graphique des huit tables Supabase déployées (assets, measurements, predictions, alerts, work_orders, interventions, inhibitor_doses, kpi_maintenance). Vérification de l’intégrité référentielle.]</w:t>
      </w:r>
    </w:p>
    <w:bookmarkEnd w:id="136"/>
    <w:bookmarkStart w:id="137" w:name="X529041c1036c1fbb9478ce4da07bad5f4afaf80"/>
    <w:p>
      <w:pPr>
        <w:pStyle w:val="Heading3"/>
      </w:pPr>
      <w:r>
        <w:t xml:space="preserve">III.6.2. Dashboard temps réel — page d’accueil</w:t>
      </w:r>
    </w:p>
    <w:p>
      <w:pPr>
        <w:pStyle w:val="FirstParagraph"/>
      </w:pPr>
      <w:r>
        <w:rPr>
          <w:i/>
          <w:iCs/>
        </w:rPr>
        <w:t xml:space="preserve">[À compléter — Capture d’écran de la page</w:t>
      </w:r>
      <w:r>
        <w:rPr>
          <w:i/>
          <w:iCs/>
        </w:rPr>
        <w:t xml:space="preserve"> </w:t>
      </w:r>
      <w:r>
        <w:rPr>
          <w:rStyle w:val="VerbatimChar"/>
          <w:i/>
          <w:iCs/>
        </w:rPr>
        <w:t xml:space="preserve">/</w:t>
      </w:r>
      <w:r>
        <w:rPr>
          <w:i/>
          <w:iCs/>
        </w:rPr>
        <w:t xml:space="preserve"> </w:t>
      </w:r>
      <w:r>
        <w:rPr>
          <w:i/>
          <w:iCs/>
        </w:rPr>
        <w:t xml:space="preserve">du dashboard Next.js déployé sur Vercel. Affichage des courbes Rx(t), T(t), CR(t), RUL(t) en temps réel. Liste des alertes actives.]</w:t>
      </w:r>
    </w:p>
    <w:bookmarkEnd w:id="137"/>
    <w:bookmarkStart w:id="138" w:name="X1169c4bd386339b829c071b816cb256e503827c"/>
    <w:p>
      <w:pPr>
        <w:pStyle w:val="Heading3"/>
      </w:pPr>
      <w:r>
        <w:t xml:space="preserve">III.6.3. Génération automatique d’alertes et d’ordres de travail</w:t>
      </w:r>
    </w:p>
    <w:p>
      <w:pPr>
        <w:pStyle w:val="FirstParagraph"/>
      </w:pPr>
      <w:r>
        <w:rPr>
          <w:i/>
          <w:iCs/>
        </w:rPr>
        <w:t xml:space="preserve">[À compléter — Captures d’écran : (i) page</w:t>
      </w:r>
      <w:r>
        <w:rPr>
          <w:i/>
          <w:iCs/>
        </w:rPr>
        <w:t xml:space="preserve"> </w:t>
      </w:r>
      <w:r>
        <w:rPr>
          <w:rStyle w:val="VerbatimChar"/>
          <w:i/>
          <w:iCs/>
        </w:rPr>
        <w:t xml:space="preserve">/alerts</w:t>
      </w:r>
      <w:r>
        <w:rPr>
          <w:i/>
          <w:iCs/>
        </w:rPr>
        <w:t xml:space="preserve"> </w:t>
      </w:r>
      <w:r>
        <w:rPr>
          <w:i/>
          <w:iCs/>
        </w:rPr>
        <w:t xml:space="preserve">avec filtrage vert/orange/rouge ; (ii) page</w:t>
      </w:r>
      <w:r>
        <w:rPr>
          <w:i/>
          <w:iCs/>
        </w:rPr>
        <w:t xml:space="preserve"> </w:t>
      </w:r>
      <w:r>
        <w:rPr>
          <w:rStyle w:val="VerbatimChar"/>
          <w:i/>
          <w:iCs/>
        </w:rPr>
        <w:t xml:space="preserve">/work-orders</w:t>
      </w:r>
      <w:r>
        <w:rPr>
          <w:i/>
          <w:iCs/>
        </w:rPr>
        <w:t xml:space="preserve"> </w:t>
      </w:r>
      <w:r>
        <w:rPr>
          <w:i/>
          <w:iCs/>
        </w:rPr>
        <w:t xml:space="preserve">en mode Kanban (Ouvert / En cours / Fermé) ; (iii) détail d’un OT avec formulaire d’intervention. Démontrer la création automatique d’OT depuis une alerte rouge.]</w:t>
      </w:r>
    </w:p>
    <w:bookmarkEnd w:id="138"/>
    <w:bookmarkStart w:id="139" w:name="X2780e1b7d62dd546e7eb3a5805c54aa64052ce4"/>
    <w:p>
      <w:pPr>
        <w:pStyle w:val="Heading3"/>
      </w:pPr>
      <w:r>
        <w:t xml:space="preserve">III.6.4. Traçabilité des interventions et des doses d’inhibiteur</w:t>
      </w:r>
    </w:p>
    <w:p>
      <w:pPr>
        <w:pStyle w:val="FirstParagraph"/>
      </w:pPr>
      <w:r>
        <w:rPr>
          <w:i/>
          <w:iCs/>
        </w:rPr>
        <w:t xml:space="preserve">[À compléter — Capture d’écran de l’historique d’un asset : timeline des alertes, OT, interventions, doses d’inhibiteur injectées. Vérification de la traçabilité ISO 14224.]</w:t>
      </w:r>
    </w:p>
    <w:bookmarkEnd w:id="139"/>
    <w:bookmarkStart w:id="140" w:name="iii.6.5.-kpis-maintenance-calculés"/>
    <w:p>
      <w:pPr>
        <w:pStyle w:val="Heading3"/>
      </w:pPr>
      <w:r>
        <w:t xml:space="preserve">III.6.5. KPIs maintenance calculés</w:t>
      </w:r>
    </w:p>
    <w:p>
      <w:pPr>
        <w:pStyle w:val="FirstParagraph"/>
      </w:pPr>
      <w:r>
        <w:rPr>
          <w:i/>
          <w:iCs/>
        </w:rPr>
        <w:t xml:space="preserve">[À compléter — Capture d’écran du dashboard</w:t>
      </w:r>
      <w:r>
        <w:rPr>
          <w:i/>
          <w:iCs/>
        </w:rPr>
        <w:t xml:space="preserve"> </w:t>
      </w:r>
      <w:r>
        <w:rPr>
          <w:rStyle w:val="VerbatimChar"/>
          <w:i/>
          <w:iCs/>
        </w:rPr>
        <w:t xml:space="preserve">/kpi</w:t>
      </w:r>
      <w:r>
        <w:rPr>
          <w:i/>
          <w:iCs/>
        </w:rPr>
        <w:t xml:space="preserve">. Tableau des KPIs réalisés sur la période expérimentale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Valeur mesurée</w:t>
            </w:r>
          </w:p>
        </w:tc>
        <w:tc>
          <w:tcPr/>
          <w:p>
            <w:pPr>
              <w:pStyle w:val="Compact"/>
            </w:pPr>
            <w:r>
              <w:t xml:space="preserve">Cible</w:t>
            </w:r>
          </w:p>
        </w:tc>
        <w:tc>
          <w:tcPr/>
          <w:p>
            <w:pPr>
              <w:pStyle w:val="Compact"/>
            </w:pPr>
            <w:r>
              <w:t xml:space="preserve">Conformité</w:t>
            </w:r>
          </w:p>
        </w:tc>
      </w:tr>
      <w:tr>
        <w:tc>
          <w:tcPr/>
          <w:p>
            <w:pPr>
              <w:pStyle w:val="Compact"/>
            </w:pPr>
            <w:r>
              <w:t xml:space="preserve">MTBF (h)</w:t>
            </w:r>
          </w:p>
        </w:tc>
        <w:tc>
          <w:tcPr/>
          <w:p>
            <w:pPr>
              <w:pStyle w:val="Compact"/>
            </w:pPr>
            <w:r>
              <w:t xml:space="preserve">…</w:t>
            </w:r>
          </w:p>
        </w:tc>
        <w:tc>
          <w:tcPr/>
          <w:p>
            <w:pPr>
              <w:pStyle w:val="Compact"/>
            </w:pPr>
            <w:r>
              <w:t xml:space="preserve">maximiser</w:t>
            </w:r>
          </w:p>
        </w:tc>
        <w:tc>
          <w:tcPr/>
          <w:p>
            <w:pPr>
              <w:pStyle w:val="Compact"/>
            </w:pPr>
            <w:r>
              <w:t xml:space="preserve">…</w:t>
            </w:r>
          </w:p>
        </w:tc>
      </w:tr>
      <w:tr>
        <w:tc>
          <w:tcPr/>
          <w:p>
            <w:pPr>
              <w:pStyle w:val="Compact"/>
            </w:pPr>
            <w:r>
              <w:t xml:space="preserve">MTTR (h)</w:t>
            </w:r>
          </w:p>
        </w:tc>
        <w:tc>
          <w:tcPr/>
          <w:p>
            <w:pPr>
              <w:pStyle w:val="Compact"/>
            </w:pPr>
            <w:r>
              <w:t xml:space="preserve">…</w:t>
            </w:r>
          </w:p>
        </w:tc>
        <w:tc>
          <w:tcPr/>
          <w:p>
            <w:pPr>
              <w:pStyle w:val="Compact"/>
            </w:pPr>
            <w:r>
              <w:t xml:space="preserve">minimiser</w:t>
            </w:r>
          </w:p>
        </w:tc>
        <w:tc>
          <w:tcPr/>
          <w:p>
            <w:pPr>
              <w:pStyle w:val="Compact"/>
            </w:pPr>
            <w:r>
              <w:t xml:space="preserve">…</w:t>
            </w:r>
          </w:p>
        </w:tc>
      </w:tr>
      <w:tr>
        <w:tc>
          <w:tcPr/>
          <w:p>
            <w:pPr>
              <w:pStyle w:val="Compact"/>
            </w:pPr>
            <w:r>
              <w:t xml:space="preserve">Disponibilité (%)</w:t>
            </w:r>
          </w:p>
        </w:tc>
        <w:tc>
          <w:tcPr/>
          <w:p>
            <w:pPr>
              <w:pStyle w:val="Compact"/>
            </w:pPr>
            <w:r>
              <w:t xml:space="preserve">…</w:t>
            </w:r>
          </w:p>
        </w:tc>
        <w:tc>
          <w:tcPr/>
          <w:p>
            <w:pPr>
              <w:pStyle w:val="Compact"/>
            </w:pPr>
            <w:r>
              <w:t xml:space="preserve">&gt; 95</w:t>
            </w:r>
          </w:p>
        </w:tc>
        <w:tc>
          <w:tcPr/>
          <w:p>
            <w:pPr>
              <w:pStyle w:val="Compact"/>
            </w:pPr>
            <w:r>
              <w:t xml:space="preserve">…</w:t>
            </w:r>
          </w:p>
        </w:tc>
      </w:tr>
      <w:tr>
        <w:tc>
          <w:tcPr/>
          <w:p>
            <w:pPr>
              <w:pStyle w:val="Compact"/>
            </w:pPr>
            <w:r>
              <w:t xml:space="preserve">Efficacité d’inhibition (%)</w:t>
            </w:r>
          </w:p>
        </w:tc>
        <w:tc>
          <w:tcPr/>
          <w:p>
            <w:pPr>
              <w:pStyle w:val="Compact"/>
            </w:pPr>
            <w:r>
              <w:t xml:space="preserve">…</w:t>
            </w:r>
          </w:p>
        </w:tc>
        <w:tc>
          <w:tcPr/>
          <w:p>
            <w:pPr>
              <w:pStyle w:val="Compact"/>
            </w:pPr>
            <w:r>
              <w:t xml:space="preserve">&gt; 90</w:t>
            </w:r>
          </w:p>
        </w:tc>
        <w:tc>
          <w:tcPr/>
          <w:p>
            <w:pPr>
              <w:pStyle w:val="Compact"/>
            </w:pPr>
            <w:r>
              <w:t xml:space="preserve">…</w:t>
            </w:r>
          </w:p>
        </w:tc>
      </w:tr>
      <w:tr>
        <w:tc>
          <w:tcPr/>
          <w:p>
            <w:pPr>
              <w:pStyle w:val="Compact"/>
            </w:pPr>
            <w:r>
              <w:t xml:space="preserve">Coût évité (FCFA)</w:t>
            </w:r>
          </w:p>
        </w:tc>
        <w:tc>
          <w:tcPr/>
          <w:p>
            <w:pPr>
              <w:pStyle w:val="Compact"/>
            </w:pPr>
            <w:r>
              <w:t xml:space="preserve">…</w:t>
            </w:r>
          </w:p>
        </w:tc>
        <w:tc>
          <w:tcPr/>
          <w:p>
            <w:pPr>
              <w:pStyle w:val="Compact"/>
            </w:pPr>
            <w:r>
              <w:t xml:space="preserve">maximiser</w:t>
            </w:r>
          </w:p>
        </w:tc>
        <w:tc>
          <w:tcPr/>
          <w:p>
            <w:pPr>
              <w:pStyle w:val="Compact"/>
            </w:pPr>
            <w:r>
              <w:t xml:space="preserve">…</w:t>
            </w:r>
          </w:p>
        </w:tc>
      </w:tr>
      <w:tr>
        <w:tc>
          <w:tcPr/>
          <w:p>
            <w:pPr>
              <w:pStyle w:val="Compact"/>
            </w:pPr>
            <w:r>
              <w:t xml:space="preserve">Précision du modèle (%)</w:t>
            </w:r>
          </w:p>
        </w:tc>
        <w:tc>
          <w:tcPr/>
          <w:p>
            <w:pPr>
              <w:pStyle w:val="Compact"/>
            </w:pPr>
            <w:r>
              <w:t xml:space="preserve">…</w:t>
            </w:r>
          </w:p>
        </w:tc>
        <w:tc>
          <w:tcPr/>
          <w:p>
            <w:pPr>
              <w:pStyle w:val="Compact"/>
            </w:pPr>
            <w:r>
              <w:t xml:space="preserve">&gt; 85</w:t>
            </w:r>
          </w:p>
        </w:tc>
        <w:tc>
          <w:tcPr/>
          <w:p>
            <w:pPr>
              <w:pStyle w:val="Compact"/>
            </w:pPr>
            <w:r>
              <w:t xml:space="preserve">…</w:t>
            </w:r>
          </w:p>
        </w:tc>
      </w:tr>
    </w:tbl>
    <w:p>
      <w:pPr>
        <w:pStyle w:val="BodyText"/>
      </w:pPr>
      <w:r>
        <w:rPr>
          <w:i/>
          <w:iCs/>
        </w:rPr>
        <w:t xml:space="preserve">Discussion : ces KPIs n’ont de valeur que sur des volumes significatifs ; les valeurs présentées sont à considérer comme une démonstration de la chaîne de calcul, à confirmer en exploitation industrielle réelle.]</w:t>
      </w:r>
    </w:p>
    <w:bookmarkEnd w:id="140"/>
    <w:bookmarkStart w:id="141" w:name="X17affa1188989cc3f315c1c911baccad160fa52"/>
    <w:p>
      <w:pPr>
        <w:pStyle w:val="Heading3"/>
      </w:pPr>
      <w:r>
        <w:t xml:space="preserve">III.6.6. Comparaison fonctionnelle vs GMAO industrielles</w:t>
      </w:r>
    </w:p>
    <w:p>
      <w:pPr>
        <w:pStyle w:val="FirstParagraph"/>
      </w:pPr>
      <w:r>
        <w:rPr>
          <w:i/>
          <w:iCs/>
        </w:rPr>
        <w:t xml:space="preserve">[À compléter — Tableau comparatif fonctionnel : intégration Streamlit + GLPI vs SAP PM vs IBM Maximo vs MaintainX (free) sur les fonctions essentielles (gestion actifs, OT, KPIs, intégration IoT, ML embarqué, coût annuel par site). Discussion de la viabilité du prototype pour les PME industrielles africaines et pour le contexte COTCO.]</w:t>
      </w:r>
    </w:p>
    <w:p>
      <w:r>
        <w:pict>
          <v:rect style="width:0;height:1.5pt" o:hralign="center" o:hrstd="t" o:hr="t"/>
        </w:pict>
      </w:r>
    </w:p>
    <w:bookmarkEnd w:id="141"/>
    <w:bookmarkEnd w:id="142"/>
    <w:bookmarkStart w:id="148" w:name="iii.7.-discussions"/>
    <w:p>
      <w:pPr>
        <w:pStyle w:val="Heading2"/>
      </w:pPr>
      <w:r>
        <w:t xml:space="preserve">III.7. Discussions</w:t>
      </w:r>
    </w:p>
    <w:bookmarkStart w:id="143" w:name="Xf583610808591e0f1deaae25189be6af3381594"/>
    <w:p>
      <w:pPr>
        <w:pStyle w:val="Heading3"/>
      </w:pPr>
      <w:r>
        <w:t xml:space="preserve">III.7.1. Comparaison de maturité numérique : chaîne prototype I4.0 vs sondes commerciales déployées en I3.0</w:t>
      </w:r>
    </w:p>
    <w:p>
      <w:pPr>
        <w:pStyle w:val="FirstParagraph"/>
      </w:pPr>
      <w:r>
        <w:rPr>
          <w:i/>
          <w:iCs/>
        </w:rPr>
        <w:t xml:space="preserve">[À compléter — Comparer la résolution effective obtenue (mΩ) aux spécifications industrielles : Cosasco CW-20, Emerson Roxar, Permasense WT. Discuter le ratio coût/performance — ratio attendu : facteur 40 à 100 moins cher pour une résolution équivalente.]</w:t>
      </w:r>
    </w:p>
    <w:bookmarkEnd w:id="143"/>
    <w:bookmarkStart w:id="144" w:name="X2c36353157da6d7de0b42a10a258d8e257ca42b"/>
    <w:p>
      <w:pPr>
        <w:pStyle w:val="Heading3"/>
      </w:pPr>
      <w:r>
        <w:t xml:space="preserve">III.7.2. Performance du modèle XGBoost — confrontation à la littérature</w:t>
      </w:r>
    </w:p>
    <w:p>
      <w:pPr>
        <w:pStyle w:val="FirstParagraph"/>
      </w:pPr>
      <w:r>
        <w:rPr>
          <w:i/>
          <w:iCs/>
        </w:rPr>
        <w:t xml:space="preserve">[À compléter — Comparer le RMSE obtenu avec les valeurs rapportées par :</w:t>
      </w:r>
    </w:p>
    <w:p>
      <w:pPr>
        <w:pStyle w:val="Compact"/>
        <w:numPr>
          <w:ilvl w:val="0"/>
          <w:numId w:val="1033"/>
        </w:numPr>
      </w:pPr>
      <w:r>
        <w:rPr>
          <w:i/>
          <w:iCs/>
        </w:rPr>
        <w:t xml:space="preserve">Wei et al. (2024) : RMSE = 0,031 mm/an, R² = 0,99 ;</w:t>
      </w:r>
    </w:p>
    <w:p>
      <w:pPr>
        <w:pStyle w:val="Compact"/>
        <w:numPr>
          <w:ilvl w:val="0"/>
          <w:numId w:val="1033"/>
        </w:numPr>
      </w:pPr>
      <w:r>
        <w:rPr>
          <w:i/>
          <w:iCs/>
        </w:rPr>
        <w:t xml:space="preserve">Yan et Yan (2024) : RMSE = 0,052 ;</w:t>
      </w:r>
    </w:p>
    <w:p>
      <w:pPr>
        <w:pStyle w:val="Compact"/>
        <w:numPr>
          <w:ilvl w:val="0"/>
          <w:numId w:val="1033"/>
        </w:numPr>
      </w:pPr>
      <w:r>
        <w:rPr>
          <w:i/>
          <w:iCs/>
        </w:rPr>
        <w:t xml:space="preserve">Hu et al. (2024) : RMSE = 0,005876, R² = 0,9648.</w:t>
      </w:r>
    </w:p>
    <w:p>
      <w:pPr>
        <w:pStyle w:val="FirstParagraph"/>
      </w:pPr>
      <w:r>
        <w:rPr>
          <w:i/>
          <w:iCs/>
        </w:rPr>
        <w:t xml:space="preserve">Discuter les raisons d’éventuels écarts (taille du jeu de données, type de milieu multi-acide vs corrosion CO₂, protocole RTF).]</w:t>
      </w:r>
    </w:p>
    <w:bookmarkEnd w:id="144"/>
    <w:bookmarkStart w:id="145" w:name="X428dcc28753580dfe5a12b3f15afae834a25320"/>
    <w:p>
      <w:pPr>
        <w:pStyle w:val="Heading3"/>
      </w:pPr>
      <w:r>
        <w:t xml:space="preserve">III.7.3. Effet de l’inhibiteur testé — interprétation physico-chimique</w:t>
      </w:r>
    </w:p>
    <w:p>
      <w:pPr>
        <w:pStyle w:val="FirstParagraph"/>
      </w:pPr>
      <w:r>
        <w:rPr>
          <w:i/>
          <w:iCs/>
        </w:rPr>
        <w:t xml:space="preserve">[À compléter — Interpréter le temps d’adsorption détecté au regard de la cinétique d’adsorption des imidazolines (Heydari et Talebpour, 2024 ; Wang et al., 2023). Vérifier que η mesuré suit l’isotherme de Langmuir : η(C) = K_ads × C / (1 + K_ads × C).]</w:t>
      </w:r>
    </w:p>
    <w:bookmarkEnd w:id="145"/>
    <w:bookmarkStart w:id="146" w:name="Xec02f7cfb27a7f3fb5b1ed0a8b52c108740a54e"/>
    <w:p>
      <w:pPr>
        <w:pStyle w:val="Heading3"/>
      </w:pPr>
      <w:r>
        <w:t xml:space="preserve">III.7.4. Apport de l’intégration au CMMS open-source</w:t>
      </w:r>
    </w:p>
    <w:p>
      <w:pPr>
        <w:pStyle w:val="FirstParagraph"/>
      </w:pPr>
      <w:r>
        <w:rPr>
          <w:i/>
          <w:iCs/>
        </w:rPr>
        <w:t xml:space="preserve">[À compléter après déploiement — Discussion de la viabilité du prototype GMAO en termes de :</w:t>
      </w:r>
    </w:p>
    <w:p>
      <w:pPr>
        <w:pStyle w:val="Compact"/>
        <w:numPr>
          <w:ilvl w:val="0"/>
          <w:numId w:val="1034"/>
        </w:numPr>
      </w:pPr>
      <w:r>
        <w:rPr>
          <w:i/>
          <w:iCs/>
        </w:rPr>
        <w:t xml:space="preserve">Couverture fonctionnelle (vs ISO 14224) ;</w:t>
      </w:r>
    </w:p>
    <w:p>
      <w:pPr>
        <w:pStyle w:val="Compact"/>
        <w:numPr>
          <w:ilvl w:val="0"/>
          <w:numId w:val="1034"/>
        </w:numPr>
      </w:pPr>
      <w:r>
        <w:rPr>
          <w:i/>
          <w:iCs/>
        </w:rPr>
        <w:t xml:space="preserve">Coût total de possession (TCO) sur 5 ans : &lt; 200 USD vs 50–250 K USD pour SAP PM/Maximo ;</w:t>
      </w:r>
    </w:p>
    <w:p>
      <w:pPr>
        <w:pStyle w:val="Compact"/>
        <w:numPr>
          <w:ilvl w:val="0"/>
          <w:numId w:val="1034"/>
        </w:numPr>
      </w:pPr>
      <w:r>
        <w:rPr>
          <w:i/>
          <w:iCs/>
        </w:rPr>
        <w:t xml:space="preserve">Adéquation aux PME africaines ;</w:t>
      </w:r>
    </w:p>
    <w:p>
      <w:pPr>
        <w:pStyle w:val="Compact"/>
        <w:numPr>
          <w:ilvl w:val="0"/>
          <w:numId w:val="1034"/>
        </w:numPr>
      </w:pPr>
      <w:r>
        <w:rPr>
          <w:i/>
          <w:iCs/>
        </w:rPr>
        <w:t xml:space="preserve">Limites identifiées (mono-tenant, pas de mode hors-ligne, etc.).</w:t>
      </w:r>
    </w:p>
    <w:p>
      <w:pPr>
        <w:pStyle w:val="FirstParagraph"/>
      </w:pPr>
      <w:r>
        <w:rPr>
          <w:i/>
          <w:iCs/>
        </w:rPr>
        <w:t xml:space="preserve">Argumenter que le ratio coût/fonctionnalité ouvre un marché jusqu’ici inaccessible aux PME industrielles subsahariennes.]</w:t>
      </w:r>
    </w:p>
    <w:bookmarkEnd w:id="146"/>
    <w:bookmarkStart w:id="147" w:name="iii.7.5.-limites-du-travail"/>
    <w:p>
      <w:pPr>
        <w:pStyle w:val="Heading3"/>
      </w:pPr>
      <w:r>
        <w:t xml:space="preserve">III.7.5. Limites du travail</w:t>
      </w:r>
    </w:p>
    <w:p>
      <w:pPr>
        <w:pStyle w:val="FirstParagraph"/>
      </w:pPr>
      <w:r>
        <w:t xml:space="preserve">Plusieurs limites sont identifiées et doivent être prises en compte dans l’interprétation des résultats :</w:t>
      </w:r>
    </w:p>
    <w:p>
      <w:pPr>
        <w:pStyle w:val="BodyText"/>
      </w:pPr>
      <w:r>
        <w:rPr>
          <w:b/>
          <w:bCs/>
        </w:rPr>
        <w:t xml:space="preserve">Limites matérielles :</w:t>
      </w:r>
      <w:r>
        <w:t xml:space="preserve"> </w:t>
      </w:r>
      <w:r>
        <w:t xml:space="preserve">le fil de fer recuit utilisé dans le prototype n’est pas le matériau standard des pipelines COTCO (acier API 5L Grade B). Les valeurs absolues de</w:t>
      </w:r>
      <w:r>
        <w:t xml:space="preserve"> </w:t>
      </w:r>
      <w:r>
        <w:rPr>
          <w:i/>
          <w:iCs/>
        </w:rPr>
        <w:t xml:space="preserve">CR</w:t>
      </w:r>
      <w:r>
        <w:t xml:space="preserve"> </w:t>
      </w:r>
      <w:r>
        <w:t xml:space="preserve">mesurées ne sont pas directement transposables aux conditions industrielles sans facteur de correction de composition. Cette limitation est intentionnelle dans le cadre d’une preuve de concept, dont l’objectif est de valider la chaîne de mesure et l’algorithme et non de produire des chiffres industriellement certifiés.</w:t>
      </w:r>
    </w:p>
    <w:p>
      <w:pPr>
        <w:pStyle w:val="BodyText"/>
      </w:pPr>
      <w:r>
        <w:rPr>
          <w:b/>
          <w:bCs/>
        </w:rPr>
        <w:t xml:space="preserve">Limites du jeu de données :</w:t>
      </w:r>
      <w:r>
        <w:t xml:space="preserve"> </w:t>
      </w:r>
      <w:r>
        <w:t xml:space="preserve">quatre runs RTF, soit environ 1 200 à 1 800 points de mesure, constituent un jeu d’apprentissage minimal. Les métriques XGBoost obtenues sur ce jeu seront à confirmer sur un volume de données supérieur lors d’un déploiement étendu.</w:t>
      </w:r>
    </w:p>
    <w:p>
      <w:pPr>
        <w:pStyle w:val="BodyText"/>
      </w:pPr>
      <w:r>
        <w:rPr>
          <w:b/>
          <w:bCs/>
        </w:rPr>
        <w:t xml:space="preserve">Limites du milieu corrosif :</w:t>
      </w:r>
      <w:r>
        <w:t xml:space="preserve"> </w:t>
      </w:r>
      <w:r>
        <w:t xml:space="preserve">le Detar Plus est un produit commercial dont la composition exacte (concentrations HCl et H₃PO₄) varie selon les lots. La reproductibilité chimique exacte d’un run à l’autre est ainsi approximative.</w:t>
      </w:r>
    </w:p>
    <w:p>
      <w:pPr>
        <w:pStyle w:val="BodyText"/>
      </w:pPr>
      <w:r>
        <w:rPr>
          <w:b/>
          <w:bCs/>
        </w:rPr>
        <w:t xml:space="preserve">Limites de la validation :</w:t>
      </w:r>
      <w:r>
        <w:t xml:space="preserve"> </w:t>
      </w:r>
      <w:r>
        <w:t xml:space="preserve">l’absence de coupon gravimétrique parallèle prive ce travail d’une validation indépendante du</w:t>
      </w:r>
      <w:r>
        <w:t xml:space="preserve"> </w:t>
      </w:r>
      <w:r>
        <w:rPr>
          <w:i/>
          <w:iCs/>
        </w:rPr>
        <w:t xml:space="preserve">CR</w:t>
      </w:r>
      <w:r>
        <w:t xml:space="preserve"> </w:t>
      </w:r>
      <w:r>
        <w:t xml:space="preserve">mesuré par la sonde ER. Cette double validation ER + gravimétrie est recommandée pour les travaux futurs.</w:t>
      </w:r>
    </w:p>
    <w:p>
      <w:pPr>
        <w:pStyle w:val="BodyText"/>
      </w:pPr>
      <w:r>
        <w:rPr>
          <w:b/>
          <w:bCs/>
        </w:rPr>
        <w:t xml:space="preserve">Limites de transposition à l’industrie :</w:t>
      </w:r>
      <w:r>
        <w:t xml:space="preserve"> </w:t>
      </w:r>
      <w:r>
        <w:t xml:space="preserve">la transposition aux conditions COTCO réelles (acier API 5L, hydrocarbures, températures et pressions de procédé) nécessitera un recalibrage du modèle sur un jeu de données collecté en conditions industrielles — ce qui constitue précisément l’objet du stage en entreprise prévu à la suite de ce mémoire.</w:t>
      </w:r>
    </w:p>
    <w:p>
      <w:r>
        <w:pict>
          <v:rect style="width:0;height:1.5pt" o:hralign="center" o:hrstd="t" o:hr="t"/>
        </w:pict>
      </w:r>
    </w:p>
    <w:bookmarkEnd w:id="147"/>
    <w:bookmarkEnd w:id="148"/>
    <w:bookmarkStart w:id="149" w:name="iii.8.-conclusion-du-chapitre-iii"/>
    <w:p>
      <w:pPr>
        <w:pStyle w:val="Heading2"/>
      </w:pPr>
      <w:r>
        <w:t xml:space="preserve">III.8. Conclusion du Chapitre III</w:t>
      </w:r>
    </w:p>
    <w:p>
      <w:pPr>
        <w:pStyle w:val="FirstParagraph"/>
      </w:pPr>
      <w:r>
        <w:rPr>
          <w:i/>
          <w:iCs/>
        </w:rPr>
        <w:t xml:space="preserve">[À compléter après acquisition des données — Synthétiser les résultats des</w:t>
      </w:r>
      <w:r>
        <w:rPr>
          <w:i/>
          <w:iCs/>
        </w:rPr>
        <w:t xml:space="preserve"> </w:t>
      </w:r>
      <w:r>
        <w:rPr>
          <w:b/>
          <w:bCs/>
          <w:i/>
          <w:iCs/>
        </w:rPr>
        <w:t xml:space="preserve">quatre objectifs spécifiques</w:t>
      </w:r>
      <w:r>
        <w:rPr>
          <w:i/>
          <w:iCs/>
        </w:rPr>
        <w:t xml:space="preserve"> </w:t>
      </w:r>
      <w:r>
        <w:rPr>
          <w:i/>
          <w:iCs/>
        </w:rPr>
        <w:t xml:space="preserve">: (i) validation métrologi que de la sonde ER (résolution mΩ obtenue, stabilité), (ii) performance XGBoost (R², RMSE pour CR et RUL ; top-3 SHAP), (iii) diagnostic des régimes (matrice de confusion ; efficacité η mesurée de l’inhibiteur ; seuils calibrés), (iv) prototype GMAO (URL Vercel déployée ; KPIs maintenance calculés ; comparaison fonctionnelle avec GMAO industrielles). Statuer sur l’atteinte de chaque objectif et introduire la conclusion générale.]</w:t>
      </w:r>
    </w:p>
    <w:bookmarkEnd w:id="149"/>
    <w:bookmarkEnd w:id="150"/>
    <w:bookmarkStart w:id="151" w:name="conclusion-générale"/>
    <w:p>
      <w:pPr>
        <w:pStyle w:val="Heading1"/>
      </w:pPr>
      <w:r>
        <w:t xml:space="preserve">CONCLUSION GÉNÉRALE</w:t>
      </w:r>
    </w:p>
    <w:p>
      <w:pPr>
        <w:pStyle w:val="FirstParagraph"/>
      </w:pPr>
      <w:r>
        <w:t xml:space="preserve">Au terme de ce travail, qui s’inscrit dans un contexte de besoin industriel pressant — la corrosion représentant un coût annuel mondial de 2,5 billions USD et une menace permanente pour les infrastructures pétrolières camerounaises de COTCO — nous avons conçu, développé et</w:t>
      </w:r>
      <w:r>
        <w:t xml:space="preserve"> </w:t>
      </w:r>
      <w:r>
        <w:rPr>
          <w:b/>
          <w:bCs/>
        </w:rPr>
        <w:t xml:space="preserve">partiellement</w:t>
      </w:r>
      <w:r>
        <w:t xml:space="preserve"> </w:t>
      </w:r>
      <w:r>
        <w:t xml:space="preserve">validé expérimentalement un</w:t>
      </w:r>
      <w:r>
        <w:t xml:space="preserve"> </w:t>
      </w:r>
      <w:r>
        <w:rPr>
          <w:b/>
          <w:bCs/>
        </w:rPr>
        <w:t xml:space="preserve">système intégré de maintenance prédictive de la corrosion</w:t>
      </w:r>
      <w:r>
        <w:t xml:space="preserve"> </w:t>
      </w:r>
      <w:r>
        <w:t xml:space="preserve">matérialisant une</w:t>
      </w:r>
      <w:r>
        <w:t xml:space="preserve"> </w:t>
      </w:r>
      <w:r>
        <w:rPr>
          <w:b/>
          <w:bCs/>
        </w:rPr>
        <w:t xml:space="preserve">transition Industrie 3.0 → 4.0</w:t>
      </w:r>
      <w:r>
        <w:t xml:space="preserve">. Le prototype couvre la chaîne complète</w:t>
      </w:r>
      <w:r>
        <w:t xml:space="preserve"> </w:t>
      </w:r>
      <w:r>
        <w:rPr>
          <w:b/>
          <w:bCs/>
        </w:rPr>
        <w:t xml:space="preserve">détection → diagnostic → pronostic → décision → action</w:t>
      </w:r>
      <w:r>
        <w:t xml:space="preserve"> </w:t>
      </w:r>
      <w:r>
        <w:t xml:space="preserve">définie par la norme ISO 13381-1, et est articulé autour de</w:t>
      </w:r>
      <w:r>
        <w:t xml:space="preserve"> </w:t>
      </w:r>
      <w:r>
        <w:rPr>
          <w:b/>
          <w:bCs/>
        </w:rPr>
        <w:t xml:space="preserve">quatre composants intégrés</w:t>
      </w:r>
      <w:r>
        <w:t xml:space="preserve"> </w:t>
      </w:r>
      <w:r>
        <w:t xml:space="preserve">: une chaîne d’acquisition ER instrumentée IoT (ESP32 + HX711 + DS18B20), un modèle d’apprentissage automatique XGBoost à double sortie (CR + RUL) avec interprétabilité SHAP, un module de diagnostic des régimes de corrosion et d’alertes graduées, et une</w:t>
      </w:r>
      <w:r>
        <w:t xml:space="preserve"> </w:t>
      </w:r>
      <w:r>
        <w:rPr>
          <w:b/>
          <w:bCs/>
        </w:rPr>
        <w:t xml:space="preserve">application Streamlit intégrée par API REST à un CMMS open-source</w:t>
      </w:r>
      <w:r>
        <w:t xml:space="preserve"> </w:t>
      </w:r>
      <w:r>
        <w:t xml:space="preserve">(GLPI) pour la création automatique d’ordres de travail.</w:t>
      </w:r>
    </w:p>
    <w:p>
      <w:pPr>
        <w:pStyle w:val="BodyText"/>
      </w:pPr>
      <w:r>
        <w:rPr>
          <w:b/>
          <w:bCs/>
        </w:rPr>
        <w:t xml:space="preserve">Thèse centrale validée par ce travail :</w:t>
      </w:r>
      <w:r>
        <w:t xml:space="preserve"> </w:t>
      </w:r>
      <w:r>
        <w:t xml:space="preserve">à partir des données historiques qu’une entreprise possède déjà (cas COTCO, où des sondes ER commerciales sont en place depuis l’origine du SET), il est possible d’évoluer vers une couche prédictive supérieure (Industrie 4.0). Le prototype maison est</w:t>
      </w:r>
      <w:r>
        <w:t xml:space="preserve"> </w:t>
      </w:r>
      <w:r>
        <w:rPr>
          <w:b/>
          <w:bCs/>
        </w:rPr>
        <w:t xml:space="preserve">doublement transposable</w:t>
      </w:r>
      <w:r>
        <w:t xml:space="preserve"> </w:t>
      </w:r>
      <w:r>
        <w:t xml:space="preserve">: (a) en industrie, en branchant le pipeline ML sur les flux des sondes ER existantes via export DCS — le saut I3.0 → I4.0 est essentiellement logiciel et n’exige pas le remplacement matériel ; (b) en autonomie, comme système clé-en-main pour les PME industrielles africaines à budget réduit.</w:t>
      </w:r>
    </w:p>
    <w:p>
      <w:pPr>
        <w:pStyle w:val="BodyText"/>
      </w:pPr>
      <w:r>
        <w:rPr>
          <w:b/>
          <w:bCs/>
        </w:rPr>
        <w:t xml:space="preserve">Synthèse par objectif spécifique :</w:t>
      </w:r>
    </w:p>
    <w:p>
      <w:pPr>
        <w:numPr>
          <w:ilvl w:val="0"/>
          <w:numId w:val="1035"/>
        </w:numPr>
      </w:pPr>
      <w:r>
        <w:rPr>
          <w:b/>
          <w:bCs/>
        </w:rPr>
        <w:t xml:space="preserve">OS1 — Chaîne d’acquisition ER instrumentée IoT :</w:t>
      </w:r>
      <w:r>
        <w:t xml:space="preserve"> </w:t>
      </w:r>
      <w:r>
        <w:t xml:space="preserve">la sonde a été conçue et assemblée à partir de composants accessibles localement (ESP32, HX711, DS18B20, fil de fer, résistances). L’architecture pont de Wheatstone + HX711 24 bits + ESP32 en deep sleep pulsé a été démontrée fonctionnelle. La justification des choix technologiques a été consolidée en matrice de décision (§II.0.5).</w:t>
      </w:r>
      <w:r>
        <w:t xml:space="preserve"> </w:t>
      </w:r>
      <w:r>
        <w:rPr>
          <w:i/>
          <w:iCs/>
        </w:rPr>
        <w:t xml:space="preserve">[Les métriques de résolution finale et de stabilité seront ajoutées après les tests métrologiques.]</w:t>
      </w:r>
    </w:p>
    <w:p>
      <w:pPr>
        <w:numPr>
          <w:ilvl w:val="0"/>
          <w:numId w:val="1035"/>
        </w:numPr>
      </w:pPr>
      <w:r>
        <w:rPr>
          <w:b/>
          <w:bCs/>
        </w:rPr>
        <w:t xml:space="preserve">OS2 — Modèle XGBoost à double sortie :</w:t>
      </w:r>
      <w:r>
        <w:t xml:space="preserve"> </w:t>
      </w:r>
      <w:r>
        <w:t xml:space="preserve">le pipeline complet (nettoyage IQR + Savitzky-Golay, compensation thermique, feature engineering à 10 variables, validation croisée walk-forward TimeSeriesSplit, hyperparamètres XGBoost optimisés, interprétabilité SHAP) a été implémenté en Python. Le modèle est conçu pour être agnostique à la source des mesures (prototype maison ou sondes ER commerciales).</w:t>
      </w:r>
      <w:r>
        <w:t xml:space="preserve"> </w:t>
      </w:r>
      <w:r>
        <w:rPr>
          <w:i/>
          <w:iCs/>
        </w:rPr>
        <w:t xml:space="preserve">[Les métriques R² et RMSE pour CR et RUL seront ajoutées après les runs.]</w:t>
      </w:r>
    </w:p>
    <w:p>
      <w:pPr>
        <w:numPr>
          <w:ilvl w:val="0"/>
          <w:numId w:val="1035"/>
        </w:numPr>
      </w:pPr>
      <w:r>
        <w:rPr>
          <w:b/>
          <w:bCs/>
        </w:rPr>
        <w:t xml:space="preserve">OS3 — Diagnostic + évaluation inhibiteur + alertes :</w:t>
      </w:r>
      <w:r>
        <w:t xml:space="preserve"> </w:t>
      </w:r>
      <w:r>
        <w:t xml:space="preserve">un module de diagnostic des régimes de corrosion (5 classes : stable, accélération, passivation, adsorption inhibiteur, pré-rupture) a été spécifié par règles métier explicables. Le protocole d’évaluation de l’inhibiteur de la famille des imidazolines à deux concentrations (0,1 % et 0,5 % v/v), l’algorithme de détection du temps d’adsorption (changepoint) et le système d’alertes graduées vert/orange/rouge ont été définis.</w:t>
      </w:r>
      <w:r>
        <w:t xml:space="preserve"> </w:t>
      </w:r>
      <w:r>
        <w:rPr>
          <w:i/>
          <w:iCs/>
        </w:rPr>
        <w:t xml:space="preserve">[Valeurs numériques η, matrice de confusion et calibration finale à compléter après runs.]</w:t>
      </w:r>
    </w:p>
    <w:p>
      <w:pPr>
        <w:numPr>
          <w:ilvl w:val="0"/>
          <w:numId w:val="1035"/>
        </w:numPr>
      </w:pPr>
      <w:r>
        <w:rPr>
          <w:b/>
          <w:bCs/>
        </w:rPr>
        <w:t xml:space="preserve">OS4 — Intégration au CMMS open-source par API REST :</w:t>
      </w:r>
      <w:r>
        <w:t xml:space="preserve"> </w:t>
      </w:r>
      <w:r>
        <w:t xml:space="preserve">une matrice comparative des CMMS open-source candidats a conduit au choix de</w:t>
      </w:r>
      <w:r>
        <w:t xml:space="preserve"> </w:t>
      </w:r>
      <w:r>
        <w:rPr>
          <w:b/>
          <w:bCs/>
        </w:rPr>
        <w:t xml:space="preserve">GLPI</w:t>
      </w:r>
      <w:r>
        <w:t xml:space="preserve">. L’architecture d’intégration (Streamlit ↔ API REST GLPI), le mapping prédiction ML → ticket et les KPIs maintenance (MTBF, MTTR, η inhibition, précision modèle) côté CMMS ont été spécifiés.</w:t>
      </w:r>
      <w:r>
        <w:t xml:space="preserve"> </w:t>
      </w:r>
      <w:r>
        <w:rPr>
          <w:i/>
          <w:iCs/>
        </w:rPr>
        <w:t xml:space="preserve">[Démo end-to-end et KPIs réels à compléter après déploiement.]</w:t>
      </w:r>
    </w:p>
    <w:p>
      <w:pPr>
        <w:pStyle w:val="FirstParagraph"/>
      </w:pPr>
      <w:r>
        <w:rPr>
          <w:b/>
          <w:bCs/>
        </w:rPr>
        <w:t xml:space="preserve">Contribution centrale de ce travail :</w:t>
      </w:r>
      <w:r>
        <w:t xml:space="preserve"> </w:t>
      </w:r>
      <w:r>
        <w:t xml:space="preserve">la démonstration qu’une</w:t>
      </w:r>
      <w:r>
        <w:t xml:space="preserve"> </w:t>
      </w:r>
      <w:r>
        <w:rPr>
          <w:b/>
          <w:bCs/>
        </w:rPr>
        <w:t xml:space="preserve">transition Industrie 3.0 → 4.0</w:t>
      </w:r>
      <w:r>
        <w:t xml:space="preserve"> </w:t>
      </w:r>
      <w:r>
        <w:t xml:space="preserve">appliquée à la corrosion peut être opérée à partir de composants et services accessibles localement, et qu’elle est</w:t>
      </w:r>
      <w:r>
        <w:t xml:space="preserve"> </w:t>
      </w:r>
      <w:r>
        <w:rPr>
          <w:b/>
          <w:bCs/>
        </w:rPr>
        <w:t xml:space="preserve">doublement transposable</w:t>
      </w:r>
      <w:r>
        <w:t xml:space="preserve"> </w:t>
      </w:r>
      <w:r>
        <w:t xml:space="preserve">(opérateurs industriels disposant déjà d’instrumentation commerciale d’une part ; PME industrielles cherchant un déploiement autonome d’autre part). En conformité avec les définitions opérationnelles de l’Industrie 4.0 (Lasi et al., 2014 ; Lu, 2017 ; Xu et al., 2018), ce travail adresse explicitement</w:t>
      </w:r>
      <w:r>
        <w:t xml:space="preserve"> </w:t>
      </w:r>
      <w:r>
        <w:rPr>
          <w:b/>
          <w:bCs/>
        </w:rPr>
        <w:t xml:space="preserve">trois des cinq piliers</w:t>
      </w:r>
      <w:r>
        <w:t xml:space="preserve"> </w:t>
      </w:r>
      <w:r>
        <w:t xml:space="preserve">: (i)</w:t>
      </w:r>
      <w:r>
        <w:t xml:space="preserve"> </w:t>
      </w:r>
      <w:r>
        <w:rPr>
          <w:b/>
          <w:bCs/>
        </w:rPr>
        <w:t xml:space="preserve">interconnexion</w:t>
      </w:r>
      <w:r>
        <w:t xml:space="preserve"> </w:t>
      </w:r>
      <w:r>
        <w:t xml:space="preserve">(chaîne IoT ESP32) ; (ii)</w:t>
      </w:r>
      <w:r>
        <w:t xml:space="preserve"> </w:t>
      </w:r>
      <w:r>
        <w:rPr>
          <w:b/>
          <w:bCs/>
        </w:rPr>
        <w:t xml:space="preserve">transparence informationnelle</w:t>
      </w:r>
      <w:r>
        <w:t xml:space="preserve"> </w:t>
      </w:r>
      <w:r>
        <w:t xml:space="preserve">(dashboard Streamlit + CMMS centralisant mesures, prédictions et tickets) ; (iii)</w:t>
      </w:r>
      <w:r>
        <w:t xml:space="preserve"> </w:t>
      </w:r>
      <w:r>
        <w:rPr>
          <w:b/>
          <w:bCs/>
        </w:rPr>
        <w:t xml:space="preserve">décision décentralisée</w:t>
      </w:r>
      <w:r>
        <w:t xml:space="preserve"> </w:t>
      </w:r>
      <w:r>
        <w:t xml:space="preserve">(pronostic ML embarqué + recommandations d’inhibiteur). Les deux piliers restants —</w:t>
      </w:r>
      <w:r>
        <w:t xml:space="preserve"> </w:t>
      </w:r>
      <w:r>
        <w:rPr>
          <w:b/>
          <w:bCs/>
        </w:rPr>
        <w:t xml:space="preserve">boucle de rétroaction autonome</w:t>
      </w:r>
      <w:r>
        <w:t xml:space="preserve"> </w:t>
      </w:r>
      <w:r>
        <w:t xml:space="preserve">(commande automatique des pompes à inhibiteur) et</w:t>
      </w:r>
      <w:r>
        <w:t xml:space="preserve"> </w:t>
      </w:r>
      <w:r>
        <w:rPr>
          <w:b/>
          <w:bCs/>
        </w:rPr>
        <w:t xml:space="preserve">jumeau numérique complet</w:t>
      </w:r>
      <w:r>
        <w:t xml:space="preserve"> </w:t>
      </w:r>
      <w:r>
        <w:t xml:space="preserve">— sont identifiés comme perspectives. Cette contribution comble plusieurs gaps de la littérature : (i) l’absence d’études ML sur la corrosion en contexte africain ; (ii) l’absence de prédiction simultanée CR + RUL en protocole</w:t>
      </w:r>
      <w:r>
        <w:t xml:space="preserve"> </w:t>
      </w:r>
      <w:r>
        <w:rPr>
          <w:i/>
          <w:iCs/>
        </w:rPr>
        <w:t xml:space="preserve">run-to-failure</w:t>
      </w:r>
      <w:r>
        <w:t xml:space="preserve"> </w:t>
      </w:r>
      <w:r>
        <w:t xml:space="preserve">; (iii) l’absence d’études adressant explicitement la chaîne décision-action via une intégration CMMS open-source.</w:t>
      </w:r>
    </w:p>
    <w:p>
      <w:pPr>
        <w:pStyle w:val="BodyText"/>
      </w:pPr>
      <w:r>
        <w:rPr>
          <w:b/>
          <w:bCs/>
        </w:rPr>
        <w:t xml:space="preserve">Recommandations à l’attention de COTCO et des opérateurs pétroliers camerounais :</w:t>
      </w:r>
    </w:p>
    <w:p>
      <w:pPr>
        <w:pStyle w:val="Compact"/>
        <w:numPr>
          <w:ilvl w:val="0"/>
          <w:numId w:val="1036"/>
        </w:numPr>
      </w:pPr>
      <w:r>
        <w:rPr>
          <w:b/>
          <w:bCs/>
        </w:rPr>
        <w:t xml:space="preserve">Brancher le pipeline ML sur les flux des sondes ER existantes</w:t>
      </w:r>
      <w:r>
        <w:t xml:space="preserve"> </w:t>
      </w:r>
      <w:r>
        <w:t xml:space="preserve">(Cosasco, Roxar) via export DCS (OPC UA, Modbus TCP) — le saut I3.0 → I4.0 est principalement logiciel et n’exige pas le remplacement matériel ;</w:t>
      </w:r>
    </w:p>
    <w:p>
      <w:pPr>
        <w:pStyle w:val="Compact"/>
        <w:numPr>
          <w:ilvl w:val="0"/>
          <w:numId w:val="1036"/>
        </w:numPr>
      </w:pPr>
      <w:r>
        <w:t xml:space="preserve">Déployer le prototype d’acquisition autonome ESP32 sur les sections où le câblage DCS est absent ou indisponible (extension géographique de la couverture sans génie civil) ;</w:t>
      </w:r>
    </w:p>
    <w:p>
      <w:pPr>
        <w:pStyle w:val="Compact"/>
        <w:numPr>
          <w:ilvl w:val="0"/>
          <w:numId w:val="1036"/>
        </w:numPr>
      </w:pPr>
      <w:r>
        <w:t xml:space="preserve">Déployer une instance GLPI on-premise comme couche de structuration des ordres de travail liés à la corrosion, et y connecter par API les sorties du modèle ML ;</w:t>
      </w:r>
    </w:p>
    <w:p>
      <w:pPr>
        <w:pStyle w:val="Compact"/>
        <w:numPr>
          <w:ilvl w:val="0"/>
          <w:numId w:val="1036"/>
        </w:numPr>
      </w:pPr>
      <w:r>
        <w:t xml:space="preserve">Pour la phase de validation industrielle, ajouter des coupons gravimétriques (NACE SP0775) en parallèle pour disposer d’une validation indépendante des mesures ER ;</w:t>
      </w:r>
    </w:p>
    <w:p>
      <w:pPr>
        <w:pStyle w:val="Compact"/>
        <w:numPr>
          <w:ilvl w:val="0"/>
          <w:numId w:val="1036"/>
        </w:numPr>
      </w:pPr>
      <w:r>
        <w:t xml:space="preserve">Étudier l’interopérabilité du prototype avec le système PI Server existant via passerelle Modbus TCP, en attendant une éventuelle certification ATEX du module ESP32.</w:t>
      </w:r>
    </w:p>
    <w:p>
      <w:pPr>
        <w:pStyle w:val="FirstParagraph"/>
      </w:pPr>
      <w:r>
        <w:rPr>
          <w:b/>
          <w:bCs/>
        </w:rPr>
        <w:t xml:space="preserve">Recommandations à l’attention des PME industrielles africaines :</w:t>
      </w:r>
    </w:p>
    <w:p>
      <w:pPr>
        <w:pStyle w:val="Compact"/>
        <w:numPr>
          <w:ilvl w:val="0"/>
          <w:numId w:val="1037"/>
        </w:numPr>
      </w:pPr>
      <w:r>
        <w:t xml:space="preserve">Adopter l’architecture</w:t>
      </w:r>
      <w:r>
        <w:t xml:space="preserve"> </w:t>
      </w:r>
      <w:r>
        <w:rPr>
          <w:b/>
          <w:bCs/>
        </w:rPr>
        <w:t xml:space="preserve">Streamlit + GLPI</w:t>
      </w:r>
      <w:r>
        <w:t xml:space="preserve"> </w:t>
      </w:r>
      <w:r>
        <w:t xml:space="preserve">comme alternative crédible aux GMAO propriétaires (SAP PM, IBM Maximo, Mainpac) inaccessibles budgétairement ;</w:t>
      </w:r>
    </w:p>
    <w:p>
      <w:pPr>
        <w:pStyle w:val="Compact"/>
        <w:numPr>
          <w:ilvl w:val="0"/>
          <w:numId w:val="1037"/>
        </w:numPr>
      </w:pPr>
      <w:r>
        <w:t xml:space="preserve">Mutualiser le déploiement d’une instance GLPI multi-entité entre plusieurs PME pour amortir les coûts d’administration ;</w:t>
      </w:r>
    </w:p>
    <w:p>
      <w:pPr>
        <w:pStyle w:val="Compact"/>
        <w:numPr>
          <w:ilvl w:val="0"/>
          <w:numId w:val="1037"/>
        </w:numPr>
      </w:pPr>
      <w:r>
        <w:t xml:space="preserve">Adapter le mapping des champs prédiction → ticket au métier spécifique de chaque PME (agroalimentaire, ateliers mécaniques, mines artisanales) en gardant le noyau ML.</w:t>
      </w:r>
    </w:p>
    <w:p>
      <w:pPr>
        <w:pStyle w:val="FirstParagraph"/>
      </w:pPr>
      <w:r>
        <w:rPr>
          <w:b/>
          <w:bCs/>
        </w:rPr>
        <w:t xml:space="preserve">Recommandations pour les travaux de recherche futurs :</w:t>
      </w:r>
    </w:p>
    <w:p>
      <w:pPr>
        <w:pStyle w:val="Compact"/>
        <w:numPr>
          <w:ilvl w:val="0"/>
          <w:numId w:val="1038"/>
        </w:numPr>
      </w:pPr>
      <w:r>
        <w:t xml:space="preserve">Étendre le protocole à des milieux représentatifs des effluents COTCO réels (eau de formation + CO₂ + traces H₂S) pour valider la généralisation du modèle au-delà du laboratoire ;</w:t>
      </w:r>
    </w:p>
    <w:p>
      <w:pPr>
        <w:pStyle w:val="Compact"/>
        <w:numPr>
          <w:ilvl w:val="0"/>
          <w:numId w:val="1038"/>
        </w:numPr>
      </w:pPr>
      <w:r>
        <w:t xml:space="preserve">Tester des architectures ML alternatives (LSTM, Transformer temporel) sur jeu de données enrichi pour établir un benchmark comparatif vs XGBoost ;</w:t>
      </w:r>
    </w:p>
    <w:p>
      <w:pPr>
        <w:pStyle w:val="Compact"/>
        <w:numPr>
          <w:ilvl w:val="0"/>
          <w:numId w:val="1038"/>
        </w:numPr>
      </w:pPr>
      <w:r>
        <w:t xml:space="preserve">Intégrer une couche de communication LoRaWAN pour s’affranchir de la dépendance Wi-Fi et permettre un déploiement sur les sections isolées du pipeline Tchad-Cameroun (zones forestières) ;</w:t>
      </w:r>
    </w:p>
    <w:p>
      <w:pPr>
        <w:pStyle w:val="Compact"/>
        <w:numPr>
          <w:ilvl w:val="0"/>
          <w:numId w:val="1038"/>
        </w:numPr>
      </w:pPr>
      <w:r>
        <w:t xml:space="preserve">Étendre le module de diagnostic vers une approche ML supervisée (classification multi-classes sur données labélisées) ou non-supervisée (Isolation Forest pour la détection d’anomalies) ;</w:t>
      </w:r>
    </w:p>
    <w:p>
      <w:pPr>
        <w:pStyle w:val="Compact"/>
        <w:numPr>
          <w:ilvl w:val="0"/>
          <w:numId w:val="1038"/>
        </w:numPr>
      </w:pPr>
      <w:r>
        <w:rPr>
          <w:b/>
          <w:bCs/>
        </w:rPr>
        <w:t xml:space="preserve">Adresser le 4ᵉ pilier I4.0</w:t>
      </w:r>
      <w:r>
        <w:t xml:space="preserve"> </w:t>
      </w:r>
      <w:r>
        <w:t xml:space="preserve">(boucle de rétroaction autonome) en interconnectant le système prédictif aux pompes d’injection inhibiteur (smart control) ;</w:t>
      </w:r>
    </w:p>
    <w:p>
      <w:pPr>
        <w:pStyle w:val="Compact"/>
        <w:numPr>
          <w:ilvl w:val="0"/>
          <w:numId w:val="1038"/>
        </w:numPr>
      </w:pPr>
      <w:r>
        <w:rPr>
          <w:b/>
          <w:bCs/>
        </w:rPr>
        <w:t xml:space="preserve">Adresser le 5ᵉ pilier I4.0</w:t>
      </w:r>
      <w:r>
        <w:t xml:space="preserve"> </w:t>
      </w:r>
      <w:r>
        <w:t xml:space="preserve">(jumeau numérique complet) en intégrant le modèle ML à un environnement de simulation de la dégradation à 5-10 ans de la section pipeline.</w:t>
      </w:r>
    </w:p>
    <w:p>
      <w:pPr>
        <w:pStyle w:val="FirstParagraph"/>
      </w:pPr>
      <w:r>
        <w:t xml:space="preserve">Ce mémoire ouvre ainsi la voie à une</w:t>
      </w:r>
      <w:r>
        <w:t xml:space="preserve"> </w:t>
      </w:r>
      <w:r>
        <w:rPr>
          <w:b/>
          <w:bCs/>
        </w:rPr>
        <w:t xml:space="preserve">transition Industrie 4.0 maîtrisée</w:t>
      </w:r>
      <w:r>
        <w:t xml:space="preserve"> </w:t>
      </w:r>
      <w:r>
        <w:t xml:space="preserve">dans le secteur de la maintenance corrosion en Afrique subsaharienne — qu’il s’agisse d’opérateurs majeurs valorisant leurs flux de données existants ou de PME industrielles initiant leur transformation numérique sans investissement initial prohibitif.</w:t>
      </w:r>
    </w:p>
    <w:bookmarkEnd w:id="151"/>
    <w:bookmarkStart w:id="152" w:name="références-bibliographiques"/>
    <w:p>
      <w:pPr>
        <w:pStyle w:val="Heading1"/>
      </w:pPr>
      <w:r>
        <w:t xml:space="preserve">RÉFÉRENCES BIBLIOGRAPHIQUES</w:t>
      </w:r>
    </w:p>
    <w:p>
      <w:pPr>
        <w:pStyle w:val="BlockText"/>
      </w:pPr>
      <w:r>
        <w:rPr>
          <w:i/>
          <w:iCs/>
        </w:rPr>
        <w:t xml:space="preserve">Bibliographie en format APA. Le Pr MBOG recommande un minimum de 60 références scientifiques. La présente liste contient les références exploitées dans la rédaction et sera enrichie lors de la finalisation après la collecte des données expérimentales.</w:t>
      </w:r>
    </w:p>
    <w:p>
      <w:pPr>
        <w:numPr>
          <w:ilvl w:val="0"/>
          <w:numId w:val="1039"/>
        </w:numPr>
      </w:pPr>
      <w:r>
        <w:t xml:space="preserve">Adafruit. (2024).</w:t>
      </w:r>
      <w:r>
        <w:t xml:space="preserve"> </w:t>
      </w:r>
      <w:r>
        <w:rPr>
          <w:i/>
          <w:iCs/>
        </w:rPr>
        <w:t xml:space="preserve">Adafruit HX711 24-bit ADC for Load Cells / Strain Gauges</w:t>
      </w:r>
      <w:r>
        <w:t xml:space="preserve">. https://learn.adafruit.com/adafruit-hx711-24-bit-adc</w:t>
      </w:r>
    </w:p>
    <w:p>
      <w:pPr>
        <w:numPr>
          <w:ilvl w:val="0"/>
          <w:numId w:val="1039"/>
        </w:numPr>
      </w:pPr>
      <w:r>
        <w:t xml:space="preserve">Akash, S. (2024).</w:t>
      </w:r>
      <w:r>
        <w:t xml:space="preserve"> </w:t>
      </w:r>
      <w:r>
        <w:rPr>
          <w:i/>
          <w:iCs/>
        </w:rPr>
        <w:t xml:space="preserve">Decoding ISO 13381 Part 1: General Guidelines for Prognostics (RUL Estimation)</w:t>
      </w:r>
      <w:r>
        <w:t xml:space="preserve">. LinkedIn Pulse. https://www.linkedin.com/pulse/decoding-iso-13381-part-1-general-guidelines-rul-akash-shrivastava</w:t>
      </w:r>
    </w:p>
    <w:p>
      <w:pPr>
        <w:numPr>
          <w:ilvl w:val="0"/>
          <w:numId w:val="1039"/>
        </w:numPr>
      </w:pPr>
      <w:r>
        <w:t xml:space="preserve">AMPP. (2023).</w:t>
      </w:r>
      <w:r>
        <w:t xml:space="preserve"> </w:t>
      </w:r>
      <w:r>
        <w:rPr>
          <w:i/>
          <w:iCs/>
        </w:rPr>
        <w:t xml:space="preserve">SP0775-2023 — Preparation, Installation, Analysis, and Interpretation of Corrosion Coupons in Oilfield Operations</w:t>
      </w:r>
      <w:r>
        <w:t xml:space="preserve">. Association for Materials Protection and Performance.</w:t>
      </w:r>
    </w:p>
    <w:p>
      <w:pPr>
        <w:numPr>
          <w:ilvl w:val="0"/>
          <w:numId w:val="1039"/>
        </w:numPr>
      </w:pPr>
      <w:r>
        <w:t xml:space="preserve">Aniobi, C. C. (2018). Pipeline corrosion control in oil and gas industry: A case study of NNPC/PPMC system 2A pipeline.</w:t>
      </w:r>
      <w:r>
        <w:t xml:space="preserve"> </w:t>
      </w:r>
      <w:r>
        <w:rPr>
          <w:i/>
          <w:iCs/>
        </w:rPr>
        <w:t xml:space="preserve">Academia.edu</w:t>
      </w:r>
      <w:r>
        <w:t xml:space="preserve">.</w:t>
      </w:r>
    </w:p>
    <w:p>
      <w:pPr>
        <w:numPr>
          <w:ilvl w:val="0"/>
          <w:numId w:val="1039"/>
        </w:numPr>
      </w:pPr>
      <w:r>
        <w:t xml:space="preserve">API. (2016a).</w:t>
      </w:r>
      <w:r>
        <w:t xml:space="preserve"> </w:t>
      </w:r>
      <w:r>
        <w:rPr>
          <w:i/>
          <w:iCs/>
        </w:rPr>
        <w:t xml:space="preserve">API 570 — Piping Inspection Code: In-service Inspection, Rating, Repair, and Alteration of Piping Systems</w:t>
      </w:r>
      <w:r>
        <w:t xml:space="preserve"> </w:t>
      </w:r>
      <w:r>
        <w:t xml:space="preserve">(4th ed.). American Petroleum Institute.</w:t>
      </w:r>
    </w:p>
    <w:p>
      <w:pPr>
        <w:numPr>
          <w:ilvl w:val="0"/>
          <w:numId w:val="1039"/>
        </w:numPr>
      </w:pPr>
      <w:r>
        <w:t xml:space="preserve">API. (2016b).</w:t>
      </w:r>
      <w:r>
        <w:t xml:space="preserve"> </w:t>
      </w:r>
      <w:r>
        <w:rPr>
          <w:i/>
          <w:iCs/>
        </w:rPr>
        <w:t xml:space="preserve">API 580 — Risk-Based Inspection</w:t>
      </w:r>
      <w:r>
        <w:t xml:space="preserve"> </w:t>
      </w:r>
      <w:r>
        <w:t xml:space="preserve">(3rd ed.). American Petroleum Institute.</w:t>
      </w:r>
    </w:p>
    <w:p>
      <w:pPr>
        <w:numPr>
          <w:ilvl w:val="0"/>
          <w:numId w:val="1039"/>
        </w:numPr>
      </w:pPr>
      <w:r>
        <w:t xml:space="preserve">API. (2016c).</w:t>
      </w:r>
      <w:r>
        <w:t xml:space="preserve"> </w:t>
      </w:r>
      <w:r>
        <w:rPr>
          <w:i/>
          <w:iCs/>
        </w:rPr>
        <w:t xml:space="preserve">API 581 — Risk-Based Inspection Methodology</w:t>
      </w:r>
      <w:r>
        <w:t xml:space="preserve"> </w:t>
      </w:r>
      <w:r>
        <w:t xml:space="preserve">(3rd ed.). American Petroleum Institute.</w:t>
      </w:r>
    </w:p>
    <w:p>
      <w:pPr>
        <w:numPr>
          <w:ilvl w:val="0"/>
          <w:numId w:val="1039"/>
        </w:numPr>
      </w:pPr>
      <w:r>
        <w:t xml:space="preserve">ASTM International. (2012).</w:t>
      </w:r>
      <w:r>
        <w:t xml:space="preserve"> </w:t>
      </w:r>
      <w:r>
        <w:rPr>
          <w:i/>
          <w:iCs/>
        </w:rPr>
        <w:t xml:space="preserve">ASTM G31-12a — Standard Guide for Laboratory Immersion Corrosion Testing of Metals</w:t>
      </w:r>
      <w:r>
        <w:t xml:space="preserve">.</w:t>
      </w:r>
    </w:p>
    <w:p>
      <w:pPr>
        <w:numPr>
          <w:ilvl w:val="0"/>
          <w:numId w:val="1039"/>
        </w:numPr>
      </w:pPr>
      <w:r>
        <w:t xml:space="preserve">ASTM International. (2017).</w:t>
      </w:r>
      <w:r>
        <w:t xml:space="preserve"> </w:t>
      </w:r>
      <w:r>
        <w:rPr>
          <w:i/>
          <w:iCs/>
        </w:rPr>
        <w:t xml:space="preserve">ASTM G1-03 — Standard Practice for Preparing, Cleaning, and Evaluating Corrosion Test Specimens</w:t>
      </w:r>
      <w:r>
        <w:t xml:space="preserve">.</w:t>
      </w:r>
    </w:p>
    <w:p>
      <w:pPr>
        <w:numPr>
          <w:ilvl w:val="0"/>
          <w:numId w:val="1039"/>
        </w:numPr>
      </w:pPr>
      <w:r>
        <w:t xml:space="preserve">ASTM International. (2018).</w:t>
      </w:r>
      <w:r>
        <w:t xml:space="preserve"> </w:t>
      </w:r>
      <w:r>
        <w:rPr>
          <w:i/>
          <w:iCs/>
        </w:rPr>
        <w:t xml:space="preserve">ASTM G96-90 — Standard Guide for Online Monitoring of Corrosion in Plant Equipment (Electrical and Electrochemical Methods)</w:t>
      </w:r>
      <w:r>
        <w:t xml:space="preserve">.</w:t>
      </w:r>
    </w:p>
    <w:p>
      <w:pPr>
        <w:numPr>
          <w:ilvl w:val="0"/>
          <w:numId w:val="1039"/>
        </w:numPr>
      </w:pPr>
      <w:r>
        <w:t xml:space="preserve">AVIA Semiconductor. (2017).</w:t>
      </w:r>
      <w:r>
        <w:t xml:space="preserve"> </w:t>
      </w:r>
      <w:r>
        <w:rPr>
          <w:i/>
          <w:iCs/>
        </w:rPr>
        <w:t xml:space="preserve">HX711 — 24-bit Analog-to-Digital Converter (ADC) for Weighing Scales</w:t>
      </w:r>
      <w:r>
        <w:t xml:space="preserve">. Datasheet rev 2.0.</w:t>
      </w:r>
    </w:p>
    <w:p>
      <w:pPr>
        <w:numPr>
          <w:ilvl w:val="0"/>
          <w:numId w:val="1039"/>
        </w:numPr>
      </w:pPr>
      <w:r>
        <w:t xml:space="preserve">Bard, A. J., &amp; Faulkner, L. R. (2001).</w:t>
      </w:r>
      <w:r>
        <w:t xml:space="preserve"> </w:t>
      </w:r>
      <w:r>
        <w:rPr>
          <w:i/>
          <w:iCs/>
        </w:rPr>
        <w:t xml:space="preserve">Electrochemical Methods: Fundamentals and Applications</w:t>
      </w:r>
      <w:r>
        <w:t xml:space="preserve"> </w:t>
      </w:r>
      <w:r>
        <w:t xml:space="preserve">(2nd ed.). Wiley.</w:t>
      </w:r>
    </w:p>
    <w:p>
      <w:pPr>
        <w:numPr>
          <w:ilvl w:val="0"/>
          <w:numId w:val="1039"/>
        </w:numPr>
      </w:pPr>
      <w:r>
        <w:t xml:space="preserve">Bergmeir, C., &amp; Benítez, J. M. (2012). On the use of cross-validation for time series predictor evaluation.</w:t>
      </w:r>
      <w:r>
        <w:t xml:space="preserve"> </w:t>
      </w:r>
      <w:r>
        <w:rPr>
          <w:i/>
          <w:iCs/>
        </w:rPr>
        <w:t xml:space="preserve">Information Sciences</w:t>
      </w:r>
      <w:r>
        <w:t xml:space="preserve">, 191, 192–213.</w:t>
      </w:r>
    </w:p>
    <w:p>
      <w:pPr>
        <w:numPr>
          <w:ilvl w:val="0"/>
          <w:numId w:val="1039"/>
        </w:numPr>
      </w:pPr>
      <w:r>
        <w:t xml:space="preserve">Cameroun, République du. (1996).</w:t>
      </w:r>
      <w:r>
        <w:t xml:space="preserve"> </w:t>
      </w:r>
      <w:r>
        <w:rPr>
          <w:i/>
          <w:iCs/>
        </w:rPr>
        <w:t xml:space="preserve">Loi-cadre n° 96/12 du 5 août 1996 relative à la gestion de l’environnement</w:t>
      </w:r>
      <w:r>
        <w:t xml:space="preserve">.</w:t>
      </w:r>
    </w:p>
    <w:p>
      <w:pPr>
        <w:numPr>
          <w:ilvl w:val="0"/>
          <w:numId w:val="1039"/>
        </w:numPr>
      </w:pPr>
      <w:r>
        <w:t xml:space="preserve">Cameroun, République du. (1999).</w:t>
      </w:r>
      <w:r>
        <w:t xml:space="preserve"> </w:t>
      </w:r>
      <w:r>
        <w:rPr>
          <w:i/>
          <w:iCs/>
        </w:rPr>
        <w:t xml:space="preserve">Loi n° 99/013 du 22 décembre 1999 portant Code Pétrolier</w:t>
      </w:r>
      <w:r>
        <w:t xml:space="preserve">.</w:t>
      </w:r>
    </w:p>
    <w:p>
      <w:pPr>
        <w:numPr>
          <w:ilvl w:val="0"/>
          <w:numId w:val="1039"/>
        </w:numPr>
      </w:pPr>
      <w:r>
        <w:t xml:space="preserve">Cameroun, République du. (2000).</w:t>
      </w:r>
      <w:r>
        <w:t xml:space="preserve"> </w:t>
      </w:r>
      <w:r>
        <w:rPr>
          <w:i/>
          <w:iCs/>
        </w:rPr>
        <w:t xml:space="preserve">Décret n° 2000/465 du 30 juin 2000 fixant les conditions d’exploitation des hydrocarbures</w:t>
      </w:r>
      <w:r>
        <w:t xml:space="preserve">.</w:t>
      </w:r>
    </w:p>
    <w:p>
      <w:pPr>
        <w:numPr>
          <w:ilvl w:val="0"/>
          <w:numId w:val="1039"/>
        </w:numPr>
      </w:pPr>
      <w:r>
        <w:t xml:space="preserve">CEN (Comité européen de normalisation). (2018).</w:t>
      </w:r>
      <w:r>
        <w:t xml:space="preserve"> </w:t>
      </w:r>
      <w:r>
        <w:rPr>
          <w:i/>
          <w:iCs/>
        </w:rPr>
        <w:t xml:space="preserve">EN 13306:2018 — Maintenance — Maintenance terminology</w:t>
      </w:r>
      <w:r>
        <w:t xml:space="preserve">.</w:t>
      </w:r>
    </w:p>
    <w:p>
      <w:pPr>
        <w:numPr>
          <w:ilvl w:val="0"/>
          <w:numId w:val="1039"/>
        </w:numPr>
      </w:pPr>
      <w:r>
        <w:t xml:space="preserve">Chad-Cameroon Petroleum Development and Pipeline Project. (2024).</w:t>
      </w:r>
      <w:r>
        <w:t xml:space="preserve"> </w:t>
      </w:r>
      <w:r>
        <w:rPr>
          <w:i/>
          <w:iCs/>
        </w:rPr>
        <w:t xml:space="preserve">Wikipedia</w:t>
      </w:r>
      <w:r>
        <w:t xml:space="preserve">. https://en.wikipedia.org/wiki/Chad%E2%80%93Cameroon_Petroleum_Development_and_Pipeline_Project</w:t>
      </w:r>
    </w:p>
    <w:p>
      <w:pPr>
        <w:numPr>
          <w:ilvl w:val="0"/>
          <w:numId w:val="1039"/>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numPr>
          <w:ilvl w:val="0"/>
          <w:numId w:val="1039"/>
        </w:numPr>
      </w:pPr>
      <w:r>
        <w:t xml:space="preserve">Cheng, Y. F., &amp; Niu, L. (2018). Predicting corrosion rates of steel pipelines using machine learning.</w:t>
      </w:r>
      <w:r>
        <w:t xml:space="preserve"> </w:t>
      </w:r>
      <w:r>
        <w:rPr>
          <w:i/>
          <w:iCs/>
        </w:rPr>
        <w:t xml:space="preserve">Corrosion Science</w:t>
      </w:r>
      <w:r>
        <w:t xml:space="preserve">, 145, 170–182.</w:t>
      </w:r>
    </w:p>
    <w:p>
      <w:pPr>
        <w:numPr>
          <w:ilvl w:val="0"/>
          <w:numId w:val="1039"/>
        </w:numPr>
      </w:pPr>
      <w:r>
        <w:t xml:space="preserve">Coelho, L. B. (2022). Reviewing machine learning of corrosion prediction in a data-oriented perspective.</w:t>
      </w:r>
      <w:r>
        <w:t xml:space="preserve"> </w:t>
      </w:r>
      <w:r>
        <w:rPr>
          <w:i/>
          <w:iCs/>
        </w:rPr>
        <w:t xml:space="preserve">npj Materials Degradation</w:t>
      </w:r>
      <w:r>
        <w:t xml:space="preserve">, 6, 8. https://doi.org/10.1038/s41529-022-00218-4</w:t>
      </w:r>
    </w:p>
    <w:p>
      <w:pPr>
        <w:numPr>
          <w:ilvl w:val="0"/>
          <w:numId w:val="1039"/>
        </w:numPr>
      </w:pPr>
      <w:r>
        <w:t xml:space="preserve">Cosasco. (2024).</w:t>
      </w:r>
      <w:r>
        <w:t xml:space="preserve"> </w:t>
      </w:r>
      <w:r>
        <w:rPr>
          <w:i/>
          <w:iCs/>
        </w:rPr>
        <w:t xml:space="preserve">Dual Sensor Electrical Resistance (ER) Temperature Probes</w:t>
      </w:r>
      <w:r>
        <w:t xml:space="preserve">. https://www.cosasco.com/product/dual-sensor-electrical-resistance-er-temperature-probes</w:t>
      </w:r>
    </w:p>
    <w:p>
      <w:pPr>
        <w:numPr>
          <w:ilvl w:val="0"/>
          <w:numId w:val="1039"/>
        </w:numPr>
      </w:pPr>
      <w:r>
        <w:t xml:space="preserve">COTCO. (2024).</w:t>
      </w:r>
      <w:r>
        <w:t xml:space="preserve"> </w:t>
      </w:r>
      <w:r>
        <w:rPr>
          <w:i/>
          <w:iCs/>
        </w:rPr>
        <w:t xml:space="preserve">Cameroon Oil Transportation Company — COTCO in brief</w:t>
      </w:r>
      <w:r>
        <w:t xml:space="preserve">. https://cotco-sa.cm/en/cotco-in-brief/</w:t>
      </w:r>
    </w:p>
    <w:p>
      <w:pPr>
        <w:numPr>
          <w:ilvl w:val="0"/>
          <w:numId w:val="1039"/>
        </w:numPr>
      </w:pPr>
      <w:r>
        <w:t xml:space="preserve">de Waard, C., &amp; Milliams, D. E. (1975). Carbonic acid corrosion of steel.</w:t>
      </w:r>
      <w:r>
        <w:t xml:space="preserve"> </w:t>
      </w:r>
      <w:r>
        <w:rPr>
          <w:i/>
          <w:iCs/>
        </w:rPr>
        <w:t xml:space="preserve">Corrosion</w:t>
      </w:r>
      <w:r>
        <w:t xml:space="preserve">, 31(5), 177–181.</w:t>
      </w:r>
    </w:p>
    <w:p>
      <w:pPr>
        <w:numPr>
          <w:ilvl w:val="0"/>
          <w:numId w:val="1039"/>
        </w:numPr>
      </w:pPr>
      <w:r>
        <w:t xml:space="preserve">de Waard, C., Lotz, U., &amp; Milliams, D. E. (1991). Predictive model for CO₂ corrosion engineering in wet natural gas pipelines.</w:t>
      </w:r>
      <w:r>
        <w:t xml:space="preserve"> </w:t>
      </w:r>
      <w:r>
        <w:rPr>
          <w:i/>
          <w:iCs/>
        </w:rPr>
        <w:t xml:space="preserve">Corrosion</w:t>
      </w:r>
      <w:r>
        <w:t xml:space="preserve">, 47(12), 976–985.</w:t>
      </w:r>
    </w:p>
    <w:p>
      <w:pPr>
        <w:numPr>
          <w:ilvl w:val="0"/>
          <w:numId w:val="1039"/>
        </w:numPr>
      </w:pPr>
      <w:r>
        <w:t xml:space="preserve">Egbule, P. E., et al. (2018). Pipeline corrosion control in oil and gas industry: A case study of NNPC/PPMC pipelines.</w:t>
      </w:r>
      <w:r>
        <w:t xml:space="preserve"> </w:t>
      </w:r>
      <w:r>
        <w:rPr>
          <w:i/>
          <w:iCs/>
        </w:rPr>
        <w:t xml:space="preserve">Academia.edu</w:t>
      </w:r>
      <w:r>
        <w:t xml:space="preserve">.</w:t>
      </w:r>
    </w:p>
    <w:p>
      <w:pPr>
        <w:numPr>
          <w:ilvl w:val="0"/>
          <w:numId w:val="1039"/>
        </w:numPr>
      </w:pPr>
      <w:r>
        <w:t xml:space="preserve">Espressif Systems. (2024).</w:t>
      </w:r>
      <w:r>
        <w:t xml:space="preserve"> </w:t>
      </w:r>
      <w:r>
        <w:rPr>
          <w:i/>
          <w:iCs/>
        </w:rPr>
        <w:t xml:space="preserve">ESP32 Datasheet — Version 4.4</w:t>
      </w:r>
      <w:r>
        <w:t xml:space="preserve">. https://www.espressif.com/en/products/socs/esp32</w:t>
      </w:r>
    </w:p>
    <w:p>
      <w:pPr>
        <w:numPr>
          <w:ilvl w:val="0"/>
          <w:numId w:val="1039"/>
        </w:numPr>
      </w:pPr>
      <w:r>
        <w:t xml:space="preserve">ExxonMobil. (2011).</w:t>
      </w:r>
      <w:r>
        <w:t xml:space="preserve"> </w:t>
      </w:r>
      <w:r>
        <w:rPr>
          <w:i/>
          <w:iCs/>
        </w:rPr>
        <w:t xml:space="preserve">Chad/Cameroon Development Project — Project Update No. 30 — Mid-Year Report 2011</w:t>
      </w:r>
      <w:r>
        <w:t xml:space="preserve">.</w:t>
      </w:r>
    </w:p>
    <w:p>
      <w:pPr>
        <w:numPr>
          <w:ilvl w:val="0"/>
          <w:numId w:val="1039"/>
        </w:numPr>
      </w:pPr>
      <w:r>
        <w:t xml:space="preserve">Faraday, M. (1834). On electrical decomposition.</w:t>
      </w:r>
      <w:r>
        <w:t xml:space="preserve"> </w:t>
      </w:r>
      <w:r>
        <w:rPr>
          <w:i/>
          <w:iCs/>
        </w:rPr>
        <w:t xml:space="preserve">Philosophical Transactions of the Royal Society</w:t>
      </w:r>
      <w:r>
        <w:t xml:space="preserve">, 124, 77–122.</w:t>
      </w:r>
    </w:p>
    <w:p>
      <w:pPr>
        <w:numPr>
          <w:ilvl w:val="0"/>
          <w:numId w:val="1039"/>
        </w:numPr>
      </w:pPr>
      <w:r>
        <w:t xml:space="preserve">Hassanzadeh, S., et al. (2024). Application of electrical resistance probes for corrosion monitoring and cathodic protection assessment of offshore structures.</w:t>
      </w:r>
      <w:r>
        <w:t xml:space="preserve"> </w:t>
      </w:r>
      <w:r>
        <w:rPr>
          <w:i/>
          <w:iCs/>
        </w:rPr>
        <w:t xml:space="preserve">Materials and Corrosion (Wiley)</w:t>
      </w:r>
      <w:r>
        <w:t xml:space="preserve">. https://doi.org/10.1002/maco.70138</w:t>
      </w:r>
    </w:p>
    <w:p>
      <w:pPr>
        <w:numPr>
          <w:ilvl w:val="0"/>
          <w:numId w:val="1039"/>
        </w:numPr>
      </w:pPr>
      <w:r>
        <w:t xml:space="preserve">Heydari, M., &amp; Talebpour, A. (2024). Synthesis of Gemini-type imidazoline quaternary ammonium salt using by-product fatty acid as corrosion inhibitor for Q235 steel.</w:t>
      </w:r>
      <w:r>
        <w:t xml:space="preserve"> </w:t>
      </w:r>
      <w:r>
        <w:rPr>
          <w:i/>
          <w:iCs/>
        </w:rPr>
        <w:t xml:space="preserve">Scientific Reports</w:t>
      </w:r>
      <w:r>
        <w:t xml:space="preserve">, 14, article 64671.</w:t>
      </w:r>
    </w:p>
    <w:p>
      <w:pPr>
        <w:numPr>
          <w:ilvl w:val="0"/>
          <w:numId w:val="1039"/>
        </w:numPr>
      </w:pPr>
      <w:r>
        <w:t xml:space="preserve">HSPublishing. (2023).</w:t>
      </w:r>
      <w:r>
        <w:t xml:space="preserve"> </w:t>
      </w:r>
      <w:r>
        <w:rPr>
          <w:i/>
          <w:iCs/>
        </w:rPr>
        <w:t xml:space="preserve">Oil and gas pipeline corrosion monitoring and prevention</w:t>
      </w:r>
      <w:r>
        <w:t xml:space="preserve">.</w:t>
      </w:r>
      <w:r>
        <w:t xml:space="preserve"> </w:t>
      </w:r>
      <w:r>
        <w:rPr>
          <w:i/>
          <w:iCs/>
        </w:rPr>
        <w:t xml:space="preserve">Journal of Research in Engineering and Computer Sciences</w:t>
      </w:r>
      <w:r>
        <w:t xml:space="preserve">, https://hspublishing.org/JRECS/article/download/114/105</w:t>
      </w:r>
    </w:p>
    <w:p>
      <w:pPr>
        <w:numPr>
          <w:ilvl w:val="0"/>
          <w:numId w:val="1039"/>
        </w:numPr>
      </w:pPr>
      <w:r>
        <w:t xml:space="preserve">Hu, J., et al. (2024). Prediction of the internal corrosion rate for oil and gas pipelines and influence factor analysis with interpretable ensemble learning.</w:t>
      </w:r>
      <w:r>
        <w:t xml:space="preserve"> </w:t>
      </w:r>
      <w:r>
        <w:rPr>
          <w:i/>
          <w:iCs/>
        </w:rPr>
        <w:t xml:space="preserve">International Journal of Pressure Vessels and Piping</w:t>
      </w:r>
      <w:r>
        <w:t xml:space="preserve">. https://doi.org/10.1016/j.ijpvp.2024.105400</w:t>
      </w:r>
    </w:p>
    <w:p>
      <w:pPr>
        <w:numPr>
          <w:ilvl w:val="0"/>
          <w:numId w:val="1039"/>
        </w:numPr>
      </w:pPr>
      <w:r>
        <w:t xml:space="preserve">Hyndman, R. J., &amp; Koehler, A. B. (2006). Another look at measures of forecast accuracy.</w:t>
      </w:r>
      <w:r>
        <w:t xml:space="preserve"> </w:t>
      </w:r>
      <w:r>
        <w:rPr>
          <w:i/>
          <w:iCs/>
        </w:rPr>
        <w:t xml:space="preserve">International Journal of Forecasting</w:t>
      </w:r>
      <w:r>
        <w:t xml:space="preserve">, 22(4), 679–688.</w:t>
      </w:r>
    </w:p>
    <w:p>
      <w:pPr>
        <w:numPr>
          <w:ilvl w:val="0"/>
          <w:numId w:val="1039"/>
        </w:numPr>
      </w:pPr>
      <w:r>
        <w:t xml:space="preserve">Inspectioneering. (2016, March 8). NACE study estimates global cost of corrosion at $2.5 trillion annually.</w:t>
      </w:r>
      <w:r>
        <w:t xml:space="preserve"> </w:t>
      </w:r>
      <w:r>
        <w:rPr>
          <w:i/>
          <w:iCs/>
        </w:rPr>
        <w:t xml:space="preserve">Inspectioneering</w:t>
      </w:r>
      <w:r>
        <w:t xml:space="preserve">. https://inspectioneering.com/news/2016-03-08/5202</w:t>
      </w:r>
    </w:p>
    <w:p>
      <w:pPr>
        <w:numPr>
          <w:ilvl w:val="0"/>
          <w:numId w:val="1039"/>
        </w:numPr>
      </w:pPr>
      <w:r>
        <w:t xml:space="preserve">ISO. (2015a).</w:t>
      </w:r>
      <w:r>
        <w:t xml:space="preserve"> </w:t>
      </w:r>
      <w:r>
        <w:rPr>
          <w:i/>
          <w:iCs/>
        </w:rPr>
        <w:t xml:space="preserve">ISO 8044:2015 — Corrosion of metals and alloys — Basic terms and definitions</w:t>
      </w:r>
      <w:r>
        <w:t xml:space="preserve">.</w:t>
      </w:r>
    </w:p>
    <w:p>
      <w:pPr>
        <w:numPr>
          <w:ilvl w:val="0"/>
          <w:numId w:val="1039"/>
        </w:numPr>
      </w:pPr>
      <w:r>
        <w:t xml:space="preserve">ISO. (2015b).</w:t>
      </w:r>
      <w:r>
        <w:t xml:space="preserve"> </w:t>
      </w:r>
      <w:r>
        <w:rPr>
          <w:i/>
          <w:iCs/>
        </w:rPr>
        <w:t xml:space="preserve">ISO 13381-1:2015 — Condition monitoring and diagnostics of machines — Prognostics — Part 1: General guidelines</w:t>
      </w:r>
      <w:r>
        <w:t xml:space="preserve">.</w:t>
      </w:r>
    </w:p>
    <w:p>
      <w:pPr>
        <w:numPr>
          <w:ilvl w:val="0"/>
          <w:numId w:val="1039"/>
        </w:numPr>
      </w:pPr>
      <w:r>
        <w:t xml:space="preserve">ISO. (2020).</w:t>
      </w:r>
      <w:r>
        <w:t xml:space="preserve"> </w:t>
      </w:r>
      <w:r>
        <w:rPr>
          <w:i/>
          <w:iCs/>
        </w:rPr>
        <w:t xml:space="preserve">ISO 15156-1:2020 — Petroleum and natural gas industries — Materials for use in H₂S-containing environments in oil and gas production</w:t>
      </w:r>
      <w:r>
        <w:t xml:space="preserve">.</w:t>
      </w:r>
    </w:p>
    <w:p>
      <w:pPr>
        <w:numPr>
          <w:ilvl w:val="0"/>
          <w:numId w:val="1039"/>
        </w:numPr>
      </w:pPr>
      <w:r>
        <w:t xml:space="preserve">Koch, G. H., Brongers, M. P. H., Thompson, N. G., Virmani, Y. P., &amp; Payer, J. H. (2016).</w:t>
      </w:r>
      <w:r>
        <w:t xml:space="preserve"> </w:t>
      </w:r>
      <w:r>
        <w:rPr>
          <w:i/>
          <w:iCs/>
        </w:rPr>
        <w:t xml:space="preserve">International Measures of Prevention, Application, and Economics of Corrosion Technology (IMPACT) Study</w:t>
      </w:r>
      <w:r>
        <w:t xml:space="preserve">. NACE International. http://impact.nace.org/</w:t>
      </w:r>
    </w:p>
    <w:p>
      <w:pPr>
        <w:numPr>
          <w:ilvl w:val="0"/>
          <w:numId w:val="1039"/>
        </w:numPr>
      </w:pPr>
      <w:r>
        <w:t xml:space="preserve">Liu, J., et al. (2025). Intelligent prediction model for pitting corrosion risk in pipelines using developed ResNet and feature reconstruction with interpretability analysis.</w:t>
      </w:r>
      <w:r>
        <w:t xml:space="preserve"> </w:t>
      </w:r>
      <w:r>
        <w:rPr>
          <w:i/>
          <w:iCs/>
        </w:rPr>
        <w:t xml:space="preserve">Reliability Engineering &amp; System Safety</w:t>
      </w:r>
      <w:r>
        <w:t xml:space="preserve">, 257, 110548.</w:t>
      </w:r>
    </w:p>
    <w:p>
      <w:pPr>
        <w:numPr>
          <w:ilvl w:val="0"/>
          <w:numId w:val="1039"/>
        </w:numPr>
      </w:pPr>
      <w:r>
        <w:t xml:space="preserve">Liu, Y., et al. (2022). A review: Prediction method for the remaining useful life of the mechanical system.</w:t>
      </w:r>
      <w:r>
        <w:t xml:space="preserve"> </w:t>
      </w:r>
      <w:r>
        <w:rPr>
          <w:i/>
          <w:iCs/>
        </w:rPr>
        <w:t xml:space="preserve">Journal of Failure Analysis and Prevention</w:t>
      </w:r>
      <w:r>
        <w:t xml:space="preserve">, 22, 2119–2137. https://doi.org/10.1007/s11668-022-01532-4</w:t>
      </w:r>
    </w:p>
    <w:p>
      <w:pPr>
        <w:numPr>
          <w:ilvl w:val="0"/>
          <w:numId w:val="1039"/>
        </w:numPr>
      </w:pPr>
      <w:r>
        <w:t xml:space="preserve">Lu, B. T., &amp; Luo, J. L. (2016). Electrochemical study of corrosion inhibition of imidazoline derivatives on mild steel.</w:t>
      </w:r>
      <w:r>
        <w:t xml:space="preserve"> </w:t>
      </w:r>
      <w:r>
        <w:rPr>
          <w:i/>
          <w:iCs/>
        </w:rPr>
        <w:t xml:space="preserve">Corrosion Science</w:t>
      </w:r>
      <w:r>
        <w:t xml:space="preserve">, 105, 1–10.</w:t>
      </w:r>
    </w:p>
    <w:p>
      <w:pPr>
        <w:numPr>
          <w:ilvl w:val="0"/>
          <w:numId w:val="1039"/>
        </w:numPr>
      </w:pPr>
      <w:r>
        <w:t xml:space="preserve">Lundberg, S. M., &amp; Lee, S. I. (2017). A unified approach to interpreting model predictions.</w:t>
      </w:r>
      <w:r>
        <w:t xml:space="preserve"> </w:t>
      </w:r>
      <w:r>
        <w:rPr>
          <w:i/>
          <w:iCs/>
        </w:rPr>
        <w:t xml:space="preserve">Advances in Neural Information Processing Systems (NeurIPS)</w:t>
      </w:r>
      <w:r>
        <w:t xml:space="preserve">, 30, 4768–4777.</w:t>
      </w:r>
    </w:p>
    <w:p>
      <w:pPr>
        <w:numPr>
          <w:ilvl w:val="0"/>
          <w:numId w:val="1039"/>
        </w:numPr>
      </w:pPr>
      <w:r>
        <w:t xml:space="preserve">Ma, Z., Zhao, Y., &amp; Wang, L. (2021). Predicting pipeline corrosion rate using gradient boosting algorithms.</w:t>
      </w:r>
      <w:r>
        <w:t xml:space="preserve"> </w:t>
      </w:r>
      <w:r>
        <w:rPr>
          <w:i/>
          <w:iCs/>
        </w:rPr>
        <w:t xml:space="preserve">International Journal of Pressure Vessels and Piping</w:t>
      </w:r>
      <w:r>
        <w:t xml:space="preserve">, 192, 104396.</w:t>
      </w:r>
    </w:p>
    <w:p>
      <w:pPr>
        <w:numPr>
          <w:ilvl w:val="0"/>
          <w:numId w:val="1039"/>
        </w:numPr>
      </w:pPr>
      <w:r>
        <w:t xml:space="preserve">Mansfeld, F. (2014). Recent developments in corrosion measurement techniques.</w:t>
      </w:r>
      <w:r>
        <w:t xml:space="preserve"> </w:t>
      </w:r>
      <w:r>
        <w:rPr>
          <w:i/>
          <w:iCs/>
        </w:rPr>
        <w:t xml:space="preserve">Materials and Corrosion</w:t>
      </w:r>
      <w:r>
        <w:t xml:space="preserve">, 65(7), 631–638.</w:t>
      </w:r>
    </w:p>
    <w:p>
      <w:pPr>
        <w:numPr>
          <w:ilvl w:val="0"/>
          <w:numId w:val="1039"/>
        </w:numPr>
      </w:pPr>
      <w:r>
        <w:t xml:space="preserve">Lasi, H., Fettke, P., Kemper, H. G., Feld, T., et Hoffmann, M. (2014). Industry 4.0.</w:t>
      </w:r>
      <w:r>
        <w:t xml:space="preserve"> </w:t>
      </w:r>
      <w:r>
        <w:rPr>
          <w:i/>
          <w:iCs/>
        </w:rPr>
        <w:t xml:space="preserve">Business &amp; Information Systems Engineering</w:t>
      </w:r>
      <w:r>
        <w:t xml:space="preserve">, 6(4), 239-242. https://doi.org/10.1007/s12599-014-0334-4</w:t>
      </w:r>
    </w:p>
    <w:p>
      <w:pPr>
        <w:numPr>
          <w:ilvl w:val="0"/>
          <w:numId w:val="1039"/>
        </w:numPr>
      </w:pPr>
      <w:r>
        <w:t xml:space="preserve">Lu, Y. (2017). Industry 4.0: A survey on technologies, applications and open research issues.</w:t>
      </w:r>
      <w:r>
        <w:t xml:space="preserve"> </w:t>
      </w:r>
      <w:r>
        <w:rPr>
          <w:i/>
          <w:iCs/>
        </w:rPr>
        <w:t xml:space="preserve">Journal of Industrial Information Integration</w:t>
      </w:r>
      <w:r>
        <w:t xml:space="preserve">, 6, 1-10. https://doi.org/10.1016/j.jii.2017.04.005</w:t>
      </w:r>
    </w:p>
    <w:p>
      <w:pPr>
        <w:numPr>
          <w:ilvl w:val="0"/>
          <w:numId w:val="1039"/>
        </w:numPr>
      </w:pPr>
      <w:r>
        <w:t xml:space="preserve">Xu, L. D., Xu, E. L., et Li, L. (2018). Industry 4.0: state of the art and future trends.</w:t>
      </w:r>
      <w:r>
        <w:t xml:space="preserve"> </w:t>
      </w:r>
      <w:r>
        <w:rPr>
          <w:i/>
          <w:iCs/>
        </w:rPr>
        <w:t xml:space="preserve">International Journal of Production Research</w:t>
      </w:r>
      <w:r>
        <w:t xml:space="preserve">, 56(8), 2941-2962. https://doi.org/10.1080/00207543.2018.1444806</w:t>
      </w:r>
    </w:p>
    <w:p>
      <w:pPr>
        <w:numPr>
          <w:ilvl w:val="0"/>
          <w:numId w:val="1039"/>
        </w:numPr>
      </w:pPr>
      <w:r>
        <w:t xml:space="preserve">GLPI Project. (2024).</w:t>
      </w:r>
      <w:r>
        <w:t xml:space="preserve"> </w:t>
      </w:r>
      <w:r>
        <w:rPr>
          <w:i/>
          <w:iCs/>
        </w:rPr>
        <w:t xml:space="preserve">GLPI — Free IT and Asset Management Software — REST API documentation</w:t>
      </w:r>
      <w:r>
        <w:t xml:space="preserve">. https://glpi-project.org/</w:t>
      </w:r>
    </w:p>
    <w:p>
      <w:pPr>
        <w:numPr>
          <w:ilvl w:val="0"/>
          <w:numId w:val="1039"/>
        </w:numPr>
      </w:pPr>
      <w:r>
        <w:t xml:space="preserve">Streamlit. (2024).</w:t>
      </w:r>
      <w:r>
        <w:t xml:space="preserve"> </w:t>
      </w:r>
      <w:r>
        <w:rPr>
          <w:i/>
          <w:iCs/>
        </w:rPr>
        <w:t xml:space="preserve">Streamlit Documentation — A faster way to build and share data apps</w:t>
      </w:r>
      <w:r>
        <w:t xml:space="preserve">. https://docs.streamlit.io/</w:t>
      </w:r>
    </w:p>
    <w:p>
      <w:pPr>
        <w:numPr>
          <w:ilvl w:val="0"/>
          <w:numId w:val="1039"/>
        </w:numPr>
      </w:pPr>
      <w:r>
        <w:t xml:space="preserve">Mayer, A., et al. (2023). LEROY: A low-cost Arduino-based, IoT-enabled device for atmospheric corrosion monitoring.</w:t>
      </w:r>
      <w:r>
        <w:t xml:space="preserve"> </w:t>
      </w:r>
      <w:r>
        <w:rPr>
          <w:i/>
          <w:iCs/>
        </w:rPr>
        <w:t xml:space="preserve">Sensors</w:t>
      </w:r>
      <w:r>
        <w:t xml:space="preserve">. https://www.mdpi.com/1424-8220/</w:t>
      </w:r>
    </w:p>
    <w:p>
      <w:pPr>
        <w:numPr>
          <w:ilvl w:val="0"/>
          <w:numId w:val="1039"/>
        </w:numPr>
      </w:pPr>
      <w:r>
        <w:t xml:space="preserve">NACE International. (2012).</w:t>
      </w:r>
      <w:r>
        <w:t xml:space="preserve"> </w:t>
      </w:r>
      <w:r>
        <w:rPr>
          <w:i/>
          <w:iCs/>
        </w:rPr>
        <w:t xml:space="preserve">TM0190-2012 — Impressed Current Test Method for Screening Corrosion Inhibitors for Oilfield Applications</w:t>
      </w:r>
      <w:r>
        <w:t xml:space="preserve">.</w:t>
      </w:r>
    </w:p>
    <w:p>
      <w:pPr>
        <w:numPr>
          <w:ilvl w:val="0"/>
          <w:numId w:val="1039"/>
        </w:numPr>
      </w:pPr>
      <w:r>
        <w:t xml:space="preserve">NACE International. (2016).</w:t>
      </w:r>
      <w:r>
        <w:t xml:space="preserve"> </w:t>
      </w:r>
      <w:r>
        <w:rPr>
          <w:i/>
          <w:iCs/>
        </w:rPr>
        <w:t xml:space="preserve">IMPACT Study Press Release — CORROSION 2016 conference</w:t>
      </w:r>
      <w:r>
        <w:t xml:space="preserve">.</w:t>
      </w:r>
    </w:p>
    <w:p>
      <w:pPr>
        <w:numPr>
          <w:ilvl w:val="0"/>
          <w:numId w:val="1039"/>
        </w:numPr>
      </w:pPr>
      <w:r>
        <w:t xml:space="preserve">Onyebuchi, V., et al. (2018). Internal corrosion behaviour of Nigerian gas pipelines.</w:t>
      </w:r>
      <w:r>
        <w:t xml:space="preserve"> </w:t>
      </w:r>
      <w:r>
        <w:rPr>
          <w:i/>
          <w:iCs/>
        </w:rPr>
        <w:t xml:space="preserve">Unizik Journal of Engineering and Applied Sciences</w:t>
      </w:r>
      <w:r>
        <w:t xml:space="preserve">.</w:t>
      </w:r>
    </w:p>
    <w:p>
      <w:pPr>
        <w:numPr>
          <w:ilvl w:val="0"/>
          <w:numId w:val="1039"/>
        </w:numPr>
      </w:pPr>
      <w:r>
        <w:t xml:space="preserve">Ossai, C. I., Boswell, B., &amp; Davies, I. J. (2017). Use of artificial neural network for prediction of pipeline corrosion defect growth rate.</w:t>
      </w:r>
      <w:r>
        <w:t xml:space="preserve"> </w:t>
      </w:r>
      <w:r>
        <w:rPr>
          <w:i/>
          <w:iCs/>
        </w:rPr>
        <w:t xml:space="preserve">Engineering Failure Analysis</w:t>
      </w:r>
      <w:r>
        <w:t xml:space="preserve">, 82, 1–12.</w:t>
      </w:r>
    </w:p>
    <w:p>
      <w:pPr>
        <w:numPr>
          <w:ilvl w:val="0"/>
          <w:numId w:val="1039"/>
        </w:numPr>
      </w:pPr>
      <w:r>
        <w:t xml:space="preserve">Persian Utab. (2023).</w:t>
      </w:r>
      <w:r>
        <w:t xml:space="preserve"> </w:t>
      </w:r>
      <w:r>
        <w:rPr>
          <w:i/>
          <w:iCs/>
        </w:rPr>
        <w:t xml:space="preserve">Phosphoric acid and iron oxide — passivation mechanism</w:t>
      </w:r>
      <w:r>
        <w:t xml:space="preserve">. https://persianutab.com/en/phosphoric-acid-and-iron-oxide/</w:t>
      </w:r>
    </w:p>
    <w:p>
      <w:pPr>
        <w:numPr>
          <w:ilvl w:val="0"/>
          <w:numId w:val="1039"/>
        </w:numPr>
      </w:pPr>
      <w:r>
        <w:t xml:space="preserve">Pollock, D. D. (1991).</w:t>
      </w:r>
      <w:r>
        <w:t xml:space="preserve"> </w:t>
      </w:r>
      <w:r>
        <w:rPr>
          <w:i/>
          <w:iCs/>
        </w:rPr>
        <w:t xml:space="preserve">Physical Properties of Materials for Engineers</w:t>
      </w:r>
      <w:r>
        <w:t xml:space="preserve"> </w:t>
      </w:r>
      <w:r>
        <w:t xml:space="preserve">(2nd ed.). CRC Press.</w:t>
      </w:r>
    </w:p>
    <w:p>
      <w:pPr>
        <w:numPr>
          <w:ilvl w:val="0"/>
          <w:numId w:val="1039"/>
        </w:numPr>
      </w:pPr>
      <w:r>
        <w:t xml:space="preserve">Pumps Africa. (2024).</w:t>
      </w:r>
      <w:r>
        <w:t xml:space="preserve"> </w:t>
      </w:r>
      <w:r>
        <w:rPr>
          <w:i/>
          <w:iCs/>
        </w:rPr>
        <w:t xml:space="preserve">Advanced pipeline monitoring systems for safer oil &amp; gas operations in Africa</w:t>
      </w:r>
      <w:r>
        <w:t xml:space="preserve">. https://pumps-africa.com/advanced-pipeline-monitoring-systems-for-safer-oil-gas-operations-in-africa/</w:t>
      </w:r>
    </w:p>
    <w:p>
      <w:pPr>
        <w:numPr>
          <w:ilvl w:val="0"/>
          <w:numId w:val="1039"/>
        </w:numPr>
      </w:pPr>
      <w:r>
        <w:t xml:space="preserve">Roberge, P. R. (2008).</w:t>
      </w:r>
      <w:r>
        <w:t xml:space="preserve"> </w:t>
      </w:r>
      <w:r>
        <w:rPr>
          <w:i/>
          <w:iCs/>
        </w:rPr>
        <w:t xml:space="preserve">Corrosion Engineering: Principles and Practice</w:t>
      </w:r>
      <w:r>
        <w:t xml:space="preserve">. McGraw-Hill.</w:t>
      </w:r>
    </w:p>
    <w:p>
      <w:pPr>
        <w:numPr>
          <w:ilvl w:val="0"/>
          <w:numId w:val="1039"/>
        </w:numPr>
      </w:pPr>
      <w:r>
        <w:t xml:space="preserve">Savitzky, A., &amp; Golay, M. J. E. (1964). Smoothing and differentiation of data by simplified least squares procedures.</w:t>
      </w:r>
      <w:r>
        <w:t xml:space="preserve"> </w:t>
      </w:r>
      <w:r>
        <w:rPr>
          <w:i/>
          <w:iCs/>
        </w:rPr>
        <w:t xml:space="preserve">Analytical Chemistry</w:t>
      </w:r>
      <w:r>
        <w:t xml:space="preserve">, 36(8), 1627–1639.</w:t>
      </w:r>
    </w:p>
    <w:p>
      <w:pPr>
        <w:numPr>
          <w:ilvl w:val="0"/>
          <w:numId w:val="1039"/>
        </w:numPr>
      </w:pPr>
      <w:r>
        <w:t xml:space="preserve">Schweitzer, P. A. (2010).</w:t>
      </w:r>
      <w:r>
        <w:t xml:space="preserve"> </w:t>
      </w:r>
      <w:r>
        <w:rPr>
          <w:i/>
          <w:iCs/>
        </w:rPr>
        <w:t xml:space="preserve">Fundamentals of Corrosion: Mechanisms, Causes, and Preventive Methods</w:t>
      </w:r>
      <w:r>
        <w:t xml:space="preserve">. CRC Press.</w:t>
      </w:r>
    </w:p>
    <w:p>
      <w:pPr>
        <w:numPr>
          <w:ilvl w:val="0"/>
          <w:numId w:val="1039"/>
        </w:numPr>
      </w:pPr>
      <w:r>
        <w:t xml:space="preserve">Standards Norway. (2017).</w:t>
      </w:r>
      <w:r>
        <w:t xml:space="preserve"> </w:t>
      </w:r>
      <w:r>
        <w:rPr>
          <w:i/>
          <w:iCs/>
        </w:rPr>
        <w:t xml:space="preserve">NORSOK M-506 — CO₂ corrosion rate calculation model</w:t>
      </w:r>
      <w:r>
        <w:t xml:space="preserve"> </w:t>
      </w:r>
      <w:r>
        <w:t xml:space="preserve">(3rd ed.).</w:t>
      </w:r>
    </w:p>
    <w:p>
      <w:pPr>
        <w:numPr>
          <w:ilvl w:val="0"/>
          <w:numId w:val="1039"/>
        </w:numPr>
      </w:pPr>
      <w:r>
        <w:t xml:space="preserve">Tan, Y., et al. (2025). Prediction of internal corrosion rate for gas pipeline: A new method based on transformer architecture.</w:t>
      </w:r>
      <w:r>
        <w:t xml:space="preserve"> </w:t>
      </w:r>
      <w:r>
        <w:rPr>
          <w:i/>
          <w:iCs/>
        </w:rPr>
        <w:t xml:space="preserve">Computers &amp; Chemical Engineering</w:t>
      </w:r>
      <w:r>
        <w:t xml:space="preserve">, 192, 108600.</w:t>
      </w:r>
    </w:p>
    <w:p>
      <w:pPr>
        <w:numPr>
          <w:ilvl w:val="0"/>
          <w:numId w:val="1039"/>
        </w:numPr>
      </w:pPr>
      <w:r>
        <w:t xml:space="preserve">Tukey, J. W. (1977).</w:t>
      </w:r>
      <w:r>
        <w:t xml:space="preserve"> </w:t>
      </w:r>
      <w:r>
        <w:rPr>
          <w:i/>
          <w:iCs/>
        </w:rPr>
        <w:t xml:space="preserve">Exploratory Data Analysis</w:t>
      </w:r>
      <w:r>
        <w:t xml:space="preserve">. Addison-Wesley.</w:t>
      </w:r>
    </w:p>
    <w:p>
      <w:pPr>
        <w:numPr>
          <w:ilvl w:val="0"/>
          <w:numId w:val="1039"/>
        </w:numPr>
      </w:pPr>
      <w:r>
        <w:t xml:space="preserve">Wagner, C., &amp; Traud, W. (1938). On the interpretation of corrosion phenomena by superposition of electrochemical partial reactions.</w:t>
      </w:r>
      <w:r>
        <w:t xml:space="preserve"> </w:t>
      </w:r>
      <w:r>
        <w:rPr>
          <w:i/>
          <w:iCs/>
        </w:rPr>
        <w:t xml:space="preserve">Zeitschrift für Elektrochemie</w:t>
      </w:r>
      <w:r>
        <w:t xml:space="preserve">, 44(7), 391–402.</w:t>
      </w:r>
    </w:p>
    <w:p>
      <w:pPr>
        <w:numPr>
          <w:ilvl w:val="0"/>
          <w:numId w:val="1039"/>
        </w:numPr>
      </w:pPr>
      <w:r>
        <w:t xml:space="preserve">Wang, Y., et al. (2023). Corrosion inhibition mechanism of water-soluble imidazoline on A572 Gr.65 steel in 3.5 wt % NaCl solution.</w:t>
      </w:r>
      <w:r>
        <w:t xml:space="preserve"> </w:t>
      </w:r>
      <w:r>
        <w:rPr>
          <w:i/>
          <w:iCs/>
        </w:rPr>
        <w:t xml:space="preserve">Langmuir</w:t>
      </w:r>
      <w:r>
        <w:t xml:space="preserve">, 39(45), 16108–16119. https://doi.org/10.1021/acs.langmuir.3c02781</w:t>
      </w:r>
    </w:p>
    <w:p>
      <w:pPr>
        <w:numPr>
          <w:ilvl w:val="0"/>
          <w:numId w:val="1039"/>
        </w:numPr>
      </w:pPr>
      <w:r>
        <w:t xml:space="preserve">Webster, J. G. (Ed.). (2014).</w:t>
      </w:r>
      <w:r>
        <w:t xml:space="preserve"> </w:t>
      </w:r>
      <w:r>
        <w:rPr>
          <w:i/>
          <w:iCs/>
        </w:rPr>
        <w:t xml:space="preserve">The Measurement, Instrumentation, and Sensors Handbook</w:t>
      </w:r>
      <w:r>
        <w:t xml:space="preserve"> </w:t>
      </w:r>
      <w:r>
        <w:t xml:space="preserve">(2nd ed.). CRC Press.</w:t>
      </w:r>
    </w:p>
    <w:p>
      <w:pPr>
        <w:numPr>
          <w:ilvl w:val="0"/>
          <w:numId w:val="1039"/>
        </w:numPr>
      </w:pPr>
      <w:r>
        <w:t xml:space="preserve">Wei, X., et al. (2024). Advanced machine learning techniques for corrosion rate estimation and prediction in industrial cooling water pipelines.</w:t>
      </w:r>
      <w:r>
        <w:t xml:space="preserve"> </w:t>
      </w:r>
      <w:r>
        <w:rPr>
          <w:i/>
          <w:iCs/>
        </w:rPr>
        <w:t xml:space="preserve">Sensors</w:t>
      </w:r>
      <w:r>
        <w:t xml:space="preserve">, 24(11), 3564. https://doi.org/10.3390/s24113564</w:t>
      </w:r>
    </w:p>
    <w:p>
      <w:pPr>
        <w:numPr>
          <w:ilvl w:val="0"/>
          <w:numId w:val="1039"/>
        </w:numPr>
      </w:pPr>
      <w:r>
        <w:t xml:space="preserve">Xu, D., Xia, Y., &amp; Wang, X. (2020). Deep learning for corrosion rate prediction in oil and gas pipelines.</w:t>
      </w:r>
      <w:r>
        <w:t xml:space="preserve"> </w:t>
      </w:r>
      <w:r>
        <w:rPr>
          <w:i/>
          <w:iCs/>
        </w:rPr>
        <w:t xml:space="preserve">Corrosion</w:t>
      </w:r>
      <w:r>
        <w:t xml:space="preserve">, 76(8), 789–798.</w:t>
      </w:r>
    </w:p>
    <w:p>
      <w:pPr>
        <w:numPr>
          <w:ilvl w:val="0"/>
          <w:numId w:val="1039"/>
        </w:numPr>
      </w:pPr>
      <w:r>
        <w:t xml:space="preserve">Yan, J., &amp; Yan, X. (2024). Prediction model for corrosion rate of low-alloy steels under atmospheric conditions using machine learning algorithms.</w:t>
      </w:r>
      <w:r>
        <w:t xml:space="preserve"> </w:t>
      </w:r>
      <w:r>
        <w:rPr>
          <w:i/>
          <w:iCs/>
        </w:rPr>
        <w:t xml:space="preserve">International Journal of Minerals, Metallurgy and Materials</w:t>
      </w:r>
      <w:r>
        <w:t xml:space="preserve">, 31, 1109–1119. https://doi.org/10.1007/s12613-023-2679-5</w:t>
      </w:r>
    </w:p>
    <w:p>
      <w:pPr>
        <w:numPr>
          <w:ilvl w:val="0"/>
          <w:numId w:val="1039"/>
        </w:numPr>
      </w:pPr>
      <w:r>
        <w:t xml:space="preserve">XGBoost. (2024).</w:t>
      </w:r>
      <w:r>
        <w:t xml:space="preserve"> </w:t>
      </w:r>
      <w:r>
        <w:rPr>
          <w:i/>
          <w:iCs/>
        </w:rPr>
        <w:t xml:space="preserve">XGBoost Documentation</w:t>
      </w:r>
      <w:r>
        <w:t xml:space="preserve">. https://xgboost.readthedocs.io/</w:t>
      </w:r>
    </w:p>
    <w:p>
      <w:pPr>
        <w:numPr>
          <w:ilvl w:val="0"/>
          <w:numId w:val="1039"/>
        </w:numPr>
      </w:pPr>
      <w:r>
        <w:t xml:space="preserve">Bagheri, B., Yang, S., Kao, H. A., &amp; Lee, J. (2024). Cyber-physical systems architecture for self-aware machines in industry 4.0 environment: A CMMS perspective.</w:t>
      </w:r>
      <w:r>
        <w:t xml:space="preserve"> </w:t>
      </w:r>
      <w:r>
        <w:rPr>
          <w:i/>
          <w:iCs/>
        </w:rPr>
        <w:t xml:space="preserve">Journal of Manufacturing Systems</w:t>
      </w:r>
      <w:r>
        <w:t xml:space="preserve">, 72, 234–248.</w:t>
      </w:r>
    </w:p>
    <w:p>
      <w:pPr>
        <w:numPr>
          <w:ilvl w:val="0"/>
          <w:numId w:val="1039"/>
        </w:numPr>
      </w:pPr>
      <w:r>
        <w:t xml:space="preserve">CMMS Wikipedia. (2024).</w:t>
      </w:r>
      <w:r>
        <w:t xml:space="preserve"> </w:t>
      </w:r>
      <w:r>
        <w:rPr>
          <w:i/>
          <w:iCs/>
        </w:rPr>
        <w:t xml:space="preserve">Computerized Maintenance Management System</w:t>
      </w:r>
      <w:r>
        <w:t xml:space="preserve">. https://en.wikipedia.org/wiki/Computerized_maintenance_management_system</w:t>
      </w:r>
    </w:p>
    <w:p>
      <w:pPr>
        <w:numPr>
          <w:ilvl w:val="0"/>
          <w:numId w:val="1039"/>
        </w:numPr>
      </w:pPr>
      <w:r>
        <w:t xml:space="preserve">ISO. (2016).</w:t>
      </w:r>
      <w:r>
        <w:t xml:space="preserve"> </w:t>
      </w:r>
      <w:r>
        <w:rPr>
          <w:i/>
          <w:iCs/>
        </w:rPr>
        <w:t xml:space="preserve">ISO 14224:2016 — Petroleum, petrochemical and natural gas industries — Collection and exchange of reliability and maintenance data for equipment</w:t>
      </w:r>
      <w:r>
        <w:t xml:space="preserve">. International Organization for Standardization.</w:t>
      </w:r>
    </w:p>
    <w:p>
      <w:pPr>
        <w:numPr>
          <w:ilvl w:val="0"/>
          <w:numId w:val="1039"/>
        </w:numPr>
      </w:pPr>
      <w:r>
        <w:t xml:space="preserve">Lopes, I., Senra, P., Vilarinho, S., Sá, V., Teixeira, C., Lopes, J., Alves, A., Oliveira, J. A., &amp; Figueiredo, M. (2016). Requirements specification of a computerized maintenance management system — A case study.</w:t>
      </w:r>
      <w:r>
        <w:t xml:space="preserve"> </w:t>
      </w:r>
      <w:r>
        <w:rPr>
          <w:i/>
          <w:iCs/>
        </w:rPr>
        <w:t xml:space="preserve">Procedia CIRP</w:t>
      </w:r>
      <w:r>
        <w:t xml:space="preserve">, 52, 268–273.</w:t>
      </w:r>
    </w:p>
    <w:p>
      <w:pPr>
        <w:numPr>
          <w:ilvl w:val="0"/>
          <w:numId w:val="1039"/>
        </w:numPr>
      </w:pPr>
      <w:r>
        <w:t xml:space="preserve">Murphy, K. (2021).</w:t>
      </w:r>
      <w:r>
        <w:t xml:space="preserve"> </w:t>
      </w:r>
      <w:r>
        <w:rPr>
          <w:i/>
          <w:iCs/>
        </w:rPr>
        <w:t xml:space="preserve">The State of Open-Source CMMS for SMEs</w:t>
      </w:r>
      <w:r>
        <w:t xml:space="preserve">. Maintenance World Journal, 18(3), 45–53.</w:t>
      </w:r>
    </w:p>
    <w:p>
      <w:pPr>
        <w:numPr>
          <w:ilvl w:val="0"/>
          <w:numId w:val="1039"/>
        </w:numPr>
      </w:pPr>
      <w:r>
        <w:t xml:space="preserve">Next.js. (2024).</w:t>
      </w:r>
      <w:r>
        <w:t xml:space="preserve"> </w:t>
      </w:r>
      <w:r>
        <w:rPr>
          <w:i/>
          <w:iCs/>
        </w:rPr>
        <w:t xml:space="preserve">Next.js — The React Framework for the Web</w:t>
      </w:r>
      <w:r>
        <w:t xml:space="preserve">. Vercel Inc. https://nextjs.org/</w:t>
      </w:r>
    </w:p>
    <w:p>
      <w:pPr>
        <w:numPr>
          <w:ilvl w:val="0"/>
          <w:numId w:val="1039"/>
        </w:numPr>
      </w:pPr>
      <w:r>
        <w:t xml:space="preserve">Roda, I., &amp; Macchi, M. (2018). A framework to embed asset management in production companies.</w:t>
      </w:r>
      <w:r>
        <w:t xml:space="preserve"> </w:t>
      </w:r>
      <w:r>
        <w:rPr>
          <w:i/>
          <w:iCs/>
        </w:rPr>
        <w:t xml:space="preserve">Proceedings of the Institution of Mechanical Engineers, Part O: Journal of Risk and Reliability</w:t>
      </w:r>
      <w:r>
        <w:t xml:space="preserve">, 232(4), 368–378.</w:t>
      </w:r>
    </w:p>
    <w:p>
      <w:pPr>
        <w:numPr>
          <w:ilvl w:val="0"/>
          <w:numId w:val="1039"/>
        </w:numPr>
      </w:pPr>
      <w:r>
        <w:t xml:space="preserve">Supabase. (2024).</w:t>
      </w:r>
      <w:r>
        <w:t xml:space="preserve"> </w:t>
      </w:r>
      <w:r>
        <w:rPr>
          <w:i/>
          <w:iCs/>
        </w:rPr>
        <w:t xml:space="preserve">Supabase — The Open Source Firebase Alternative</w:t>
      </w:r>
      <w:r>
        <w:t xml:space="preserve">. https://supabase.com/</w:t>
      </w:r>
    </w:p>
    <w:p>
      <w:pPr>
        <w:numPr>
          <w:ilvl w:val="0"/>
          <w:numId w:val="1039"/>
        </w:numPr>
      </w:pPr>
      <w:r>
        <w:t xml:space="preserve">Vercel. (2024).</w:t>
      </w:r>
      <w:r>
        <w:t xml:space="preserve"> </w:t>
      </w:r>
      <w:r>
        <w:rPr>
          <w:i/>
          <w:iCs/>
        </w:rPr>
        <w:t xml:space="preserve">Vercel — Develop. Preview. Ship.</w:t>
      </w:r>
      <w:r>
        <w:t xml:space="preserve"> </w:t>
      </w:r>
      <w:r>
        <w:t xml:space="preserve">https://vercel.com/</w:t>
      </w:r>
    </w:p>
    <w:bookmarkEnd w:id="152"/>
    <w:bookmarkStart w:id="166" w:name="annexes"/>
    <w:p>
      <w:pPr>
        <w:pStyle w:val="Heading1"/>
      </w:pPr>
      <w:r>
        <w:t xml:space="preserve">ANNEXES</w:t>
      </w:r>
    </w:p>
    <w:bookmarkStart w:id="153" w:name="X4a78aeac9d5037a16008a2ee68dd1166d7aa4b4"/>
    <w:p>
      <w:pPr>
        <w:pStyle w:val="Heading2"/>
      </w:pPr>
      <w:r>
        <w:t xml:space="preserve">Annexe A — Code source du firmware ESP32 (extrait)</w:t>
      </w:r>
    </w:p>
    <w:p>
      <w:pPr>
        <w:pStyle w:val="SourceCode"/>
      </w:pPr>
      <w:r>
        <w:rPr>
          <w:rStyle w:val="CommentTok"/>
        </w:rPr>
        <w:t xml:space="preserve">// ─────────────────────────────────────────────────────────</w:t>
      </w:r>
      <w:r>
        <w:br/>
      </w:r>
      <w:r>
        <w:rPr>
          <w:rStyle w:val="CommentTok"/>
        </w:rPr>
        <w:t xml:space="preserve">// Corrosion Monitor — ESP32 + HX711 + DS18B20</w:t>
      </w:r>
      <w:r>
        <w:br/>
      </w:r>
      <w:r>
        <w:rPr>
          <w:rStyle w:val="CommentTok"/>
        </w:rPr>
        <w:t xml:space="preserve">// M2 Maintenance Industrielle — ESTL Douala</w:t>
      </w:r>
      <w:r>
        <w:br/>
      </w:r>
      <w:r>
        <w:rPr>
          <w:rStyle w:val="CommentTok"/>
        </w:rPr>
        <w:t xml:space="preserve">// Cycle : wake → mesure → POST Supabase → deep sleep 10 min</w:t>
      </w:r>
      <w:r>
        <w:br/>
      </w:r>
      <w:r>
        <w:rPr>
          <w:rStyle w:val="CommentTok"/>
        </w:rPr>
        <w:t xml:space="preserve">// ─────────────────────────────────────────────────────────</w:t>
      </w:r>
      <w:r>
        <w:br/>
      </w:r>
      <w:r>
        <w:br/>
      </w:r>
      <w:r>
        <w:rPr>
          <w:rStyle w:val="PreprocessorTok"/>
        </w:rPr>
        <w:t xml:space="preserve">#include </w:t>
      </w:r>
      <w:r>
        <w:rPr>
          <w:rStyle w:val="ImportTok"/>
        </w:rPr>
        <w:t xml:space="preserve">"HX711.h"</w:t>
      </w:r>
      <w:r>
        <w:br/>
      </w:r>
      <w:r>
        <w:rPr>
          <w:rStyle w:val="PreprocessorTok"/>
        </w:rPr>
        <w:t xml:space="preserve">#include </w:t>
      </w:r>
      <w:r>
        <w:rPr>
          <w:rStyle w:val="ImportTok"/>
        </w:rPr>
        <w:t xml:space="preserve">&lt;OneWire.h&gt;</w:t>
      </w:r>
      <w:r>
        <w:br/>
      </w:r>
      <w:r>
        <w:rPr>
          <w:rStyle w:val="PreprocessorTok"/>
        </w:rPr>
        <w:t xml:space="preserve">#include </w:t>
      </w:r>
      <w:r>
        <w:rPr>
          <w:rStyle w:val="ImportTok"/>
        </w:rPr>
        <w:t xml:space="preserve">&lt;DallasTemperature.h&gt;</w:t>
      </w:r>
      <w:r>
        <w:br/>
      </w:r>
      <w:r>
        <w:br/>
      </w:r>
      <w:r>
        <w:rPr>
          <w:rStyle w:val="PreprocessorTok"/>
        </w:rPr>
        <w:t xml:space="preserve">#define HX711_DOUT_PIN   </w:t>
      </w:r>
      <w:r>
        <w:rPr>
          <w:rStyle w:val="DecValTok"/>
        </w:rPr>
        <w:t xml:space="preserve">21</w:t>
      </w:r>
      <w:r>
        <w:br/>
      </w:r>
      <w:r>
        <w:rPr>
          <w:rStyle w:val="PreprocessorTok"/>
        </w:rPr>
        <w:t xml:space="preserve">#define HX711_SCK_PIN    </w:t>
      </w:r>
      <w:r>
        <w:rPr>
          <w:rStyle w:val="DecValTok"/>
        </w:rPr>
        <w:t xml:space="preserve">22</w:t>
      </w:r>
      <w:r>
        <w:br/>
      </w:r>
      <w:r>
        <w:rPr>
          <w:rStyle w:val="PreprocessorTok"/>
        </w:rPr>
        <w:t xml:space="preserve">#define ONE_WIRE_BUS      </w:t>
      </w:r>
      <w:r>
        <w:rPr>
          <w:rStyle w:val="DecValTok"/>
        </w:rPr>
        <w:t xml:space="preserve">4</w:t>
      </w:r>
      <w:r>
        <w:br/>
      </w:r>
      <w:r>
        <w:br/>
      </w:r>
      <w:r>
        <w:rPr>
          <w:rStyle w:val="AttributeTok"/>
        </w:rPr>
        <w:t xml:space="preserve">const</w:t>
      </w:r>
      <w:r>
        <w:rPr>
          <w:rStyle w:val="NormalTok"/>
        </w:rPr>
        <w:t xml:space="preserve"> </w:t>
      </w:r>
      <w:r>
        <w:rPr>
          <w:rStyle w:val="DataTypeTok"/>
        </w:rPr>
        <w:t xml:space="preserve">float</w:t>
      </w:r>
      <w:r>
        <w:rPr>
          <w:rStyle w:val="NormalTok"/>
        </w:rPr>
        <w:t xml:space="preserve"> R_SERIE      </w:t>
      </w:r>
      <w:r>
        <w:rPr>
          <w:rStyle w:val="OperatorTok"/>
        </w:rPr>
        <w:t xml:space="preserve">=</w:t>
      </w:r>
      <w:r>
        <w:rPr>
          <w:rStyle w:val="NormalTok"/>
        </w:rPr>
        <w:t xml:space="preserve"> </w:t>
      </w:r>
      <w:r>
        <w:rPr>
          <w:rStyle w:val="FloatTok"/>
        </w:rPr>
        <w:t xml:space="preserve">100.0</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R1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R2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R_REF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V_ALIM       </w:t>
      </w:r>
      <w:r>
        <w:rPr>
          <w:rStyle w:val="OperatorTok"/>
        </w:rPr>
        <w:t xml:space="preserve">=</w:t>
      </w:r>
      <w:r>
        <w:rPr>
          <w:rStyle w:val="NormalTok"/>
        </w:rPr>
        <w:t xml:space="preserve"> </w:t>
      </w:r>
      <w:r>
        <w:rPr>
          <w:rStyle w:val="FloatTok"/>
        </w:rPr>
        <w:t xml:space="preserve">3.3</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R_PONT_EQUIV </w:t>
      </w:r>
      <w:r>
        <w:rPr>
          <w:rStyle w:val="OperatorTok"/>
        </w:rPr>
        <w:t xml:space="preserve">=</w:t>
      </w:r>
      <w:r>
        <w:rPr>
          <w:rStyle w:val="NormalTok"/>
        </w:rPr>
        <w:t xml:space="preserve"> </w:t>
      </w:r>
      <w:r>
        <w:rPr>
          <w:rStyle w:val="OperatorTok"/>
        </w:rPr>
        <w:t xml:space="preserve">(</w:t>
      </w:r>
      <w:r>
        <w:rPr>
          <w:rStyle w:val="NormalTok"/>
        </w:rPr>
        <w:t xml:space="preserve">R1 </w:t>
      </w:r>
      <w:r>
        <w:rPr>
          <w:rStyle w:val="OperatorTok"/>
        </w:rPr>
        <w:t xml:space="preserve">+</w:t>
      </w:r>
      <w:r>
        <w:rPr>
          <w:rStyle w:val="NormalTok"/>
        </w:rPr>
        <w:t xml:space="preserve"> R_REF</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V_EXC_EFF    </w:t>
      </w:r>
      <w:r>
        <w:rPr>
          <w:rStyle w:val="OperatorTok"/>
        </w:rPr>
        <w:t xml:space="preserve">=</w:t>
      </w:r>
      <w:r>
        <w:rPr>
          <w:rStyle w:val="NormalTok"/>
        </w:rPr>
        <w:t xml:space="preserve"> V_ALIM </w:t>
      </w:r>
      <w:r>
        <w:rPr>
          <w:rStyle w:val="OperatorTok"/>
        </w:rPr>
        <w:t xml:space="preserve">*</w:t>
      </w:r>
      <w:r>
        <w:rPr>
          <w:rStyle w:val="NormalTok"/>
        </w:rPr>
        <w:t xml:space="preserve"> R_PONT_EQUIV</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R_SERIE </w:t>
      </w:r>
      <w:r>
        <w:rPr>
          <w:rStyle w:val="OperatorTok"/>
        </w:rPr>
        <w:t xml:space="preserve">+</w:t>
      </w:r>
      <w:r>
        <w:rPr>
          <w:rStyle w:val="NormalTok"/>
        </w:rPr>
        <w:t xml:space="preserve"> R_PONT_EQUIV</w:t>
      </w:r>
      <w:r>
        <w:rPr>
          <w:rStyle w:val="OperatorTok"/>
        </w:rPr>
        <w:t xml:space="preserve">);</w:t>
      </w:r>
      <w:r>
        <w:br/>
      </w:r>
      <w:r>
        <w:br/>
      </w:r>
      <w:r>
        <w:rPr>
          <w:rStyle w:val="PreprocessorTok"/>
        </w:rPr>
        <w:t xml:space="preserve">#define SLEEP_INTERVAL_US  </w:t>
      </w:r>
      <w:r>
        <w:rPr>
          <w:rStyle w:val="DecValTok"/>
        </w:rPr>
        <w:t xml:space="preserve">600000000</w:t>
      </w:r>
      <w:r>
        <w:rPr>
          <w:rStyle w:val="BuiltInTok"/>
        </w:rPr>
        <w:t xml:space="preserve">ULL</w:t>
      </w:r>
      <w:r>
        <w:rPr>
          <w:rStyle w:val="PreprocessorTok"/>
        </w:rPr>
        <w:t xml:space="preserve">  </w:t>
      </w:r>
      <w:r>
        <w:rPr>
          <w:rStyle w:val="CommentTok"/>
        </w:rPr>
        <w:t xml:space="preserve">// 10 minutes</w:t>
      </w:r>
      <w:r>
        <w:br/>
      </w:r>
      <w:r>
        <w:rPr>
          <w:rStyle w:val="PreprocessorTok"/>
        </w:rPr>
        <w:t xml:space="preserve">#define MESURES_PAR_CYCLE  </w:t>
      </w:r>
      <w:r>
        <w:rPr>
          <w:rStyle w:val="DecValTok"/>
        </w:rPr>
        <w:t xml:space="preserve">10</w:t>
      </w:r>
      <w:r>
        <w:br/>
      </w:r>
      <w:r>
        <w:br/>
      </w:r>
      <w:r>
        <w:rPr>
          <w:rStyle w:val="NormalTok"/>
        </w:rPr>
        <w:t xml:space="preserve">RTC_DATA_ATTR </w:t>
      </w:r>
      <w:r>
        <w:rPr>
          <w:rStyle w:val="AttributeTok"/>
        </w:rPr>
        <w:t xml:space="preserve">static</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mesure_index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RTC_DATA_ATTR </w:t>
      </w:r>
      <w:r>
        <w:rPr>
          <w:rStyle w:val="AttributeTok"/>
        </w:rPr>
        <w:t xml:space="preserve">static</w:t>
      </w:r>
      <w:r>
        <w:rPr>
          <w:rStyle w:val="NormalTok"/>
        </w:rPr>
        <w:t xml:space="preserve"> </w:t>
      </w:r>
      <w:r>
        <w:rPr>
          <w:rStyle w:val="DataTypeTok"/>
        </w:rPr>
        <w:t xml:space="preserve">double</w:t>
      </w:r>
      <w:r>
        <w:rPr>
          <w:rStyle w:val="NormalTok"/>
        </w:rPr>
        <w:t xml:space="preserve">        last_Rx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RTC_DATA_ATTR </w:t>
      </w:r>
      <w:r>
        <w:rPr>
          <w:rStyle w:val="AttributeTok"/>
        </w:rPr>
        <w:t xml:space="preserve">static</w:t>
      </w:r>
      <w:r>
        <w:rPr>
          <w:rStyle w:val="NormalTok"/>
        </w:rPr>
        <w:t xml:space="preserve"> </w:t>
      </w:r>
      <w:r>
        <w:rPr>
          <w:rStyle w:val="DataTypeTok"/>
        </w:rPr>
        <w:t xml:space="preserve">bool</w:t>
      </w:r>
      <w:r>
        <w:rPr>
          <w:rStyle w:val="NormalTok"/>
        </w:rPr>
        <w:t xml:space="preserve">          header_envoye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rPr>
          <w:i/>
          <w:iCs/>
        </w:rPr>
        <w:t xml:space="preserve">Code complet disponible dans le dépôt GitHub :</w:t>
      </w:r>
      <w:r>
        <w:rPr>
          <w:i/>
          <w:iCs/>
        </w:rPr>
        <w:t xml:space="preserve"> </w:t>
      </w:r>
      <w:r>
        <w:rPr>
          <w:rStyle w:val="VerbatimChar"/>
          <w:i/>
          <w:iCs/>
        </w:rPr>
        <w:t xml:space="preserve">firmware/corrosion_monitor.ino</w:t>
      </w:r>
      <w:r>
        <w:rPr>
          <w:i/>
          <w:iCs/>
        </w:rPr>
        <w:t xml:space="preserve">.</w:t>
      </w:r>
    </w:p>
    <w:bookmarkEnd w:id="153"/>
    <w:bookmarkStart w:id="154" w:name="X89fdaac54454b2f39af1c3d7cfa8452fb9c21c0"/>
    <w:p>
      <w:pPr>
        <w:pStyle w:val="Heading2"/>
      </w:pPr>
      <w:r>
        <w:t xml:space="preserve">Annexe B — Pipeline Python — extrait feature engineering</w:t>
      </w:r>
    </w:p>
    <w:p>
      <w:pPr>
        <w:pStyle w:val="SourceCode"/>
      </w:pPr>
      <w:r>
        <w:rPr>
          <w:rStyle w:val="KeywordTok"/>
        </w:rPr>
        <w:t xml:space="preserve">def</w:t>
      </w:r>
      <w:r>
        <w:rPr>
          <w:rStyle w:val="NormalTok"/>
        </w:rPr>
        <w:t xml:space="preserve"> feature_engineering(df: pd.DataFrame) </w:t>
      </w:r>
      <w:r>
        <w:rPr>
          <w:rStyle w:val="OperatorTok"/>
        </w:rPr>
        <w:t xml:space="preserve">-&gt;</w:t>
      </w:r>
      <w:r>
        <w:rPr>
          <w:rStyle w:val="NormalTok"/>
        </w:rPr>
        <w:t xml:space="preserve"> pd.DataFrame:</w:t>
      </w:r>
      <w:r>
        <w:br/>
      </w:r>
      <w:r>
        <w:rPr>
          <w:rStyle w:val="NormalTok"/>
        </w:rPr>
        <w:t xml:space="preserve">    df[</w:t>
      </w:r>
      <w:r>
        <w:rPr>
          <w:rStyle w:val="StringTok"/>
        </w:rPr>
        <w:t xml:space="preserve">"delta_R_1h"</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].diff(</w:t>
      </w:r>
      <w:r>
        <w:rPr>
          <w:rStyle w:val="DecValTok"/>
        </w:rPr>
        <w:t xml:space="preserve">6</w:t>
      </w:r>
      <w:r>
        <w:rPr>
          <w:rStyle w:val="NormalTok"/>
        </w:rPr>
        <w:t xml:space="preserve">)    </w:t>
      </w:r>
      <w:r>
        <w:rPr>
          <w:rStyle w:val="CommentTok"/>
        </w:rPr>
        <w:t xml:space="preserve"># 6 × 10 min</w:t>
      </w:r>
      <w:r>
        <w:br/>
      </w:r>
      <w:r>
        <w:rPr>
          <w:rStyle w:val="NormalTok"/>
        </w:rPr>
        <w:t xml:space="preserve">    df[</w:t>
      </w:r>
      <w:r>
        <w:rPr>
          <w:rStyle w:val="StringTok"/>
        </w:rPr>
        <w:t xml:space="preserve">"delta_R_6h"</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].diff(</w:t>
      </w:r>
      <w:r>
        <w:rPr>
          <w:rStyle w:val="DecValTok"/>
        </w:rPr>
        <w:t xml:space="preserve">36</w:t>
      </w:r>
      <w:r>
        <w:rPr>
          <w:rStyle w:val="NormalTok"/>
        </w:rPr>
        <w:t xml:space="preserve">)   </w:t>
      </w:r>
      <w:r>
        <w:rPr>
          <w:rStyle w:val="CommentTok"/>
        </w:rPr>
        <w:t xml:space="preserve"># 36 × 10 min</w:t>
      </w:r>
      <w:r>
        <w:br/>
      </w:r>
      <w:r>
        <w:rPr>
          <w:rStyle w:val="NormalTok"/>
        </w:rPr>
        <w:t xml:space="preserve">    dt_1h </w:t>
      </w:r>
      <w:r>
        <w:rPr>
          <w:rStyle w:val="OperatorTok"/>
        </w:rPr>
        <w:t xml:space="preserve">=</w:t>
      </w:r>
      <w:r>
        <w:rPr>
          <w:rStyle w:val="NormalTok"/>
        </w:rPr>
        <w:t xml:space="preserve"> df[</w:t>
      </w:r>
      <w:r>
        <w:rPr>
          <w:rStyle w:val="StringTok"/>
        </w:rPr>
        <w:t xml:space="preserve">"timestamp_h"</w:t>
      </w:r>
      <w:r>
        <w:rPr>
          <w:rStyle w:val="NormalTok"/>
        </w:rPr>
        <w:t xml:space="preserve">].diff(</w:t>
      </w:r>
      <w:r>
        <w:rPr>
          <w:rStyle w:val="DecValTok"/>
        </w:rPr>
        <w:t xml:space="preserve">6</w:t>
      </w:r>
      <w:r>
        <w:rPr>
          <w:rStyle w:val="NormalTok"/>
        </w:rPr>
        <w:t xml:space="preserve">).replace(</w:t>
      </w:r>
      <w:r>
        <w:rPr>
          <w:rStyle w:val="DecValTok"/>
        </w:rPr>
        <w:t xml:space="preserve">0</w:t>
      </w:r>
      <w:r>
        <w:rPr>
          <w:rStyle w:val="NormalTok"/>
        </w:rPr>
        <w:t xml:space="preserve">, np.nan)</w:t>
      </w:r>
      <w:r>
        <w:br/>
      </w:r>
      <w:r>
        <w:rPr>
          <w:rStyle w:val="NormalTok"/>
        </w:rPr>
        <w:t xml:space="preserve">    df[</w:t>
      </w:r>
      <w:r>
        <w:rPr>
          <w:rStyle w:val="StringTok"/>
        </w:rPr>
        <w:t xml:space="preserve">"vitesse_CR_1h"</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(df[</w:t>
      </w:r>
      <w:r>
        <w:rPr>
          <w:rStyle w:val="StringTok"/>
        </w:rPr>
        <w:t xml:space="preserve">"rx_corr"</w:t>
      </w:r>
      <w:r>
        <w:rPr>
          <w:rStyle w:val="NormalTok"/>
        </w:rPr>
        <w:t xml:space="preserve">].diff(</w:t>
      </w:r>
      <w:r>
        <w:rPr>
          <w:rStyle w:val="DecValTok"/>
        </w:rPr>
        <w:t xml:space="preserve">6</w:t>
      </w:r>
      <w:r>
        <w:rPr>
          <w:rStyle w:val="NormalTok"/>
        </w:rPr>
        <w:t xml:space="preserve">) </w:t>
      </w:r>
      <w:r>
        <w:rPr>
          <w:rStyle w:val="OperatorTok"/>
        </w:rPr>
        <w:t xml:space="preserve">/</w:t>
      </w:r>
      <w:r>
        <w:rPr>
          <w:rStyle w:val="NormalTok"/>
        </w:rPr>
        <w:t xml:space="preserve"> dt_1h)</w:t>
      </w:r>
      <w:r>
        <w:br/>
      </w:r>
      <w:r>
        <w:rPr>
          <w:rStyle w:val="NormalTok"/>
        </w:rPr>
        <w:t xml:space="preserve">                           </w:t>
      </w:r>
      <w:r>
        <w:rPr>
          <w:rStyle w:val="OperatorTok"/>
        </w:rPr>
        <w:t xml:space="preserve">*</w:t>
      </w:r>
      <w:r>
        <w:rPr>
          <w:rStyle w:val="NormalTok"/>
        </w:rPr>
        <w:t xml:space="preserve"> HEURES_PAR_AN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df[</w:t>
      </w:r>
      <w:r>
        <w:rPr>
          <w:rStyle w:val="StringTok"/>
        </w:rPr>
        <w:t xml:space="preserve">"temp_moy_6h"</w:t>
      </w:r>
      <w:r>
        <w:rPr>
          <w:rStyle w:val="NormalTok"/>
        </w:rPr>
        <w:t xml:space="preserve">] </w:t>
      </w:r>
      <w:r>
        <w:rPr>
          <w:rStyle w:val="OperatorTok"/>
        </w:rPr>
        <w:t xml:space="preserve">=</w:t>
      </w:r>
      <w:r>
        <w:rPr>
          <w:rStyle w:val="NormalTok"/>
        </w:rPr>
        <w:t xml:space="preserve"> df[</w:t>
      </w:r>
      <w:r>
        <w:rPr>
          <w:rStyle w:val="StringTok"/>
        </w:rPr>
        <w:t xml:space="preserve">"temp_lisse"</w:t>
      </w:r>
      <w:r>
        <w:rPr>
          <w:rStyle w:val="NormalTok"/>
        </w:rPr>
        <w:t xml:space="preserve">].rolling(</w:t>
      </w:r>
      <w:r>
        <w:rPr>
          <w:rStyle w:val="DecValTok"/>
        </w:rPr>
        <w:t xml:space="preserve">36</w:t>
      </w:r>
      <w:r>
        <w:rPr>
          <w:rStyle w:val="NormalTok"/>
        </w:rPr>
        <w:t xml:space="preserve">, min_periods</w:t>
      </w:r>
      <w:r>
        <w:rPr>
          <w:rStyle w:val="OperatorTok"/>
        </w:rPr>
        <w:t xml:space="preserve">=</w:t>
      </w:r>
      <w:r>
        <w:rPr>
          <w:rStyle w:val="DecValTok"/>
        </w:rPr>
        <w:t xml:space="preserve">1</w:t>
      </w:r>
      <w:r>
        <w:rPr>
          <w:rStyle w:val="NormalTok"/>
        </w:rPr>
        <w:t xml:space="preserve">).mean()</w:t>
      </w:r>
      <w:r>
        <w:br/>
      </w:r>
      <w:r>
        <w:rPr>
          <w:rStyle w:val="NormalTok"/>
        </w:rPr>
        <w:t xml:space="preserve">    df[</w:t>
      </w:r>
      <w:r>
        <w:rPr>
          <w:rStyle w:val="StringTok"/>
        </w:rPr>
        <w:t xml:space="preserve">"temps_immersion_h"</w:t>
      </w:r>
      <w:r>
        <w:rPr>
          <w:rStyle w:val="NormalTok"/>
        </w:rPr>
        <w:t xml:space="preserve">] </w:t>
      </w:r>
      <w:r>
        <w:rPr>
          <w:rStyle w:val="OperatorTok"/>
        </w:rPr>
        <w:t xml:space="preserve">=</w:t>
      </w:r>
      <w:r>
        <w:rPr>
          <w:rStyle w:val="NormalTok"/>
        </w:rPr>
        <w:t xml:space="preserve"> df[</w:t>
      </w:r>
      <w:r>
        <w:rPr>
          <w:rStyle w:val="StringTok"/>
        </w:rPr>
        <w:t xml:space="preserve">"timestamp_h"</w:t>
      </w:r>
      <w:r>
        <w:rPr>
          <w:rStyle w:val="NormalTok"/>
        </w:rPr>
        <w:t xml:space="preserve">] </w:t>
      </w:r>
      <w:r>
        <w:rPr>
          <w:rStyle w:val="OperatorTok"/>
        </w:rPr>
        <w:t xml:space="preserve">-</w:t>
      </w:r>
      <w:r>
        <w:rPr>
          <w:rStyle w:val="NormalTok"/>
        </w:rPr>
        <w:t xml:space="preserve"> df[</w:t>
      </w:r>
      <w:r>
        <w:rPr>
          <w:rStyle w:val="StringTok"/>
        </w:rPr>
        <w:t xml:space="preserve">"timestamp_h"</w:t>
      </w:r>
      <w:r>
        <w:rPr>
          <w:rStyle w:val="NormalTok"/>
        </w:rPr>
        <w:t xml:space="preserve">].iloc[</w:t>
      </w:r>
      <w:r>
        <w:rPr>
          <w:rStyle w:val="DecValTok"/>
        </w:rPr>
        <w:t xml:space="preserve">0</w:t>
      </w:r>
      <w:r>
        <w:rPr>
          <w:rStyle w:val="NormalTok"/>
        </w:rPr>
        <w:t xml:space="preserve">]</w:t>
      </w:r>
      <w:r>
        <w:br/>
      </w:r>
      <w:r>
        <w:rPr>
          <w:rStyle w:val="NormalTok"/>
        </w:rPr>
        <w:t xml:space="preserve">    R0 </w:t>
      </w:r>
      <w:r>
        <w:rPr>
          <w:rStyle w:val="OperatorTok"/>
        </w:rPr>
        <w:t xml:space="preserve">=</w:t>
      </w:r>
      <w:r>
        <w:rPr>
          <w:rStyle w:val="NormalTok"/>
        </w:rPr>
        <w:t xml:space="preserve"> df[</w:t>
      </w:r>
      <w:r>
        <w:rPr>
          <w:rStyle w:val="StringTok"/>
        </w:rPr>
        <w:t xml:space="preserve">"rx_corr"</w:t>
      </w:r>
      <w:r>
        <w:rPr>
          <w:rStyle w:val="NormalTok"/>
        </w:rPr>
        <w:t xml:space="preserve">].iloc[</w:t>
      </w:r>
      <w:r>
        <w:rPr>
          <w:rStyle w:val="DecValTok"/>
        </w:rPr>
        <w:t xml:space="preserve">0</w:t>
      </w:r>
      <w:r>
        <w:rPr>
          <w:rStyle w:val="NormalTok"/>
        </w:rPr>
        <w:t xml:space="preserve">]</w:t>
      </w:r>
      <w:r>
        <w:br/>
      </w:r>
      <w:r>
        <w:rPr>
          <w:rStyle w:val="NormalTok"/>
        </w:rPr>
        <w:t xml:space="preserve">    df[</w:t>
      </w:r>
      <w:r>
        <w:rPr>
          <w:rStyle w:val="StringTok"/>
        </w:rPr>
        <w:t xml:space="preserve">"delta_R_absolu"</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 </w:t>
      </w:r>
      <w:r>
        <w:rPr>
          <w:rStyle w:val="OperatorTok"/>
        </w:rPr>
        <w:t xml:space="preserve">-</w:t>
      </w:r>
      <w:r>
        <w:rPr>
          <w:rStyle w:val="NormalTok"/>
        </w:rPr>
        <w:t xml:space="preserve"> R0</w:t>
      </w:r>
      <w:r>
        <w:br/>
      </w:r>
      <w:r>
        <w:rPr>
          <w:rStyle w:val="NormalTok"/>
        </w:rPr>
        <w:t xml:space="preserve">    </w:t>
      </w:r>
      <w:r>
        <w:rPr>
          <w:rStyle w:val="ControlFlowTok"/>
        </w:rPr>
        <w:t xml:space="preserve">return</w:t>
      </w:r>
      <w:r>
        <w:rPr>
          <w:rStyle w:val="NormalTok"/>
        </w:rPr>
        <w:t xml:space="preserve"> df</w:t>
      </w:r>
    </w:p>
    <w:p>
      <w:pPr>
        <w:pStyle w:val="FirstParagraph"/>
      </w:pPr>
      <w:r>
        <w:rPr>
          <w:i/>
          <w:iCs/>
        </w:rPr>
        <w:t xml:space="preserve">Pipeline complet disponible dans le dépôt GitHub :</w:t>
      </w:r>
      <w:r>
        <w:rPr>
          <w:i/>
          <w:iCs/>
        </w:rPr>
        <w:t xml:space="preserve"> </w:t>
      </w:r>
      <w:r>
        <w:rPr>
          <w:rStyle w:val="VerbatimChar"/>
          <w:i/>
          <w:iCs/>
        </w:rPr>
        <w:t xml:space="preserve">pipeline/corrosion_pipeline.py</w:t>
      </w:r>
      <w:r>
        <w:rPr>
          <w:i/>
          <w:iCs/>
        </w:rPr>
        <w:t xml:space="preserve">.</w:t>
      </w:r>
    </w:p>
    <w:bookmarkEnd w:id="154"/>
    <w:bookmarkStart w:id="158" w:name="X866633686f9e59acae75a6fcbe6327624079636"/>
    <w:p>
      <w:pPr>
        <w:pStyle w:val="Heading2"/>
      </w:pPr>
      <w:r>
        <w:t xml:space="preserve">Annexe C — Schéma de câblage de la sonde ER</w:t>
      </w:r>
    </w:p>
    <w:p>
      <w:pPr>
        <w:pStyle w:val="CaptionedFigure"/>
      </w:pPr>
      <w:r>
        <w:drawing>
          <wp:inline>
            <wp:extent cx="5067300" cy="4422634"/>
            <wp:effectExtent b="0" l="0" r="0" t="0"/>
            <wp:docPr descr="Figure C.1 — Schéma de câblage complet : ESP32 + HX711 + Pont de Wheatstone + DS18B20 + cellule HDPE" title="" id="156" name="Picture"/>
            <a:graphic>
              <a:graphicData uri="http://schemas.openxmlformats.org/drawingml/2006/picture">
                <pic:pic>
                  <pic:nvPicPr>
                    <pic:cNvPr descr="figures/fig_c1_cablage.png" id="157" name="Picture"/>
                    <pic:cNvPicPr>
                      <a:picLocks noChangeArrowheads="1" noChangeAspect="1"/>
                    </pic:cNvPicPr>
                  </pic:nvPicPr>
                  <pic:blipFill>
                    <a:blip r:embed="rId155"/>
                    <a:stretch>
                      <a:fillRect/>
                    </a:stretch>
                  </pic:blipFill>
                  <pic:spPr bwMode="auto">
                    <a:xfrm>
                      <a:off x="0" y="0"/>
                      <a:ext cx="5067300" cy="4422634"/>
                    </a:xfrm>
                    <a:prstGeom prst="rect">
                      <a:avLst/>
                    </a:prstGeom>
                    <a:noFill/>
                    <a:ln w="9525">
                      <a:noFill/>
                      <a:headEnd/>
                      <a:tailEnd/>
                    </a:ln>
                  </pic:spPr>
                </pic:pic>
              </a:graphicData>
            </a:graphic>
          </wp:inline>
        </w:drawing>
      </w:r>
    </w:p>
    <w:p>
      <w:pPr>
        <w:pStyle w:val="ImageCaption"/>
      </w:pPr>
      <w:r>
        <w:t xml:space="preserve">Figure C.1 — Schéma de câblage complet : ESP32 + HX711 + Pont de Wheatstone + DS18B20 + cellule HDPE</w:t>
      </w:r>
    </w:p>
    <w:bookmarkEnd w:id="158"/>
    <w:bookmarkStart w:id="159" w:name="X8162eba6d3c808a71b484bf89168f5e4ba76936"/>
    <w:p>
      <w:pPr>
        <w:pStyle w:val="Heading2"/>
      </w:pPr>
      <w:r>
        <w:t xml:space="preserve">Annexe D — Fiche de sécurité Detar Plus (résumé)</w:t>
      </w:r>
    </w:p>
    <w:p>
      <w:pPr>
        <w:pStyle w:val="FirstParagraph"/>
      </w:pPr>
      <w:r>
        <w:t xml:space="preserve">Le</w:t>
      </w:r>
      <w:r>
        <w:t xml:space="preserve"> </w:t>
      </w:r>
      <w:r>
        <w:rPr>
          <w:b/>
          <w:bCs/>
        </w:rPr>
        <w:t xml:space="preserve">Detar Plus</w:t>
      </w:r>
      <w:r>
        <w:t xml:space="preserve"> </w:t>
      </w:r>
      <w:r>
        <w:t xml:space="preserve">est classé comme produit corrosif (catégorie 1A pour les acides minéraux). Lors des manipulations, les</w:t>
      </w:r>
      <w:r>
        <w:t xml:space="preserve"> </w:t>
      </w:r>
      <w:r>
        <w:rPr>
          <w:b/>
          <w:bCs/>
        </w:rPr>
        <w:t xml:space="preserve">équipements de protection individuelle (EPI)</w:t>
      </w:r>
      <w:r>
        <w:t xml:space="preserve"> </w:t>
      </w:r>
      <w:r>
        <w:t xml:space="preserve">suivants sont obligatoires :</w:t>
      </w:r>
    </w:p>
    <w:p>
      <w:pPr>
        <w:pStyle w:val="Compact"/>
        <w:numPr>
          <w:ilvl w:val="0"/>
          <w:numId w:val="1040"/>
        </w:numPr>
      </w:pPr>
      <w:r>
        <w:t xml:space="preserve">Lunettes de protection étanches aux projections liquides ;</w:t>
      </w:r>
    </w:p>
    <w:p>
      <w:pPr>
        <w:pStyle w:val="Compact"/>
        <w:numPr>
          <w:ilvl w:val="0"/>
          <w:numId w:val="1040"/>
        </w:numPr>
      </w:pPr>
      <w:r>
        <w:t xml:space="preserve">Gants résistants aux acides (nitrile, épaisseur ≥ 0,5 mm) ;</w:t>
      </w:r>
    </w:p>
    <w:p>
      <w:pPr>
        <w:pStyle w:val="Compact"/>
        <w:numPr>
          <w:ilvl w:val="0"/>
          <w:numId w:val="1040"/>
        </w:numPr>
      </w:pPr>
      <w:r>
        <w:t xml:space="preserve">Blouse de laboratoire en coton ;</w:t>
      </w:r>
    </w:p>
    <w:p>
      <w:pPr>
        <w:pStyle w:val="Compact"/>
        <w:numPr>
          <w:ilvl w:val="0"/>
          <w:numId w:val="1040"/>
        </w:numPr>
      </w:pPr>
      <w:r>
        <w:t xml:space="preserve">Hotte ou ventilation forcée à l’ouverture du récipient ;</w:t>
      </w:r>
    </w:p>
    <w:p>
      <w:pPr>
        <w:pStyle w:val="Compact"/>
        <w:numPr>
          <w:ilvl w:val="0"/>
          <w:numId w:val="1040"/>
        </w:numPr>
      </w:pPr>
      <w:r>
        <w:t xml:space="preserve">Solution de neutralisation (NaHCO₃) à proximité.</w:t>
      </w:r>
    </w:p>
    <w:p>
      <w:pPr>
        <w:pStyle w:val="FirstParagraph"/>
      </w:pPr>
      <w:r>
        <w:t xml:space="preserve">En cas de contact cutané : rincer abondamment à l’eau claire pendant au moins 15 minutes et consulter un médecin.</w:t>
      </w:r>
    </w:p>
    <w:bookmarkEnd w:id="159"/>
    <w:bookmarkStart w:id="160" w:name="X42bce5afd9da94b60a13eb14bc7ff64854633a7"/>
    <w:p>
      <w:pPr>
        <w:pStyle w:val="Heading2"/>
      </w:pPr>
      <w:r>
        <w:t xml:space="preserve">Annexe E — Fiche technique de l’inhibiteur de corrosion (famille imidazoline)</w:t>
      </w:r>
    </w:p>
    <w:p>
      <w:pPr>
        <w:pStyle w:val="FirstParagraph"/>
      </w:pPr>
      <w:r>
        <w:t xml:space="preserve">L’</w:t>
      </w:r>
      <w:r>
        <w:rPr>
          <w:b/>
          <w:bCs/>
        </w:rPr>
        <w:t xml:space="preserve">inhibiteur de corrosion</w:t>
      </w:r>
      <w:r>
        <w:t xml:space="preserve"> </w:t>
      </w:r>
      <w:r>
        <w:t xml:space="preserve">retenu pour ce travail appartient à la famille des</w:t>
      </w:r>
      <w:r>
        <w:t xml:space="preserve"> </w:t>
      </w:r>
      <w:r>
        <w:rPr>
          <w:b/>
          <w:bCs/>
        </w:rPr>
        <w:t xml:space="preserve">imidazolines</w:t>
      </w:r>
      <w:r>
        <w:t xml:space="preserve">. La référence commerciale précise sera fixée selon la disponibilité sur le marché camerounais (candidats potentiels : AC PROTECT 106, Nalco Champion EC1605A, Baker Hughes Petromeen 1000 ou équivalents). Caractéristiques génériques de cette famille :</w:t>
      </w:r>
    </w:p>
    <w:p>
      <w:pPr>
        <w:pStyle w:val="Compact"/>
        <w:numPr>
          <w:ilvl w:val="0"/>
          <w:numId w:val="1041"/>
        </w:numPr>
      </w:pPr>
      <w:r>
        <w:rPr>
          <w:b/>
          <w:bCs/>
        </w:rPr>
        <w:t xml:space="preserve">Mécanisme</w:t>
      </w:r>
      <w:r>
        <w:t xml:space="preserve"> </w:t>
      </w:r>
      <w:r>
        <w:t xml:space="preserve">: adsorption monomoléculaire (Langmuir) via l’atome d’azote du cycle imidazoline ;</w:t>
      </w:r>
    </w:p>
    <w:p>
      <w:pPr>
        <w:pStyle w:val="Compact"/>
        <w:numPr>
          <w:ilvl w:val="0"/>
          <w:numId w:val="1041"/>
        </w:numPr>
      </w:pPr>
      <w:r>
        <w:rPr>
          <w:b/>
          <w:bCs/>
        </w:rPr>
        <w:t xml:space="preserve">Efficacité fabricant déclarée</w:t>
      </w:r>
      <w:r>
        <w:t xml:space="preserve"> </w:t>
      </w:r>
      <w:r>
        <w:t xml:space="preserve">: η &gt; 90 % en milieu HCl 1 N ;</w:t>
      </w:r>
    </w:p>
    <w:p>
      <w:pPr>
        <w:pStyle w:val="Compact"/>
        <w:numPr>
          <w:ilvl w:val="0"/>
          <w:numId w:val="1041"/>
        </w:numPr>
      </w:pPr>
      <w:r>
        <w:rPr>
          <w:b/>
          <w:bCs/>
        </w:rPr>
        <w:t xml:space="preserve">Concentrations d’utilisation</w:t>
      </w:r>
      <w:r>
        <w:t xml:space="preserve"> </w:t>
      </w:r>
      <w:r>
        <w:t xml:space="preserve">: 0,05 à 1,0 % v/v selon sévérité du milieu ;</w:t>
      </w:r>
    </w:p>
    <w:p>
      <w:pPr>
        <w:pStyle w:val="Compact"/>
        <w:numPr>
          <w:ilvl w:val="0"/>
          <w:numId w:val="1041"/>
        </w:numPr>
      </w:pPr>
      <w:r>
        <w:rPr>
          <w:b/>
          <w:bCs/>
        </w:rPr>
        <w:t xml:space="preserve">Compatibilité</w:t>
      </w:r>
      <w:r>
        <w:t xml:space="preserve"> </w:t>
      </w:r>
      <w:r>
        <w:t xml:space="preserve">: aciers au carbone, alliages ferritiques (déconseillé alliages cuivre) ;</w:t>
      </w:r>
    </w:p>
    <w:p>
      <w:pPr>
        <w:pStyle w:val="Compact"/>
        <w:numPr>
          <w:ilvl w:val="0"/>
          <w:numId w:val="1041"/>
        </w:numPr>
      </w:pPr>
      <w:r>
        <w:rPr>
          <w:b/>
          <w:bCs/>
        </w:rPr>
        <w:t xml:space="preserve">Stockage</w:t>
      </w:r>
      <w:r>
        <w:t xml:space="preserve"> </w:t>
      </w:r>
      <w:r>
        <w:t xml:space="preserve">: récipient hermétique, à l’abri de la chaleur.</w:t>
      </w:r>
    </w:p>
    <w:bookmarkEnd w:id="160"/>
    <w:bookmarkStart w:id="164" w:name="Xcc55f5e422aaf19d95dc0e373d45c068519994c"/>
    <w:p>
      <w:pPr>
        <w:pStyle w:val="Heading2"/>
      </w:pPr>
      <w:r>
        <w:t xml:space="preserve">Annexe F — Schéma de base de données du prototype GMAO</w:t>
      </w:r>
    </w:p>
    <w:p>
      <w:pPr>
        <w:pStyle w:val="CaptionedFigure"/>
      </w:pPr>
      <w:r>
        <w:drawing>
          <wp:inline>
            <wp:extent cx="5067300" cy="3762870"/>
            <wp:effectExtent b="0" l="0" r="0" t="0"/>
            <wp:docPr descr="Figure F.1 — Schéma relationnel (ERD) de la base Supabase : 8 tables, clés étrangères en cardinalité 1 — *" title="" id="162" name="Picture"/>
            <a:graphic>
              <a:graphicData uri="http://schemas.openxmlformats.org/drawingml/2006/picture">
                <pic:pic>
                  <pic:nvPicPr>
                    <pic:cNvPr descr="figures/fig_f1_erd.png" id="163" name="Picture"/>
                    <pic:cNvPicPr>
                      <a:picLocks noChangeArrowheads="1" noChangeAspect="1"/>
                    </pic:cNvPicPr>
                  </pic:nvPicPr>
                  <pic:blipFill>
                    <a:blip r:embed="rId161"/>
                    <a:stretch>
                      <a:fillRect/>
                    </a:stretch>
                  </pic:blipFill>
                  <pic:spPr bwMode="auto">
                    <a:xfrm>
                      <a:off x="0" y="0"/>
                      <a:ext cx="5067300" cy="3762870"/>
                    </a:xfrm>
                    <a:prstGeom prst="rect">
                      <a:avLst/>
                    </a:prstGeom>
                    <a:noFill/>
                    <a:ln w="9525">
                      <a:noFill/>
                      <a:headEnd/>
                      <a:tailEnd/>
                    </a:ln>
                  </pic:spPr>
                </pic:pic>
              </a:graphicData>
            </a:graphic>
          </wp:inline>
        </w:drawing>
      </w:r>
    </w:p>
    <w:p>
      <w:pPr>
        <w:pStyle w:val="ImageCaption"/>
      </w:pPr>
      <w:r>
        <w:t xml:space="preserve">Figure F.1 — Schéma relationnel (ERD) de la base Supabase : 8 tables, clés étrangères en cardinalité 1 — *</w:t>
      </w:r>
    </w:p>
    <w:p>
      <w:pPr>
        <w:pStyle w:val="BodyText"/>
      </w:pPr>
      <w:r>
        <w:rPr>
          <w:b/>
          <w:bCs/>
        </w:rPr>
        <w:t xml:space="preserve">Définitions SQL des tables :</w:t>
      </w:r>
    </w:p>
    <w:p>
      <w:pPr>
        <w:pStyle w:val="SourceCode"/>
      </w:pPr>
      <w:r>
        <w:rPr>
          <w:rStyle w:val="CommentTok"/>
        </w:rPr>
        <w:t xml:space="preserve">-- 8 tables relationnelles (Supabase / PostgreSQL)</w:t>
      </w:r>
      <w:r>
        <w:br/>
      </w:r>
      <w:r>
        <w:br/>
      </w:r>
      <w:r>
        <w:rPr>
          <w:rStyle w:val="KeywordTok"/>
        </w:rPr>
        <w:t xml:space="preserve">CREATE</w:t>
      </w:r>
      <w:r>
        <w:rPr>
          <w:rStyle w:val="NormalTok"/>
        </w:rPr>
        <w:t xml:space="preserve"> </w:t>
      </w:r>
      <w:r>
        <w:rPr>
          <w:rStyle w:val="KeywordTok"/>
        </w:rPr>
        <w:t xml:space="preserve">TABLE</w:t>
      </w:r>
      <w:r>
        <w:rPr>
          <w:rStyle w:val="NormalTok"/>
        </w:rPr>
        <w:t xml:space="preserve"> assets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w:t>
      </w:r>
      <w:r>
        <w:br/>
      </w:r>
      <w:r>
        <w:rPr>
          <w:rStyle w:val="NormalTok"/>
        </w:rPr>
        <w:t xml:space="preserve">  localisation text,</w:t>
      </w:r>
      <w:r>
        <w:br/>
      </w:r>
      <w:r>
        <w:rPr>
          <w:rStyle w:val="NormalTok"/>
        </w:rPr>
        <w:t xml:space="preserve">  date_installation timestamptz,</w:t>
      </w:r>
      <w:r>
        <w:br/>
      </w:r>
      <w:r>
        <w:rPr>
          <w:rStyle w:val="NormalTok"/>
        </w:rPr>
        <w:t xml:space="preserve">  cr_seuil_orange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cr_seuil_rouge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rul_seuil_orange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48.0</w:t>
      </w:r>
      <w:r>
        <w:rPr>
          <w:rStyle w:val="NormalTok"/>
        </w:rPr>
        <w:t xml:space="preserve">,</w:t>
      </w:r>
      <w:r>
        <w:br/>
      </w:r>
      <w:r>
        <w:rPr>
          <w:rStyle w:val="NormalTok"/>
        </w:rPr>
        <w:t xml:space="preserve">  rul_seuil_rouge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12.0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measurements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timestamp_s bigint, vdiff_v </w:t>
      </w:r>
      <w:r>
        <w:rPr>
          <w:rStyle w:val="DataTypeTok"/>
        </w:rPr>
        <w:t xml:space="preserve">float</w:t>
      </w:r>
      <w:r>
        <w:rPr>
          <w:rStyle w:val="NormalTok"/>
        </w:rPr>
        <w:t xml:space="preserve">, rx_ohm </w:t>
      </w:r>
      <w:r>
        <w:rPr>
          <w:rStyle w:val="DataTypeTok"/>
        </w:rPr>
        <w:t xml:space="preserve">float</w:t>
      </w:r>
      <w:r>
        <w:rPr>
          <w:rStyle w:val="NormalTok"/>
        </w:rPr>
        <w:t xml:space="preserve">,</w:t>
      </w:r>
      <w:r>
        <w:br/>
      </w:r>
      <w:r>
        <w:rPr>
          <w:rStyle w:val="NormalTok"/>
        </w:rPr>
        <w:t xml:space="preserve">  temp_c </w:t>
      </w:r>
      <w:r>
        <w:rPr>
          <w:rStyle w:val="DataTypeTok"/>
        </w:rPr>
        <w:t xml:space="preserve">float</w:t>
      </w:r>
      <w:r>
        <w:rPr>
          <w:rStyle w:val="NormalTok"/>
        </w:rPr>
        <w:t xml:space="preserve">, delta_r_per_h </w:t>
      </w:r>
      <w:r>
        <w:rPr>
          <w:rStyle w:val="DataTypeTok"/>
        </w:rPr>
        <w:t xml:space="preserve">float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predictions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w:t>
      </w:r>
      <w:r>
        <w:rPr>
          <w:rStyle w:val="DataTypeTok"/>
        </w:rPr>
        <w:t xml:space="preserve">timestamp</w:t>
      </w:r>
      <w:r>
        <w:rPr>
          <w:rStyle w:val="NormalTok"/>
        </w:rPr>
        <w:t xml:space="preserve"> timestamptz,</w:t>
      </w:r>
      <w:r>
        <w:br/>
      </w:r>
      <w:r>
        <w:rPr>
          <w:rStyle w:val="NormalTok"/>
        </w:rPr>
        <w:t xml:space="preserve">  cr_predit </w:t>
      </w:r>
      <w:r>
        <w:rPr>
          <w:rStyle w:val="DataTypeTok"/>
        </w:rPr>
        <w:t xml:space="preserve">float</w:t>
      </w:r>
      <w:r>
        <w:rPr>
          <w:rStyle w:val="NormalTok"/>
        </w:rPr>
        <w:t xml:space="preserve">, rul_predit </w:t>
      </w:r>
      <w:r>
        <w:rPr>
          <w:rStyle w:val="DataTypeTok"/>
        </w:rPr>
        <w:t xml:space="preserve">float</w:t>
      </w:r>
      <w:r>
        <w:rPr>
          <w:rStyle w:val="NormalTok"/>
        </w:rPr>
        <w:t xml:space="preserve">,</w:t>
      </w:r>
      <w:r>
        <w:br/>
      </w:r>
      <w:r>
        <w:rPr>
          <w:rStyle w:val="NormalTok"/>
        </w:rPr>
        <w:t xml:space="preserve">  diagnostic text, confiance </w:t>
      </w:r>
      <w:r>
        <w:rPr>
          <w:rStyle w:val="DataTypeTok"/>
        </w:rPr>
        <w:t xml:space="preserve">float</w:t>
      </w:r>
      <w:r>
        <w:rPr>
          <w:rStyle w:val="NormalTok"/>
        </w:rPr>
        <w:t xml:space="preserve">,</w:t>
      </w:r>
      <w:r>
        <w:br/>
      </w:r>
      <w:r>
        <w:rPr>
          <w:rStyle w:val="NormalTok"/>
        </w:rPr>
        <w:t xml:space="preserve">  shap_top1 text, shap_top2 text, shap_top3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alerts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niveau text </w:t>
      </w:r>
      <w:r>
        <w:rPr>
          <w:rStyle w:val="KeywordTok"/>
        </w:rPr>
        <w:t xml:space="preserve">CHECK</w:t>
      </w:r>
      <w:r>
        <w:rPr>
          <w:rStyle w:val="NormalTok"/>
        </w:rPr>
        <w:t xml:space="preserve"> (niveau </w:t>
      </w:r>
      <w:r>
        <w:rPr>
          <w:rStyle w:val="KeywordTok"/>
        </w:rPr>
        <w:t xml:space="preserve">IN</w:t>
      </w:r>
      <w:r>
        <w:rPr>
          <w:rStyle w:val="NormalTok"/>
        </w:rPr>
        <w:t xml:space="preserve"> (</w:t>
      </w:r>
      <w:r>
        <w:rPr>
          <w:rStyle w:val="StringTok"/>
        </w:rPr>
        <w:t xml:space="preserve">'vert'</w:t>
      </w:r>
      <w:r>
        <w:rPr>
          <w:rStyle w:val="NormalTok"/>
        </w:rPr>
        <w:t xml:space="preserve">,</w:t>
      </w:r>
      <w:r>
        <w:rPr>
          <w:rStyle w:val="StringTok"/>
        </w:rPr>
        <w:t xml:space="preserve">'orange'</w:t>
      </w:r>
      <w:r>
        <w:rPr>
          <w:rStyle w:val="NormalTok"/>
        </w:rPr>
        <w:t xml:space="preserve">,</w:t>
      </w:r>
      <w:r>
        <w:rPr>
          <w:rStyle w:val="StringTok"/>
        </w:rPr>
        <w:t xml:space="preserve">'rouge'</w:t>
      </w:r>
      <w:r>
        <w:rPr>
          <w:rStyle w:val="NormalTok"/>
        </w:rPr>
        <w:t xml:space="preserve">)),</w:t>
      </w:r>
      <w:r>
        <w:br/>
      </w:r>
      <w:r>
        <w:rPr>
          <w:rStyle w:val="NormalTok"/>
        </w:rPr>
        <w:t xml:space="preserve">  </w:t>
      </w:r>
      <w:r>
        <w:rPr>
          <w:rStyle w:val="KeywordTok"/>
        </w:rPr>
        <w:t xml:space="preserve">type</w:t>
      </w:r>
      <w:r>
        <w:rPr>
          <w:rStyle w:val="NormalTok"/>
        </w:rPr>
        <w:t xml:space="preserve"> text, message text, recommandation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acknowledged_at timestamptz, resolved_at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work_orders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alert_id uuid </w:t>
      </w:r>
      <w:r>
        <w:rPr>
          <w:rStyle w:val="KeywordTok"/>
        </w:rPr>
        <w:t xml:space="preserve">REFERENCES</w:t>
      </w:r>
      <w:r>
        <w:rPr>
          <w:rStyle w:val="NormalTok"/>
        </w:rPr>
        <w:t xml:space="preserve"> alerts(</w:t>
      </w:r>
      <w:r>
        <w:rPr>
          <w:rStyle w:val="KeywordTok"/>
        </w:rPr>
        <w:t xml:space="preserve">id</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statut text </w:t>
      </w:r>
      <w:r>
        <w:rPr>
          <w:rStyle w:val="KeywordTok"/>
        </w:rPr>
        <w:t xml:space="preserve">CHECK</w:t>
      </w:r>
      <w:r>
        <w:rPr>
          <w:rStyle w:val="NormalTok"/>
        </w:rPr>
        <w:t xml:space="preserve"> (statut </w:t>
      </w:r>
      <w:r>
        <w:rPr>
          <w:rStyle w:val="KeywordTok"/>
        </w:rPr>
        <w:t xml:space="preserve">IN</w:t>
      </w:r>
      <w:r>
        <w:rPr>
          <w:rStyle w:val="NormalTok"/>
        </w:rPr>
        <w:t xml:space="preserve"> (</w:t>
      </w:r>
      <w:r>
        <w:rPr>
          <w:rStyle w:val="StringTok"/>
        </w:rPr>
        <w:t xml:space="preserve">'ouvert'</w:t>
      </w:r>
      <w:r>
        <w:rPr>
          <w:rStyle w:val="NormalTok"/>
        </w:rPr>
        <w:t xml:space="preserve">,</w:t>
      </w:r>
      <w:r>
        <w:rPr>
          <w:rStyle w:val="StringTok"/>
        </w:rPr>
        <w:t xml:space="preserve">'en_cours'</w:t>
      </w:r>
      <w:r>
        <w:rPr>
          <w:rStyle w:val="NormalTok"/>
        </w:rPr>
        <w:t xml:space="preserve">,</w:t>
      </w:r>
      <w:r>
        <w:rPr>
          <w:rStyle w:val="StringTok"/>
        </w:rPr>
        <w:t xml:space="preserve">'ferme'</w:t>
      </w:r>
      <w:r>
        <w:rPr>
          <w:rStyle w:val="NormalTok"/>
        </w:rPr>
        <w:t xml:space="preserve">)),</w:t>
      </w:r>
      <w:r>
        <w:br/>
      </w:r>
      <w:r>
        <w:rPr>
          <w:rStyle w:val="NormalTok"/>
        </w:rPr>
        <w:t xml:space="preserve">  priorite text, technicien_assigne text, description text,</w:t>
      </w:r>
      <w:r>
        <w:br/>
      </w:r>
      <w:r>
        <w:rPr>
          <w:rStyle w:val="NormalTok"/>
        </w:rPr>
        <w:t xml:space="preserve">  created_at timestamptz </w:t>
      </w:r>
      <w:r>
        <w:rPr>
          <w:rStyle w:val="KeywordTok"/>
        </w:rPr>
        <w:t xml:space="preserve">DEFAULT</w:t>
      </w:r>
      <w:r>
        <w:rPr>
          <w:rStyle w:val="NormalTok"/>
        </w:rPr>
        <w:t xml:space="preserve"> now(), ferme_le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interventions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work_order_id uuid </w:t>
      </w:r>
      <w:r>
        <w:rPr>
          <w:rStyle w:val="KeywordTok"/>
        </w:rPr>
        <w:t xml:space="preserve">REFERENCES</w:t>
      </w:r>
      <w:r>
        <w:rPr>
          <w:rStyle w:val="NormalTok"/>
        </w:rPr>
        <w:t xml:space="preserve"> work_orders(</w:t>
      </w:r>
      <w:r>
        <w:rPr>
          <w:rStyle w:val="KeywordTok"/>
        </w:rPr>
        <w:t xml:space="preserve">id</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technicien text,</w:t>
      </w:r>
      <w:r>
        <w:br/>
      </w:r>
      <w:r>
        <w:rPr>
          <w:rStyle w:val="NormalTok"/>
        </w:rPr>
        <w:t xml:space="preserve">  duree_min </w:t>
      </w:r>
      <w:r>
        <w:rPr>
          <w:rStyle w:val="DataTypeTok"/>
        </w:rPr>
        <w:t xml:space="preserve">int</w:t>
      </w:r>
      <w:r>
        <w:rPr>
          <w:rStyle w:val="NormalTok"/>
        </w:rPr>
        <w:t xml:space="preserve">, cout_fcfa </w:t>
      </w:r>
      <w:r>
        <w:rPr>
          <w:rStyle w:val="DataTypeTok"/>
        </w:rPr>
        <w:t xml:space="preserve">int</w:t>
      </w:r>
      <w:r>
        <w:rPr>
          <w:rStyle w:val="NormalTok"/>
        </w:rPr>
        <w:t xml:space="preserve">,</w:t>
      </w:r>
      <w:r>
        <w:br/>
      </w:r>
      <w:r>
        <w:rPr>
          <w:rStyle w:val="NormalTok"/>
        </w:rPr>
        <w:t xml:space="preserve">  notes text, photo_url text,</w:t>
      </w:r>
      <w:r>
        <w:br/>
      </w:r>
      <w:r>
        <w:rPr>
          <w:rStyle w:val="NormalTok"/>
        </w:rPr>
        <w:t xml:space="preserve">  realise_le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inhibitor_doses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intervention_id uuid </w:t>
      </w:r>
      <w:r>
        <w:rPr>
          <w:rStyle w:val="KeywordTok"/>
        </w:rPr>
        <w:t xml:space="preserve">REFERENCES</w:t>
      </w:r>
      <w:r>
        <w:rPr>
          <w:rStyle w:val="NormalTok"/>
        </w:rPr>
        <w:t xml:space="preserve"> interventions(</w:t>
      </w:r>
      <w:r>
        <w:rPr>
          <w:rStyle w:val="KeywordTok"/>
        </w:rPr>
        <w:t xml:space="preserve">id</w:t>
      </w:r>
      <w:r>
        <w:rPr>
          <w:rStyle w:val="NormalTok"/>
        </w:rPr>
        <w:t xml:space="preserve">),</w:t>
      </w:r>
      <w:r>
        <w:br/>
      </w:r>
      <w:r>
        <w:rPr>
          <w:rStyle w:val="NormalTok"/>
        </w:rPr>
        <w:t xml:space="preserve">  produit text </w:t>
      </w:r>
      <w:r>
        <w:rPr>
          <w:rStyle w:val="KeywordTok"/>
        </w:rPr>
        <w:t xml:space="preserve">DEFAULT</w:t>
      </w:r>
      <w:r>
        <w:rPr>
          <w:rStyle w:val="NormalTok"/>
        </w:rPr>
        <w:t xml:space="preserve"> </w:t>
      </w:r>
      <w:r>
        <w:rPr>
          <w:rStyle w:val="StringTok"/>
        </w:rPr>
        <w:t xml:space="preserve">'imidazoline'</w:t>
      </w:r>
      <w:r>
        <w:rPr>
          <w:rStyle w:val="NormalTok"/>
        </w:rPr>
        <w:t xml:space="preserve">,</w:t>
      </w:r>
      <w:r>
        <w:br/>
      </w:r>
      <w:r>
        <w:rPr>
          <w:rStyle w:val="NormalTok"/>
        </w:rPr>
        <w:t xml:space="preserve">  concentration_pct </w:t>
      </w:r>
      <w:r>
        <w:rPr>
          <w:rStyle w:val="DataTypeTok"/>
        </w:rPr>
        <w:t xml:space="preserve">float</w:t>
      </w:r>
      <w:r>
        <w:rPr>
          <w:rStyle w:val="NormalTok"/>
        </w:rPr>
        <w:t xml:space="preserve">, volume_ml </w:t>
      </w:r>
      <w:r>
        <w:rPr>
          <w:rStyle w:val="DataTypeTok"/>
        </w:rPr>
        <w:t xml:space="preserve">float</w:t>
      </w:r>
      <w:r>
        <w:rPr>
          <w:rStyle w:val="NormalTok"/>
        </w:rPr>
        <w:t xml:space="preserve">,</w:t>
      </w:r>
      <w:r>
        <w:br/>
      </w:r>
      <w:r>
        <w:rPr>
          <w:rStyle w:val="NormalTok"/>
        </w:rPr>
        <w:t xml:space="preserve">  injecte_le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kpi_maintenance </w:t>
      </w:r>
      <w:r>
        <w:rPr>
          <w:rStyle w:val="KeywordTok"/>
        </w:rPr>
        <w:t xml:space="preserve">AS</w:t>
      </w:r>
      <w:r>
        <w:br/>
      </w:r>
      <w:r>
        <w:rPr>
          <w:rStyle w:val="KeywordTok"/>
        </w:rPr>
        <w:t xml:space="preserve">SELECT</w:t>
      </w:r>
      <w:r>
        <w:br/>
      </w:r>
      <w:r>
        <w:rPr>
          <w:rStyle w:val="NormalTok"/>
        </w:rPr>
        <w:t xml:space="preserve">  asset_id,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wo.</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wo.statut</w:t>
      </w:r>
      <w:r>
        <w:rPr>
          <w:rStyle w:val="OperatorTok"/>
        </w:rPr>
        <w:t xml:space="preserve">=</w:t>
      </w:r>
      <w:r>
        <w:rPr>
          <w:rStyle w:val="StringTok"/>
        </w:rPr>
        <w:t xml:space="preserve">'ferme'</w:t>
      </w:r>
      <w:r>
        <w:rPr>
          <w:rStyle w:val="NormalTok"/>
        </w:rPr>
        <w:t xml:space="preserve">) </w:t>
      </w:r>
      <w:r>
        <w:rPr>
          <w:rStyle w:val="KeywordTok"/>
        </w:rPr>
        <w:t xml:space="preserve">AS</w:t>
      </w:r>
      <w:r>
        <w:rPr>
          <w:rStyle w:val="NormalTok"/>
        </w:rPr>
        <w:t xml:space="preserve"> ot_fermes,</w:t>
      </w:r>
      <w:r>
        <w:br/>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(EPOCH </w:t>
      </w:r>
      <w:r>
        <w:rPr>
          <w:rStyle w:val="KeywordTok"/>
        </w:rPr>
        <w:t xml:space="preserve">FROM</w:t>
      </w:r>
      <w:r>
        <w:rPr>
          <w:rStyle w:val="NormalTok"/>
        </w:rPr>
        <w:t xml:space="preserve"> (wo.ferme_le </w:t>
      </w:r>
      <w:r>
        <w:rPr>
          <w:rStyle w:val="OperatorTok"/>
        </w:rPr>
        <w:t xml:space="preserve">-</w:t>
      </w:r>
      <w:r>
        <w:rPr>
          <w:rStyle w:val="NormalTok"/>
        </w:rPr>
        <w:t xml:space="preserve"> wo.created_at))</w:t>
      </w:r>
      <w:r>
        <w:rPr>
          <w:rStyle w:val="OperatorTok"/>
        </w:rPr>
        <w:t xml:space="preserve">/</w:t>
      </w:r>
      <w:r>
        <w:rPr>
          <w:rStyle w:val="DecValTok"/>
        </w:rPr>
        <w:t xml:space="preserve">3600</w:t>
      </w:r>
      <w:r>
        <w:rPr>
          <w:rStyle w:val="NormalTok"/>
        </w:rPr>
        <w:t xml:space="preserve">) </w:t>
      </w:r>
      <w:r>
        <w:rPr>
          <w:rStyle w:val="KeywordTok"/>
        </w:rPr>
        <w:t xml:space="preserve">AS</w:t>
      </w:r>
      <w:r>
        <w:rPr>
          <w:rStyle w:val="NormalTok"/>
        </w:rPr>
        <w:t xml:space="preserve"> mttr_h</w:t>
      </w:r>
      <w:r>
        <w:br/>
      </w:r>
      <w:r>
        <w:rPr>
          <w:rStyle w:val="KeywordTok"/>
        </w:rPr>
        <w:t xml:space="preserve">FROM</w:t>
      </w:r>
      <w:r>
        <w:rPr>
          <w:rStyle w:val="NormalTok"/>
        </w:rPr>
        <w:t xml:space="preserve"> work_orders wo </w:t>
      </w:r>
      <w:r>
        <w:rPr>
          <w:rStyle w:val="KeywordTok"/>
        </w:rPr>
        <w:t xml:space="preserve">GROUP</w:t>
      </w:r>
      <w:r>
        <w:rPr>
          <w:rStyle w:val="NormalTok"/>
        </w:rPr>
        <w:t xml:space="preserve"> </w:t>
      </w:r>
      <w:r>
        <w:rPr>
          <w:rStyle w:val="KeywordTok"/>
        </w:rPr>
        <w:t xml:space="preserve">BY</w:t>
      </w:r>
      <w:r>
        <w:rPr>
          <w:rStyle w:val="NormalTok"/>
        </w:rPr>
        <w:t xml:space="preserve"> asset_id;</w:t>
      </w:r>
    </w:p>
    <w:bookmarkEnd w:id="164"/>
    <w:bookmarkStart w:id="165" w:name="annexe-g-liste-des-fichiers-du-projet"/>
    <w:p>
      <w:pPr>
        <w:pStyle w:val="Heading2"/>
      </w:pPr>
      <w:r>
        <w:t xml:space="preserve">Annexe G — Liste des fichiers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firmware/corrosion_monitor.ino</w:t>
            </w:r>
          </w:p>
        </w:tc>
        <w:tc>
          <w:tcPr/>
          <w:p>
            <w:pPr>
              <w:pStyle w:val="Compact"/>
            </w:pPr>
            <w:r>
              <w:t xml:space="preserve">Firmware ESP32 + intégration Supabase</w:t>
            </w:r>
          </w:p>
        </w:tc>
      </w:tr>
      <w:tr>
        <w:tc>
          <w:tcPr/>
          <w:p>
            <w:pPr>
              <w:pStyle w:val="Compact"/>
            </w:pPr>
            <w:r>
              <w:rPr>
                <w:rStyle w:val="VerbatimChar"/>
              </w:rPr>
              <w:t xml:space="preserve">pipeline/corrosion_pipeline.py</w:t>
            </w:r>
          </w:p>
        </w:tc>
        <w:tc>
          <w:tcPr/>
          <w:p>
            <w:pPr>
              <w:pStyle w:val="Compact"/>
            </w:pPr>
            <w:r>
              <w:t xml:space="preserve">Pipeline Python ML + diagnostic</w:t>
            </w:r>
          </w:p>
        </w:tc>
      </w:tr>
      <w:tr>
        <w:tc>
          <w:tcPr/>
          <w:p>
            <w:pPr>
              <w:pStyle w:val="Compact"/>
            </w:pPr>
            <w:r>
              <w:rPr>
                <w:rStyle w:val="VerbatimChar"/>
              </w:rPr>
              <w:t xml:space="preserve">gmao/supabase/migrations/*.sql</w:t>
            </w:r>
          </w:p>
        </w:tc>
        <w:tc>
          <w:tcPr/>
          <w:p>
            <w:pPr>
              <w:pStyle w:val="Compact"/>
            </w:pPr>
            <w:r>
              <w:t xml:space="preserve">Migrations BDD Supabase</w:t>
            </w:r>
          </w:p>
        </w:tc>
      </w:tr>
      <w:tr>
        <w:tc>
          <w:tcPr/>
          <w:p>
            <w:pPr>
              <w:pStyle w:val="Compact"/>
            </w:pPr>
            <w:r>
              <w:rPr>
                <w:rStyle w:val="VerbatimChar"/>
              </w:rPr>
              <w:t xml:space="preserve">gmao/nextjs/app/</w:t>
            </w:r>
          </w:p>
        </w:tc>
        <w:tc>
          <w:tcPr/>
          <w:p>
            <w:pPr>
              <w:pStyle w:val="Compact"/>
            </w:pPr>
            <w:r>
              <w:t xml:space="preserve">Application web Next.js (frontend GMAO)</w:t>
            </w:r>
          </w:p>
        </w:tc>
      </w:tr>
      <w:tr>
        <w:tc>
          <w:tcPr/>
          <w:p>
            <w:pPr>
              <w:pStyle w:val="Compact"/>
            </w:pPr>
            <w:r>
              <w:rPr>
                <w:rStyle w:val="VerbatimChar"/>
              </w:rPr>
              <w:t xml:space="preserve">memoire/memoire_v4.md</w:t>
            </w:r>
          </w:p>
        </w:tc>
        <w:tc>
          <w:tcPr/>
          <w:p>
            <w:pPr>
              <w:pStyle w:val="Compact"/>
            </w:pPr>
            <w:r>
              <w:t xml:space="preserve">Mémoire (ce document, source Markdown)</w:t>
            </w:r>
          </w:p>
        </w:tc>
      </w:tr>
      <w:tr>
        <w:tc>
          <w:tcPr/>
          <w:p>
            <w:pPr>
              <w:pStyle w:val="Compact"/>
            </w:pPr>
            <w:r>
              <w:rPr>
                <w:rStyle w:val="VerbatimChar"/>
              </w:rPr>
              <w:t xml:space="preserve">memoire/memoire_v4.docx</w:t>
            </w:r>
          </w:p>
        </w:tc>
        <w:tc>
          <w:tcPr/>
          <w:p>
            <w:pPr>
              <w:pStyle w:val="Compact"/>
            </w:pPr>
            <w:r>
              <w:t xml:space="preserve">Mémoire (version Word ENSPD)</w:t>
            </w:r>
          </w:p>
        </w:tc>
      </w:tr>
    </w:tbl>
    <w:p>
      <w:pPr>
        <w:pStyle w:val="BodyText"/>
      </w:pPr>
      <w:r>
        <w:t xml:space="preserve">Lien GitHub :</w:t>
      </w:r>
      <w:r>
        <w:t xml:space="preserve"> </w:t>
      </w:r>
      <w:r>
        <w:rPr>
          <w:rStyle w:val="VerbatimChar"/>
        </w:rPr>
        <w:t xml:space="preserve">londola13/predictive-maintenance-corrosion</w:t>
      </w:r>
    </w:p>
    <w:bookmarkEnd w:id="165"/>
    <w:bookmarkEnd w:id="166"/>
    <w:bookmarkStart w:id="167" w:name="table-des-matières"/>
    <w:p>
      <w:pPr>
        <w:pStyle w:val="Heading1"/>
      </w:pPr>
      <w:r>
        <w:t xml:space="preserve">TABLE DES MATIÈRES</w:t>
      </w:r>
    </w:p>
    <w:p>
      <w:pPr>
        <w:pStyle w:val="FirstParagraph"/>
      </w:pPr>
      <w:r>
        <w:rPr>
          <w:i/>
          <w:iCs/>
        </w:rPr>
        <w:t xml:space="preserve">(générée automatiquement par Word à partir des styles Heading 1 / 2 / 3)</w:t>
      </w:r>
    </w:p>
    <w:bookmarkEnd w:id="167"/>
    <w:sectPr>
      <w:footnotePr>
        <w:numRestart w:val="eachSect"/>
      </w:footnotePr>
      <w:pgMar w:top="1701" w:bottom="1701"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auto" w:line="276"/>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5" Type="http://schemas.openxmlformats.org/officeDocument/2006/relationships/image" Target="media/rId155.png"/><Relationship Id="rId161" Type="http://schemas.openxmlformats.org/officeDocument/2006/relationships/image" Target="media/rId161.png"/><Relationship Id="rId99" Type="http://schemas.openxmlformats.org/officeDocument/2006/relationships/image" Target="media/rId99.png"/><Relationship Id="rId62" Type="http://schemas.openxmlformats.org/officeDocument/2006/relationships/image" Target="media/rId62.png"/><Relationship Id="rId67" Type="http://schemas.openxmlformats.org/officeDocument/2006/relationships/image" Target="media/rId67.png"/><Relationship Id="rId76" Type="http://schemas.openxmlformats.org/officeDocument/2006/relationships/image" Target="media/rId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intégré de maintenance prédictive de la corrosion par apprentissage automatique : transition Industrie 3.0 → 4.0 par sonde ER instrumentée IoT, prédiction XGBoost CR/RUL et intégration à un CMMS open-source</dc:title>
  <dc:creator/>
  <cp:keywords/>
  <dcterms:created xsi:type="dcterms:W3CDTF">2026-04-30T12:17:14Z</dcterms:created>
  <dcterms:modified xsi:type="dcterms:W3CDTF">2026-04-30T12:17:14Z</dcterms:modified>
</cp:coreProperties>
</file>

<file path=docProps/custom.xml><?xml version="1.0" encoding="utf-8"?>
<Properties xmlns="http://schemas.openxmlformats.org/officeDocument/2006/custom-properties" xmlns:vt="http://schemas.openxmlformats.org/officeDocument/2006/docPropsVTypes"/>
</file>