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rPr>
        <w:t xml:space="preserve">Système de maintenance prédictive de la corrosion par apprentissage automatique : conception d’une sonde ER low-cost, acquisition IoT et prédiction du taux de corrosion et de la durée de vie résiduelle par XGBoost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age-de-titre"/>
    <w:p>
      <w:pPr>
        <w:pStyle w:val="Heading1"/>
      </w:pPr>
      <w:r>
        <w:rPr>
          <w:rFonts w:ascii="Times New Roman" w:hAnsi="Times New Roman"/>
        </w:rPr>
        <w:t xml:space="preserve">PAGE DE TITRE</w:t>
      </w:r>
    </w:p>
    <w:p>
      <w:pPr>
        <w:pStyle w:val="FirstParagraph"/>
      </w:pPr>
      <w:r>
        <w:rPr>
          <w:rFonts w:ascii="Times New Roman" w:hAnsi="Times New Roman"/>
          <w:b/>
          <w:bCs/>
        </w:rPr>
        <w:t xml:space="preserve">RÉPUBLIQUE DU CAMEROUN</w:t>
      </w:r>
      <w:r>
        <w:rPr>
          <w:rFonts w:ascii="Times New Roman" w:hAnsi="Times New Roman"/>
        </w:rPr>
        <w:t xml:space="preserve"> </w:t>
      </w:r>
      <w:r>
        <w:rPr>
          <w:rFonts w:ascii="Times New Roman" w:hAnsi="Times New Roman"/>
          <w:i/>
          <w:iCs/>
        </w:rPr>
        <w:t xml:space="preserve">Paix — Travail — Patrie</w:t>
      </w:r>
    </w:p>
    <w:p>
      <w:pPr>
        <w:pStyle w:val="BodyText"/>
      </w:pPr>
      <w:r>
        <w:rPr>
          <w:rFonts w:ascii="Times New Roman" w:hAnsi="Times New Roman"/>
          <w:b/>
          <w:bCs/>
        </w:rPr>
        <w:t xml:space="preserve">REPUBLIC OF CAMEROON</w:t>
      </w:r>
      <w:r>
        <w:rPr>
          <w:rFonts w:ascii="Times New Roman" w:hAnsi="Times New Roman"/>
        </w:rPr>
        <w:t xml:space="preserve"> </w:t>
      </w:r>
      <w:r>
        <w:rPr>
          <w:rFonts w:ascii="Times New Roman" w:hAnsi="Times New Roman"/>
          <w:i/>
          <w:iCs/>
        </w:rPr>
        <w:t xml:space="preserve">Peace — Work — Fatherland</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MINISTÈRE DE L’ENSEIGNEMENT SUPÉRIEUR</w:t>
      </w:r>
    </w:p>
    <w:p>
      <w:pPr>
        <w:pStyle w:val="BodyText"/>
      </w:pPr>
      <w:r>
        <w:rPr>
          <w:rFonts w:ascii="Times New Roman" w:hAnsi="Times New Roman"/>
          <w:b/>
          <w:bCs/>
        </w:rPr>
        <w:t xml:space="preserve">ÉCOLE NATIONALE SUPÉRIEURE POLYTECHNIQUE DE DOUALA</w:t>
      </w:r>
      <w:r>
        <w:rPr>
          <w:rFonts w:ascii="Times New Roman" w:hAnsi="Times New Roman"/>
        </w:rPr>
        <w:t xml:space="preserve"> </w:t>
      </w:r>
      <w:r>
        <w:rPr>
          <w:rFonts w:ascii="Times New Roman" w:hAnsi="Times New Roman"/>
          <w:i/>
          <w:iCs/>
        </w:rPr>
        <w:t xml:space="preserve">(ENSPD)</w:t>
      </w:r>
    </w:p>
    <w:p>
      <w:pPr>
        <w:pStyle w:val="BodyText"/>
      </w:pPr>
      <w:r>
        <w:rPr>
          <w:rFonts w:ascii="Times New Roman" w:hAnsi="Times New Roman"/>
          <w:b/>
          <w:bCs/>
        </w:rPr>
        <w:t xml:space="preserve">Département de Génie Industriel et Maintenance</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Mémoire rédigé en vue de l’obtention d’un Master Professionnel</w:t>
      </w:r>
    </w:p>
    <w:p>
      <w:pPr>
        <w:pStyle w:val="BodyText"/>
      </w:pPr>
      <w:r>
        <w:rPr>
          <w:rFonts w:ascii="Times New Roman" w:hAnsi="Times New Roman"/>
          <w:b/>
          <w:bCs/>
        </w:rPr>
        <w:t xml:space="preserve">OPTION : MAINTENANCE INDUSTRIELLE</w:t>
      </w:r>
    </w:p>
    <w:p>
      <w:r>
        <w:rPr>
          <w:rFonts w:ascii="Times New Roman" w:hAnsi="Times New Roman"/>
        </w:rPr>
        <w:pict>
          <v:rect style="width:0;height:1.5pt" o:hralign="center" o:hrstd="t" o:hr="t"/>
        </w:pict>
      </w:r>
    </w:p>
    <w:p>
      <w:pPr>
        <w:pStyle w:val="FirstParagraph"/>
      </w:pPr>
      <w:r>
        <w:rPr>
          <w:rFonts w:ascii="Times New Roman" w:hAnsi="Times New Roman"/>
          <w:b/>
          <w:bCs/>
        </w:rPr>
        <w:t xml:space="preserve">Thème :</w:t>
      </w:r>
    </w:p>
    <w:p>
      <w:pPr>
        <w:pStyle w:val="BodyText"/>
      </w:pPr>
      <w:r>
        <w:rPr>
          <w:rFonts w:ascii="Times New Roman" w:hAnsi="Times New Roman"/>
          <w:b/>
          <w:bCs/>
        </w:rPr>
        <w:t xml:space="preserve">SYSTÈME DE MAINTENANCE PRÉDICTIVE DE LA CORROSION PAR APPRENTISSAGE AUTOMATIQUE : CONCEPTION D’UNE SONDE ER LOW-COST, ACQUISITION IoT ET PRÉDICTION DU TAUX DE CORROSION ET DE LA DURÉE DE VIE RÉSIDUELLE PAR XGBoost</w:t>
      </w:r>
    </w:p>
    <w:p>
      <w:r>
        <w:rPr>
          <w:rFonts w:ascii="Times New Roman" w:hAnsi="Times New Roman"/>
        </w:rPr>
        <w:pict>
          <v:rect style="width:0;height:1.5pt" o:hralign="center" o:hrstd="t" o:hr="t"/>
        </w:pict>
      </w:r>
    </w:p>
    <w:tbl>
      <w:tblPr>
        <w:tblStyle w:val="Table"/>
        <w:tblW w:type="auto" w:w="0"/>
        <w:jc w:val="center"/>
        <w:tblLook w:firstRow="0" w:lastRow="0" w:firstColumn="0" w:lastColumn="0" w:noHBand="0" w:noVBand="0" w:val="0000"/>
      </w:tblPr>
      <w:tblGrid>
        <w:gridCol w:w="3960"/>
        <w:gridCol w:w="3960"/>
      </w:tblGrid>
      <w:tr>
        <w:tc>
          <w:tcPr/>
          <w:p>
            <w:pPr>
              <w:pStyle w:val="Compact"/>
            </w:pPr>
            <w:r>
              <w:rPr>
                <w:rFonts w:ascii="Times New Roman" w:hAnsi="Times New Roman"/>
                <w:b/>
                <w:bCs/>
                <w:sz w:val="20"/>
              </w:rPr>
              <w:t xml:space="preserve">Rédigé par :</w:t>
            </w:r>
          </w:p>
        </w:tc>
        <w:tc>
          <w:tcPr/>
          <w:p>
            <w:pPr>
              <w:pStyle w:val="Compact"/>
            </w:pPr>
            <w:r>
              <w:rPr>
                <w:rFonts w:ascii="Times New Roman" w:hAnsi="Times New Roman"/>
                <w:b/>
                <w:sz w:val="20"/>
              </w:rPr>
              <w:t xml:space="preserve">BATOUMBI IKOND Ricky Parfait</w:t>
            </w:r>
          </w:p>
        </w:tc>
      </w:tr>
      <w:tr>
        <w:tc>
          <w:tcPr/>
          <w:p>
            <w:pPr>
              <w:pStyle w:val="Compact"/>
            </w:pPr>
            <w:r>
              <w:rPr>
                <w:rFonts w:ascii="Times New Roman" w:hAnsi="Times New Roman"/>
                <w:b/>
                <w:bCs/>
                <w:sz w:val="20"/>
              </w:rPr>
              <w:t xml:space="preserve">Matricule :</w:t>
            </w:r>
          </w:p>
        </w:tc>
        <w:tc>
          <w:tcPr/>
          <w:p>
            <w:pPr>
              <w:pStyle w:val="Compact"/>
            </w:pPr>
            <w:r>
              <w:rPr>
                <w:rFonts w:ascii="Times New Roman" w:hAnsi="Times New Roman"/>
                <w:sz w:val="20"/>
              </w:rPr>
              <w:t xml:space="preserve">À compléter</w:t>
            </w:r>
          </w:p>
        </w:tc>
      </w:tr>
      <w:tr>
        <w:tc>
          <w:tcPr/>
          <w:p>
            <w:pPr>
              <w:pStyle w:val="Compact"/>
            </w:pPr>
            <w:r>
              <w:rPr>
                <w:rFonts w:ascii="Times New Roman" w:hAnsi="Times New Roman"/>
                <w:b/>
                <w:bCs/>
                <w:sz w:val="20"/>
              </w:rPr>
              <w:t xml:space="preserve">Sous encadrement académique de :</w:t>
            </w:r>
          </w:p>
        </w:tc>
        <w:tc>
          <w:tcPr/>
          <w:p>
            <w:pPr>
              <w:pStyle w:val="Compact"/>
            </w:pPr>
            <w:r>
              <w:rPr>
                <w:rFonts w:ascii="Times New Roman" w:hAnsi="Times New Roman"/>
                <w:sz w:val="20"/>
              </w:rPr>
              <w:t xml:space="preserve">À compléter</w:t>
            </w:r>
          </w:p>
        </w:tc>
      </w:tr>
      <w:tr>
        <w:tc>
          <w:tcPr/>
          <w:p>
            <w:pPr>
              <w:pStyle w:val="Compact"/>
            </w:pPr>
            <w:r>
              <w:rPr>
                <w:rFonts w:ascii="Times New Roman" w:hAnsi="Times New Roman"/>
                <w:b/>
                <w:bCs/>
                <w:sz w:val="20"/>
              </w:rPr>
              <w:t xml:space="preserve">Sous l’encadrement professionnel de :</w:t>
            </w:r>
          </w:p>
        </w:tc>
        <w:tc>
          <w:tcPr/>
          <w:p>
            <w:pPr>
              <w:pStyle w:val="Compact"/>
            </w:pPr>
            <w:r>
              <w:rPr>
                <w:rFonts w:ascii="Times New Roman" w:hAnsi="Times New Roman"/>
                <w:sz w:val="20"/>
              </w:rPr>
              <w:t xml:space="preserve">À compléter (COTCO)</w:t>
            </w:r>
          </w:p>
        </w:tc>
      </w:tr>
      <w:tr>
        <w:tc>
          <w:tcPr/>
          <w:p>
            <w:pPr>
              <w:pStyle w:val="Compact"/>
            </w:pPr>
            <w:r>
              <w:rPr>
                <w:rFonts w:ascii="Times New Roman" w:hAnsi="Times New Roman"/>
                <w:b/>
                <w:bCs/>
                <w:sz w:val="20"/>
              </w:rPr>
              <w:t xml:space="preserve">Sous la supervision de :</w:t>
            </w:r>
          </w:p>
        </w:tc>
        <w:tc>
          <w:tcPr/>
          <w:p>
            <w:pPr>
              <w:pStyle w:val="Compact"/>
            </w:pPr>
            <w:r>
              <w:rPr>
                <w:rFonts w:ascii="Times New Roman" w:hAnsi="Times New Roman"/>
                <w:sz w:val="20"/>
              </w:rPr>
              <w:t xml:space="preserve">À compléter</w:t>
            </w:r>
          </w:p>
        </w:tc>
      </w:tr>
      <w:tr>
        <w:tc>
          <w:tcPr/>
          <w:p>
            <w:pPr>
              <w:pStyle w:val="Compact"/>
            </w:pPr>
            <w:r>
              <w:rPr>
                <w:rFonts w:ascii="Times New Roman" w:hAnsi="Times New Roman"/>
                <w:b/>
                <w:bCs/>
                <w:sz w:val="20"/>
              </w:rPr>
              <w:t xml:space="preserve">Année académique :</w:t>
            </w:r>
          </w:p>
        </w:tc>
        <w:tc>
          <w:tcPr/>
          <w:p>
            <w:pPr>
              <w:pStyle w:val="Compact"/>
            </w:pPr>
            <w:r>
              <w:rPr>
                <w:rFonts w:ascii="Times New Roman" w:hAnsi="Times New Roman"/>
                <w:sz w:val="20"/>
              </w:rPr>
              <w:t xml:space="preserve">2025 — 2026</w:t>
            </w:r>
          </w:p>
        </w:tc>
      </w:tr>
    </w:tbl>
    <w:bookmarkEnd w:id="9"/>
    <w:bookmarkStart w:id="10" w:name="dédicace"/>
    <w:p>
      <w:pPr>
        <w:pStyle w:val="Heading1"/>
      </w:pPr>
      <w:r>
        <w:rPr>
          <w:rFonts w:ascii="Times New Roman" w:hAnsi="Times New Roman"/>
        </w:rPr>
        <w:t xml:space="preserve">DÉDICACE</w:t>
      </w:r>
    </w:p>
    <w:p>
      <w:pPr>
        <w:pStyle w:val="FirstParagraph"/>
      </w:pPr>
      <w:r>
        <w:rPr>
          <w:rFonts w:ascii="Times New Roman" w:hAnsi="Times New Roman"/>
          <w:i/>
          <w:iCs/>
        </w:rPr>
        <w:t xml:space="preserve">À mes chers parents</w:t>
      </w:r>
    </w:p>
    <w:bookmarkEnd w:id="10"/>
    <w:bookmarkStart w:id="11" w:name="remerciements"/>
    <w:p>
      <w:pPr>
        <w:pStyle w:val="Heading1"/>
      </w:pPr>
      <w:r>
        <w:rPr>
          <w:rFonts w:ascii="Times New Roman" w:hAnsi="Times New Roman"/>
        </w:rPr>
        <w:t xml:space="preserve">REMERCIEMENTS</w:t>
      </w:r>
    </w:p>
    <w:p>
      <w:pPr>
        <w:pStyle w:val="FirstParagraph"/>
      </w:pPr>
      <w:r>
        <w:rPr>
          <w:rFonts w:ascii="Times New Roman" w:hAnsi="Times New Roman"/>
        </w:rPr>
        <w:t xml:space="preserve">Au terme de notre formation pour l’obtention du Master II dans la spécialité Maintenance Industrielle, nous tenons à exprimer notre sincère reconnaissance à tout le corps professoral de l’École Nationale Supérieure Polytechnique de Douala, qui par la qualité de leur enseignement et de leur encadrement, nous avons pu terminer avec succès cette formation en ingénierie.</w:t>
      </w:r>
    </w:p>
    <w:p>
      <w:pPr>
        <w:pStyle w:val="BodyText"/>
      </w:pPr>
      <w:r>
        <w:rPr>
          <w:rFonts w:ascii="Times New Roman" w:hAnsi="Times New Roman"/>
        </w:rPr>
        <w:t xml:space="preserve">En l’occurrence :</w:t>
      </w:r>
    </w:p>
    <w:p>
      <w:pPr>
        <w:pStyle w:val="Compact"/>
        <w:numPr>
          <w:ilvl w:val="0"/>
          <w:numId w:val="1001"/>
        </w:numPr>
      </w:pPr>
      <w:r>
        <w:rPr>
          <w:rFonts w:ascii="Times New Roman" w:hAnsi="Times New Roman"/>
        </w:rPr>
        <w:t xml:space="preserve">À notre encadreur académique, pour son encadrement, sa disponibilité et ses conseils tout au long de ce mémoire.</w:t>
      </w:r>
    </w:p>
    <w:p>
      <w:pPr>
        <w:pStyle w:val="Compact"/>
        <w:numPr>
          <w:ilvl w:val="0"/>
          <w:numId w:val="1001"/>
        </w:numPr>
      </w:pPr>
      <w:r>
        <w:rPr>
          <w:rFonts w:ascii="Times New Roman" w:hAnsi="Times New Roman"/>
        </w:rPr>
        <w:t xml:space="preserve">À notre superviseur, pour ses conseils et son approche très scientifique.</w:t>
      </w:r>
    </w:p>
    <w:p>
      <w:pPr>
        <w:pStyle w:val="Compact"/>
        <w:numPr>
          <w:ilvl w:val="0"/>
          <w:numId w:val="1001"/>
        </w:numPr>
      </w:pPr>
      <w:r>
        <w:rPr>
          <w:rFonts w:ascii="Times New Roman" w:hAnsi="Times New Roman"/>
        </w:rPr>
        <w:t xml:space="preserve">À notre encadreur professionnel au sein de la Cameroon Oil Transportation Company (COTCO), pour la qualité de son encadrement exceptionnel, sa patience, sa rigueur et sa disponibilité durant tout le processus de mise sur pied de ce travail.</w:t>
      </w:r>
    </w:p>
    <w:p>
      <w:pPr>
        <w:pStyle w:val="Compact"/>
        <w:numPr>
          <w:ilvl w:val="0"/>
          <w:numId w:val="1001"/>
        </w:numPr>
      </w:pPr>
      <w:r>
        <w:rPr>
          <w:rFonts w:ascii="Times New Roman" w:hAnsi="Times New Roman"/>
        </w:rPr>
        <w:t xml:space="preserve">À nos parents pour leurs encouragements et leur soutien constant.</w:t>
      </w:r>
    </w:p>
    <w:p>
      <w:pPr>
        <w:pStyle w:val="FirstParagraph"/>
      </w:pPr>
      <w:r>
        <w:rPr>
          <w:rFonts w:ascii="Times New Roman" w:hAnsi="Times New Roman"/>
        </w:rPr>
        <w:t xml:space="preserve">Que tous ceux qui, de près ou de loin, ont contribué à la réussite de ce mémoire et dont les noms n’auraient pas été cités trouvent en quelques mots l’expression de nos sincères remerciements.</w:t>
      </w:r>
    </w:p>
    <w:bookmarkEnd w:id="11"/>
    <w:bookmarkStart w:id="12" w:name="résumé"/>
    <w:p>
      <w:pPr>
        <w:pStyle w:val="Heading1"/>
      </w:pPr>
      <w:r>
        <w:rPr>
          <w:rFonts w:ascii="Times New Roman" w:hAnsi="Times New Roman"/>
        </w:rPr>
        <w:t xml:space="preserve">RÉSUMÉ</w:t>
      </w:r>
    </w:p>
    <w:p>
      <w:pPr>
        <w:pStyle w:val="FirstParagraph"/>
      </w:pPr>
      <w:r>
        <w:rPr>
          <w:rFonts w:ascii="Times New Roman" w:hAnsi="Times New Roman"/>
        </w:rPr>
        <w:t xml:space="preserve">La corrosion représente un coût annuel mondial de 2,5 billions de dollars (3,4 % du PIB mondial) et constitue la première cause de défaillance structurelle dans le secteur Oil &amp; Gas. Au Cameroun, la gestion de la corrosion dans les installations pétrolières — notamment le réseau de pipelines COTCO — repose encore largement sur des stratégies réactives sans exploitation de données de surveillance continue.</w:t>
      </w:r>
    </w:p>
    <w:p>
      <w:pPr>
        <w:pStyle w:val="BodyText"/>
      </w:pPr>
      <w:r>
        <w:rPr>
          <w:rFonts w:ascii="Times New Roman" w:hAnsi="Times New Roman"/>
        </w:rPr>
        <w:t xml:space="preserve">Ce mémoire présente la conception, le développement et la validation expérimentale d’un système intégré de maintenance prédictive de la corrosion articulé autour de trois composants : une sonde ER (Electrical Resistance) low-cost à base de fil de fer monté en pont de Wheatstone et instrumentée par un amplificateur HX711 24 bits ; un système d’acquisition IoT à microcontrôleur ESP32 en deep sleep pulsé mesurant la résistance et la température toutes les dix minutes ; et un modèle XGBoost entraîné en protocole run-to-failure pour prédire le taux de corrosion (CR, en mm/an) et la durée de vie résiduelle (RUL, en heures).</w:t>
      </w:r>
    </w:p>
    <w:p>
      <w:pPr>
        <w:pStyle w:val="BodyText"/>
      </w:pPr>
      <w:r>
        <w:rPr>
          <w:rFonts w:ascii="Times New Roman" w:hAnsi="Times New Roman"/>
        </w:rPr>
        <w:t xml:space="preserve">L’environnement corrosif est le Detar Plus, détartrant industriel à base d’acide chlorhydrique et d’acide phosphorique (pH ≈ 1). Le protocole run-to-failure sur quatre séquences de corrosion jusqu’à rupture du fil constitue le jeu d’apprentissage. Le coût total du prototype est inférieur à 50 000 FCFA.</w:t>
      </w:r>
    </w:p>
    <w:p>
      <w:pPr>
        <w:pStyle w:val="BodyText"/>
      </w:pPr>
      <w:r>
        <w:rPr>
          <w:rFonts w:ascii="Times New Roman" w:hAnsi="Times New Roman"/>
          <w:b/>
          <w:bCs/>
        </w:rPr>
        <w:t xml:space="preserve">Mots-clés :</w:t>
      </w:r>
      <w:r>
        <w:rPr>
          <w:rFonts w:ascii="Times New Roman" w:hAnsi="Times New Roman"/>
        </w:rPr>
        <w:t xml:space="preserve"> </w:t>
      </w:r>
      <w:r>
        <w:rPr>
          <w:rFonts w:ascii="Times New Roman" w:hAnsi="Times New Roman"/>
        </w:rPr>
        <w:t xml:space="preserve">corrosion, sonde ER, XGBoost, maintenance prédictive, IoT, ESP32, HX711, durée de vie résiduelle, inhibiteur de corrosion, apprentissage automatique.</w:t>
      </w:r>
    </w:p>
    <w:bookmarkEnd w:id="12"/>
    <w:bookmarkStart w:id="13" w:name="abstract"/>
    <w:p>
      <w:pPr>
        <w:pStyle w:val="Heading1"/>
      </w:pPr>
      <w:r>
        <w:rPr>
          <w:rFonts w:ascii="Times New Roman" w:hAnsi="Times New Roman"/>
        </w:rPr>
        <w:t xml:space="preserve">ABSTRACT</w:t>
      </w:r>
    </w:p>
    <w:p>
      <w:pPr>
        <w:pStyle w:val="FirstParagraph"/>
      </w:pPr>
      <w:r>
        <w:rPr>
          <w:rFonts w:ascii="Times New Roman" w:hAnsi="Times New Roman"/>
        </w:rPr>
        <w:t xml:space="preserve">Corrosion represents an annual global cost of USD 2.5 trillion (3.4% of global GDP) and is the primary cause of structural failure in the Oil &amp; Gas sector. In Cameroon, corrosion management in petroleum installations — notably the COTCO pipeline network — still relies largely on reactive strategies without exploiting continuous monitoring data.</w:t>
      </w:r>
    </w:p>
    <w:p>
      <w:pPr>
        <w:pStyle w:val="BodyText"/>
      </w:pPr>
      <w:r>
        <w:rPr>
          <w:rFonts w:ascii="Times New Roman" w:hAnsi="Times New Roman"/>
        </w:rPr>
        <w:t xml:space="preserve">This thesis presents the design, development and experimental validation of an integrated corrosion predictive maintenance system built around three components: a low-cost ER (Electrical Resistance) probe based on an iron wire in a Wheatstone bridge instrumented by a 24-bit HX711 amplifier; an IoT acquisition system using an ESP32 microcontroller in pulsed deep sleep mode measuring resistance and temperature every ten minutes; and an XGBoost model trained using a run-to-failure protocol to predict corrosion rate (CR, in mm/year) and remaining useful life (RUL, in hours).</w:t>
      </w:r>
    </w:p>
    <w:p>
      <w:pPr>
        <w:pStyle w:val="BodyText"/>
      </w:pPr>
      <w:r>
        <w:rPr>
          <w:rFonts w:ascii="Times New Roman" w:hAnsi="Times New Roman"/>
        </w:rPr>
        <w:t xml:space="preserve">The corrosive environment is Detar Plus, an industrial descaler based on hydrochloric and phosphoric acids (pH ≈ 1). The run-to-failure protocol over four complete corrosion sequences constitutes the training dataset. Total prototype cost is under 50,000 FCFA.</w:t>
      </w:r>
    </w:p>
    <w:p>
      <w:pPr>
        <w:pStyle w:val="BodyText"/>
      </w:pPr>
      <w:r>
        <w:rPr>
          <w:rFonts w:ascii="Times New Roman" w:hAnsi="Times New Roman"/>
          <w:b/>
          <w:bCs/>
        </w:rPr>
        <w:t xml:space="preserve">Keywords:</w:t>
      </w:r>
      <w:r>
        <w:rPr>
          <w:rFonts w:ascii="Times New Roman" w:hAnsi="Times New Roman"/>
        </w:rPr>
        <w:t xml:space="preserve"> </w:t>
      </w:r>
      <w:r>
        <w:rPr>
          <w:rFonts w:ascii="Times New Roman" w:hAnsi="Times New Roman"/>
        </w:rPr>
        <w:t xml:space="preserve">corrosion, ER probe, XGBoost, predictive maintenance, IoT, ESP32, HX711, remaining useful life, corrosion inhibitor, machine learning.</w:t>
      </w:r>
    </w:p>
    <w:bookmarkEnd w:id="13"/>
    <w:bookmarkStart w:id="14" w:name="liste-des-abréviations"/>
    <w:p>
      <w:pPr>
        <w:pStyle w:val="Heading1"/>
      </w:pPr>
      <w:r>
        <w:rPr>
          <w:rFonts w:ascii="Times New Roman" w:hAnsi="Times New Roman"/>
        </w:rPr>
        <w:t xml:space="preserve">LISTE DES ABRÉVIATIONS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b/>
                <w:sz w:val="20"/>
              </w:rPr>
              <w:t xml:space="preserve">Abréviation</w:t>
            </w:r>
          </w:p>
        </w:tc>
        <w:tc>
          <w:tcPr/>
          <w:p>
            <w:pPr>
              <w:pStyle w:val="Compact"/>
            </w:pPr>
            <w:r>
              <w:rPr>
                <w:rFonts w:ascii="Times New Roman" w:hAnsi="Times New Roman"/>
                <w:b/>
                <w:sz w:val="20"/>
              </w:rPr>
              <w:t xml:space="preserve">Signification</w:t>
            </w:r>
          </w:p>
        </w:tc>
      </w:tr>
      <w:tr>
        <w:tc>
          <w:tcPr/>
          <w:p>
            <w:pPr>
              <w:pStyle w:val="Compact"/>
            </w:pPr>
            <w:r>
              <w:rPr>
                <w:rFonts w:ascii="Times New Roman" w:hAnsi="Times New Roman"/>
                <w:sz w:val="20"/>
              </w:rPr>
              <w:t xml:space="preserve">AC PROTECT 106</w:t>
            </w:r>
          </w:p>
        </w:tc>
        <w:tc>
          <w:tcPr/>
          <w:p>
            <w:pPr>
              <w:pStyle w:val="Compact"/>
            </w:pPr>
            <w:r>
              <w:rPr>
                <w:rFonts w:ascii="Times New Roman" w:hAnsi="Times New Roman"/>
                <w:sz w:val="20"/>
              </w:rPr>
              <w:t xml:space="preserve">Inhibiteur de corrosion industriel à base d’imidazoline</w:t>
            </w:r>
          </w:p>
        </w:tc>
      </w:tr>
      <w:tr>
        <w:tc>
          <w:tcPr/>
          <w:p>
            <w:pPr>
              <w:pStyle w:val="Compact"/>
            </w:pPr>
            <w:r>
              <w:rPr>
                <w:rFonts w:ascii="Times New Roman" w:hAnsi="Times New Roman"/>
                <w:sz w:val="20"/>
              </w:rPr>
              <w:t xml:space="preserve">ADC</w:t>
            </w:r>
          </w:p>
        </w:tc>
        <w:tc>
          <w:tcPr/>
          <w:p>
            <w:pPr>
              <w:pStyle w:val="Compact"/>
            </w:pPr>
            <w:r>
              <w:rPr>
                <w:rFonts w:ascii="Times New Roman" w:hAnsi="Times New Roman"/>
                <w:sz w:val="20"/>
              </w:rPr>
              <w:t xml:space="preserve">Analog-to-Digital Converter (Convertisseur Analogique-Numérique)</w:t>
            </w:r>
          </w:p>
        </w:tc>
      </w:tr>
      <w:tr>
        <w:tc>
          <w:tcPr/>
          <w:p>
            <w:pPr>
              <w:pStyle w:val="Compact"/>
            </w:pPr>
            <w:r>
              <w:rPr>
                <w:rFonts w:ascii="Times New Roman" w:hAnsi="Times New Roman"/>
                <w:sz w:val="20"/>
              </w:rPr>
              <w:t xml:space="preserve">AMPP</w:t>
            </w:r>
          </w:p>
        </w:tc>
        <w:tc>
          <w:tcPr/>
          <w:p>
            <w:pPr>
              <w:pStyle w:val="Compact"/>
            </w:pPr>
            <w:r>
              <w:rPr>
                <w:rFonts w:ascii="Times New Roman" w:hAnsi="Times New Roman"/>
                <w:sz w:val="20"/>
              </w:rPr>
              <w:t xml:space="preserve">Association for Materials Protection and Performance (ex-NACE International)</w:t>
            </w:r>
          </w:p>
        </w:tc>
      </w:tr>
      <w:tr>
        <w:tc>
          <w:tcPr/>
          <w:p>
            <w:pPr>
              <w:pStyle w:val="Compact"/>
            </w:pPr>
            <w:r>
              <w:rPr>
                <w:rFonts w:ascii="Times New Roman" w:hAnsi="Times New Roman"/>
                <w:sz w:val="20"/>
              </w:rPr>
              <w:t xml:space="preserve">API</w:t>
            </w:r>
          </w:p>
        </w:tc>
        <w:tc>
          <w:tcPr/>
          <w:p>
            <w:pPr>
              <w:pStyle w:val="Compact"/>
            </w:pPr>
            <w:r>
              <w:rPr>
                <w:rFonts w:ascii="Times New Roman" w:hAnsi="Times New Roman"/>
                <w:sz w:val="20"/>
              </w:rPr>
              <w:t xml:space="preserve">American Petroleum Institute</w:t>
            </w:r>
          </w:p>
        </w:tc>
      </w:tr>
      <w:tr>
        <w:tc>
          <w:tcPr/>
          <w:p>
            <w:pPr>
              <w:pStyle w:val="Compact"/>
            </w:pPr>
            <w:r>
              <w:rPr>
                <w:rFonts w:ascii="Times New Roman" w:hAnsi="Times New Roman"/>
                <w:sz w:val="20"/>
              </w:rPr>
              <w:t xml:space="preserve">ASTM</w:t>
            </w:r>
          </w:p>
        </w:tc>
        <w:tc>
          <w:tcPr/>
          <w:p>
            <w:pPr>
              <w:pStyle w:val="Compact"/>
            </w:pPr>
            <w:r>
              <w:rPr>
                <w:rFonts w:ascii="Times New Roman" w:hAnsi="Times New Roman"/>
                <w:sz w:val="20"/>
              </w:rPr>
              <w:t xml:space="preserve">American Society for Testing and Materials</w:t>
            </w:r>
          </w:p>
        </w:tc>
      </w:tr>
      <w:tr>
        <w:tc>
          <w:tcPr/>
          <w:p>
            <w:pPr>
              <w:pStyle w:val="Compact"/>
            </w:pPr>
            <w:r>
              <w:rPr>
                <w:rFonts w:ascii="Times New Roman" w:hAnsi="Times New Roman"/>
                <w:sz w:val="20"/>
              </w:rPr>
              <w:t xml:space="preserve">COTCO</w:t>
            </w:r>
          </w:p>
        </w:tc>
        <w:tc>
          <w:tcPr/>
          <w:p>
            <w:pPr>
              <w:pStyle w:val="Compact"/>
            </w:pPr>
            <w:r>
              <w:rPr>
                <w:rFonts w:ascii="Times New Roman" w:hAnsi="Times New Roman"/>
                <w:sz w:val="20"/>
              </w:rPr>
              <w:t xml:space="preserve">Cameroon Oil Transportation Company</w:t>
            </w:r>
          </w:p>
        </w:tc>
      </w:tr>
      <w:tr>
        <w:tc>
          <w:tcPr/>
          <w:p>
            <w:pPr>
              <w:pStyle w:val="Compact"/>
            </w:pPr>
            <w:r>
              <w:rPr>
                <w:rFonts w:ascii="Times New Roman" w:hAnsi="Times New Roman"/>
                <w:sz w:val="20"/>
              </w:rPr>
              <w:t xml:space="preserve">CR</w:t>
            </w:r>
          </w:p>
        </w:tc>
        <w:tc>
          <w:tcPr/>
          <w:p>
            <w:pPr>
              <w:pStyle w:val="Compact"/>
            </w:pPr>
            <w:r>
              <w:rPr>
                <w:rFonts w:ascii="Times New Roman" w:hAnsi="Times New Roman"/>
                <w:sz w:val="20"/>
              </w:rPr>
              <w:t xml:space="preserve">Corrosion Rate (Taux de corrosion, en mm/an)</w:t>
            </w:r>
          </w:p>
        </w:tc>
      </w:tr>
      <w:tr>
        <w:tc>
          <w:tcPr/>
          <w:p>
            <w:pPr>
              <w:pStyle w:val="Compact"/>
            </w:pPr>
            <w:r>
              <w:rPr>
                <w:rFonts w:ascii="Times New Roman" w:hAnsi="Times New Roman"/>
                <w:sz w:val="20"/>
              </w:rPr>
              <w:t xml:space="preserve">DS18B20</w:t>
            </w:r>
          </w:p>
        </w:tc>
        <w:tc>
          <w:tcPr/>
          <w:p>
            <w:pPr>
              <w:pStyle w:val="Compact"/>
            </w:pPr>
            <w:r>
              <w:rPr>
                <w:rFonts w:ascii="Times New Roman" w:hAnsi="Times New Roman"/>
                <w:sz w:val="20"/>
              </w:rPr>
              <w:t xml:space="preserve">Capteur de température numérique à bus 1-Wire</w:t>
            </w:r>
          </w:p>
        </w:tc>
      </w:tr>
      <w:tr>
        <w:tc>
          <w:tcPr/>
          <w:p>
            <w:pPr>
              <w:pStyle w:val="Compact"/>
            </w:pPr>
            <w:r>
              <w:rPr>
                <w:rFonts w:ascii="Times New Roman" w:hAnsi="Times New Roman"/>
                <w:sz w:val="20"/>
              </w:rPr>
              <w:t xml:space="preserve">ER</w:t>
            </w:r>
          </w:p>
        </w:tc>
        <w:tc>
          <w:tcPr/>
          <w:p>
            <w:pPr>
              <w:pStyle w:val="Compact"/>
            </w:pPr>
            <w:r>
              <w:rPr>
                <w:rFonts w:ascii="Times New Roman" w:hAnsi="Times New Roman"/>
                <w:sz w:val="20"/>
              </w:rPr>
              <w:t xml:space="preserve">Electrical Resistance (Résistance Électrique — type de sonde de corrosion)</w:t>
            </w:r>
          </w:p>
        </w:tc>
      </w:tr>
      <w:tr>
        <w:tc>
          <w:tcPr/>
          <w:p>
            <w:pPr>
              <w:pStyle w:val="Compact"/>
            </w:pPr>
            <w:r>
              <w:rPr>
                <w:rFonts w:ascii="Times New Roman" w:hAnsi="Times New Roman"/>
                <w:sz w:val="20"/>
              </w:rPr>
              <w:t xml:space="preserve">ENSPD</w:t>
            </w:r>
          </w:p>
        </w:tc>
        <w:tc>
          <w:tcPr/>
          <w:p>
            <w:pPr>
              <w:pStyle w:val="Compact"/>
            </w:pPr>
            <w:r>
              <w:rPr>
                <w:rFonts w:ascii="Times New Roman" w:hAnsi="Times New Roman"/>
                <w:sz w:val="20"/>
              </w:rPr>
              <w:t xml:space="preserve">École Nationale Supérieure Polytechnique de Douala</w:t>
            </w:r>
          </w:p>
        </w:tc>
      </w:tr>
      <w:tr>
        <w:tc>
          <w:tcPr/>
          <w:p>
            <w:pPr>
              <w:pStyle w:val="Compact"/>
            </w:pPr>
            <w:r>
              <w:rPr>
                <w:rFonts w:ascii="Times New Roman" w:hAnsi="Times New Roman"/>
                <w:sz w:val="20"/>
              </w:rPr>
              <w:t xml:space="preserve">ESP32</w:t>
            </w:r>
          </w:p>
        </w:tc>
        <w:tc>
          <w:tcPr/>
          <w:p>
            <w:pPr>
              <w:pStyle w:val="Compact"/>
            </w:pPr>
            <w:r>
              <w:rPr>
                <w:rFonts w:ascii="Times New Roman" w:hAnsi="Times New Roman"/>
                <w:sz w:val="20"/>
              </w:rPr>
              <w:t xml:space="preserve">Microcontrôleur bi-cœur Wi-Fi + Bluetooth (Espressif Systems)</w:t>
            </w:r>
          </w:p>
        </w:tc>
      </w:tr>
      <w:tr>
        <w:tc>
          <w:tcPr/>
          <w:p>
            <w:pPr>
              <w:pStyle w:val="Compact"/>
            </w:pPr>
            <w:r>
              <w:rPr>
                <w:rFonts w:ascii="Times New Roman" w:hAnsi="Times New Roman"/>
                <w:sz w:val="20"/>
              </w:rPr>
              <w:t xml:space="preserve">GPIO</w:t>
            </w:r>
          </w:p>
        </w:tc>
        <w:tc>
          <w:tcPr/>
          <w:p>
            <w:pPr>
              <w:pStyle w:val="Compact"/>
            </w:pPr>
            <w:r>
              <w:rPr>
                <w:rFonts w:ascii="Times New Roman" w:hAnsi="Times New Roman"/>
                <w:sz w:val="20"/>
              </w:rPr>
              <w:t xml:space="preserve">General-Purpose Input/Output</w:t>
            </w:r>
          </w:p>
        </w:tc>
      </w:tr>
      <w:tr>
        <w:tc>
          <w:tcPr/>
          <w:p>
            <w:pPr>
              <w:pStyle w:val="Compact"/>
            </w:pPr>
            <w:r>
              <w:rPr>
                <w:rFonts w:ascii="Times New Roman" w:hAnsi="Times New Roman"/>
                <w:sz w:val="20"/>
              </w:rPr>
              <w:t xml:space="preserve">HX711</w:t>
            </w:r>
          </w:p>
        </w:tc>
        <w:tc>
          <w:tcPr/>
          <w:p>
            <w:pPr>
              <w:pStyle w:val="Compact"/>
            </w:pPr>
            <w:r>
              <w:rPr>
                <w:rFonts w:ascii="Times New Roman" w:hAnsi="Times New Roman"/>
                <w:sz w:val="20"/>
              </w:rPr>
              <w:t xml:space="preserve">Amplificateur et convertisseur ADC 24 bits pour ponts de Wheatstone</w:t>
            </w:r>
          </w:p>
        </w:tc>
      </w:tr>
      <w:tr>
        <w:tc>
          <w:tcPr/>
          <w:p>
            <w:pPr>
              <w:pStyle w:val="Compact"/>
            </w:pPr>
            <w:r>
              <w:rPr>
                <w:rFonts w:ascii="Times New Roman" w:hAnsi="Times New Roman"/>
                <w:sz w:val="20"/>
              </w:rPr>
              <w:t xml:space="preserve">IoT</w:t>
            </w:r>
          </w:p>
        </w:tc>
        <w:tc>
          <w:tcPr/>
          <w:p>
            <w:pPr>
              <w:pStyle w:val="Compact"/>
            </w:pPr>
            <w:r>
              <w:rPr>
                <w:rFonts w:ascii="Times New Roman" w:hAnsi="Times New Roman"/>
                <w:sz w:val="20"/>
              </w:rPr>
              <w:t xml:space="preserve">Internet of Things (Internet des Objets)</w:t>
            </w:r>
          </w:p>
        </w:tc>
      </w:tr>
      <w:tr>
        <w:tc>
          <w:tcPr/>
          <w:p>
            <w:pPr>
              <w:pStyle w:val="Compact"/>
            </w:pPr>
            <w:r>
              <w:rPr>
                <w:rFonts w:ascii="Times New Roman" w:hAnsi="Times New Roman"/>
                <w:sz w:val="20"/>
              </w:rPr>
              <w:t xml:space="preserve">IQR</w:t>
            </w:r>
          </w:p>
        </w:tc>
        <w:tc>
          <w:tcPr/>
          <w:p>
            <w:pPr>
              <w:pStyle w:val="Compact"/>
            </w:pPr>
            <w:r>
              <w:rPr>
                <w:rFonts w:ascii="Times New Roman" w:hAnsi="Times New Roman"/>
                <w:sz w:val="20"/>
              </w:rPr>
              <w:t xml:space="preserve">Interquartile Range (intervalle interquartile)</w:t>
            </w:r>
          </w:p>
        </w:tc>
      </w:tr>
      <w:tr>
        <w:tc>
          <w:tcPr/>
          <w:p>
            <w:pPr>
              <w:pStyle w:val="Compact"/>
            </w:pPr>
            <w:r>
              <w:rPr>
                <w:rFonts w:ascii="Times New Roman" w:hAnsi="Times New Roman"/>
                <w:sz w:val="20"/>
              </w:rPr>
              <w:t xml:space="preserve">ISO</w:t>
            </w:r>
          </w:p>
        </w:tc>
        <w:tc>
          <w:tcPr/>
          <w:p>
            <w:pPr>
              <w:pStyle w:val="Compact"/>
            </w:pPr>
            <w:r>
              <w:rPr>
                <w:rFonts w:ascii="Times New Roman" w:hAnsi="Times New Roman"/>
                <w:sz w:val="20"/>
              </w:rPr>
              <w:t xml:space="preserve">International Organization for Standardization</w:t>
            </w:r>
          </w:p>
        </w:tc>
      </w:tr>
      <w:tr>
        <w:tc>
          <w:tcPr/>
          <w:p>
            <w:pPr>
              <w:pStyle w:val="Compact"/>
            </w:pPr>
            <w:r>
              <w:rPr>
                <w:rFonts w:ascii="Times New Roman" w:hAnsi="Times New Roman"/>
                <w:sz w:val="20"/>
              </w:rPr>
              <w:t xml:space="preserve">MAE</w:t>
            </w:r>
          </w:p>
        </w:tc>
        <w:tc>
          <w:tcPr/>
          <w:p>
            <w:pPr>
              <w:pStyle w:val="Compact"/>
            </w:pPr>
            <w:r>
              <w:rPr>
                <w:rFonts w:ascii="Times New Roman" w:hAnsi="Times New Roman"/>
                <w:sz w:val="20"/>
              </w:rPr>
              <w:t xml:space="preserve">Mean Absolute Error (erreur absolue moyenne)</w:t>
            </w:r>
          </w:p>
        </w:tc>
      </w:tr>
      <w:tr>
        <w:tc>
          <w:tcPr/>
          <w:p>
            <w:pPr>
              <w:pStyle w:val="Compact"/>
            </w:pPr>
            <w:r>
              <w:rPr>
                <w:rFonts w:ascii="Times New Roman" w:hAnsi="Times New Roman"/>
                <w:sz w:val="20"/>
              </w:rPr>
              <w:t xml:space="preserve">ML</w:t>
            </w:r>
          </w:p>
        </w:tc>
        <w:tc>
          <w:tcPr/>
          <w:p>
            <w:pPr>
              <w:pStyle w:val="Compact"/>
            </w:pPr>
            <w:r>
              <w:rPr>
                <w:rFonts w:ascii="Times New Roman" w:hAnsi="Times New Roman"/>
                <w:sz w:val="20"/>
              </w:rPr>
              <w:t xml:space="preserve">Machine Learning (apprentissage automatique)</w:t>
            </w:r>
          </w:p>
        </w:tc>
      </w:tr>
      <w:tr>
        <w:tc>
          <w:tcPr/>
          <w:p>
            <w:pPr>
              <w:pStyle w:val="Compact"/>
            </w:pPr>
            <w:r>
              <w:rPr>
                <w:rFonts w:ascii="Times New Roman" w:hAnsi="Times New Roman"/>
                <w:sz w:val="20"/>
              </w:rPr>
              <w:t xml:space="preserve">NACE</w:t>
            </w:r>
          </w:p>
        </w:tc>
        <w:tc>
          <w:tcPr/>
          <w:p>
            <w:pPr>
              <w:pStyle w:val="Compact"/>
            </w:pPr>
            <w:r>
              <w:rPr>
                <w:rFonts w:ascii="Times New Roman" w:hAnsi="Times New Roman"/>
                <w:sz w:val="20"/>
              </w:rPr>
              <w:t xml:space="preserve">National Association of Corrosion Engineers</w:t>
            </w:r>
          </w:p>
        </w:tc>
      </w:tr>
      <w:tr>
        <w:tc>
          <w:tcPr/>
          <w:p>
            <w:pPr>
              <w:pStyle w:val="Compact"/>
            </w:pPr>
            <w:r>
              <w:rPr>
                <w:rFonts w:ascii="Times New Roman" w:hAnsi="Times New Roman"/>
                <w:sz w:val="20"/>
              </w:rPr>
              <w:t xml:space="preserve">R²</w:t>
            </w:r>
          </w:p>
        </w:tc>
        <w:tc>
          <w:tcPr/>
          <w:p>
            <w:pPr>
              <w:pStyle w:val="Compact"/>
            </w:pPr>
            <w:r>
              <w:rPr>
                <w:rFonts w:ascii="Times New Roman" w:hAnsi="Times New Roman"/>
                <w:sz w:val="20"/>
              </w:rPr>
              <w:t xml:space="preserve">Coefficient de détermination</w:t>
            </w:r>
          </w:p>
        </w:tc>
      </w:tr>
      <w:tr>
        <w:tc>
          <w:tcPr/>
          <w:p>
            <w:pPr>
              <w:pStyle w:val="Compact"/>
            </w:pPr>
            <w:r>
              <w:rPr>
                <w:rFonts w:ascii="Times New Roman" w:hAnsi="Times New Roman"/>
                <w:sz w:val="20"/>
              </w:rPr>
              <w:t xml:space="preserve">RMSE</w:t>
            </w:r>
          </w:p>
        </w:tc>
        <w:tc>
          <w:tcPr/>
          <w:p>
            <w:pPr>
              <w:pStyle w:val="Compact"/>
            </w:pPr>
            <w:r>
              <w:rPr>
                <w:rFonts w:ascii="Times New Roman" w:hAnsi="Times New Roman"/>
                <w:sz w:val="20"/>
              </w:rPr>
              <w:t xml:space="preserve">Root Mean Square Error (erreur quadratique moyenne)</w:t>
            </w:r>
          </w:p>
        </w:tc>
      </w:tr>
      <w:tr>
        <w:tc>
          <w:tcPr/>
          <w:p>
            <w:pPr>
              <w:pStyle w:val="Compact"/>
            </w:pPr>
            <w:r>
              <w:rPr>
                <w:rFonts w:ascii="Times New Roman" w:hAnsi="Times New Roman"/>
                <w:sz w:val="20"/>
              </w:rPr>
              <w:t xml:space="preserve">RTC</w:t>
            </w:r>
          </w:p>
        </w:tc>
        <w:tc>
          <w:tcPr/>
          <w:p>
            <w:pPr>
              <w:pStyle w:val="Compact"/>
            </w:pPr>
            <w:r>
              <w:rPr>
                <w:rFonts w:ascii="Times New Roman" w:hAnsi="Times New Roman"/>
                <w:sz w:val="20"/>
              </w:rPr>
              <w:t xml:space="preserve">Real-Time Clock</w:t>
            </w:r>
          </w:p>
        </w:tc>
      </w:tr>
      <w:tr>
        <w:tc>
          <w:tcPr/>
          <w:p>
            <w:pPr>
              <w:pStyle w:val="Compact"/>
            </w:pPr>
            <w:r>
              <w:rPr>
                <w:rFonts w:ascii="Times New Roman" w:hAnsi="Times New Roman"/>
                <w:sz w:val="20"/>
              </w:rPr>
              <w:t xml:space="preserve">RTF</w:t>
            </w:r>
          </w:p>
        </w:tc>
        <w:tc>
          <w:tcPr/>
          <w:p>
            <w:pPr>
              <w:pStyle w:val="Compact"/>
            </w:pPr>
            <w:r>
              <w:rPr>
                <w:rFonts w:ascii="Times New Roman" w:hAnsi="Times New Roman"/>
                <w:sz w:val="20"/>
              </w:rPr>
              <w:t xml:space="preserve">Run-To-Failure (protocole de corrosion jusqu’à rupture)</w:t>
            </w:r>
          </w:p>
        </w:tc>
      </w:tr>
      <w:tr>
        <w:tc>
          <w:tcPr/>
          <w:p>
            <w:pPr>
              <w:pStyle w:val="Compact"/>
            </w:pPr>
            <w:r>
              <w:rPr>
                <w:rFonts w:ascii="Times New Roman" w:hAnsi="Times New Roman"/>
                <w:sz w:val="20"/>
              </w:rPr>
              <w:t xml:space="preserve">RUL</w:t>
            </w:r>
          </w:p>
        </w:tc>
        <w:tc>
          <w:tcPr/>
          <w:p>
            <w:pPr>
              <w:pStyle w:val="Compact"/>
            </w:pPr>
            <w:r>
              <w:rPr>
                <w:rFonts w:ascii="Times New Roman" w:hAnsi="Times New Roman"/>
                <w:sz w:val="20"/>
              </w:rPr>
              <w:t xml:space="preserve">Remaining Useful Life (Durée de Vie Résiduelle)</w:t>
            </w:r>
          </w:p>
        </w:tc>
      </w:tr>
      <w:tr>
        <w:tc>
          <w:tcPr/>
          <w:p>
            <w:pPr>
              <w:pStyle w:val="Compact"/>
            </w:pPr>
            <w:r>
              <w:rPr>
                <w:rFonts w:ascii="Times New Roman" w:hAnsi="Times New Roman"/>
                <w:sz w:val="20"/>
              </w:rPr>
              <w:t xml:space="preserve">SHAP</w:t>
            </w:r>
          </w:p>
        </w:tc>
        <w:tc>
          <w:tcPr/>
          <w:p>
            <w:pPr>
              <w:pStyle w:val="Compact"/>
            </w:pPr>
            <w:r>
              <w:rPr>
                <w:rFonts w:ascii="Times New Roman" w:hAnsi="Times New Roman"/>
                <w:sz w:val="20"/>
              </w:rPr>
              <w:t xml:space="preserve">SHapley Additive exPlanations (méthode d’interprétabilité ML)</w:t>
            </w:r>
          </w:p>
        </w:tc>
      </w:tr>
      <w:tr>
        <w:tc>
          <w:tcPr/>
          <w:p>
            <w:pPr>
              <w:pStyle w:val="Compact"/>
            </w:pPr>
            <w:r>
              <w:rPr>
                <w:rFonts w:ascii="Times New Roman" w:hAnsi="Times New Roman"/>
                <w:sz w:val="20"/>
              </w:rPr>
              <w:t xml:space="preserve">XGBoost</w:t>
            </w:r>
          </w:p>
        </w:tc>
        <w:tc>
          <w:tcPr/>
          <w:p>
            <w:pPr>
              <w:pStyle w:val="Compact"/>
            </w:pPr>
            <w:r>
              <w:rPr>
                <w:rFonts w:ascii="Times New Roman" w:hAnsi="Times New Roman"/>
                <w:sz w:val="20"/>
              </w:rPr>
              <w:t xml:space="preserve">eXtreme Gradient Boosting</w:t>
            </w:r>
          </w:p>
        </w:tc>
      </w:tr>
    </w:tbl>
    <w:bookmarkEnd w:id="14"/>
    <w:bookmarkStart w:id="15" w:name="liste-des-figures"/>
    <w:p>
      <w:pPr>
        <w:pStyle w:val="Heading1"/>
      </w:pPr>
      <w:r>
        <w:rPr>
          <w:rFonts w:ascii="Times New Roman" w:hAnsi="Times New Roman"/>
        </w:rPr>
        <w:t xml:space="preserve">LISTE DES FIGURES</w:t>
      </w:r>
    </w:p>
    <w:p>
      <w:pPr>
        <w:pStyle w:val="FirstParagraph"/>
      </w:pPr>
      <w:r>
        <w:rPr>
          <w:rFonts w:ascii="Times New Roman" w:hAnsi="Times New Roman"/>
          <w:i/>
          <w:iCs/>
        </w:rPr>
        <w:t xml:space="preserve">(générée automatiquement)</w:t>
      </w:r>
    </w:p>
    <w:bookmarkEnd w:id="15"/>
    <w:bookmarkStart w:id="16" w:name="liste-des-tableaux"/>
    <w:p>
      <w:pPr>
        <w:pStyle w:val="Heading1"/>
      </w:pPr>
      <w:r>
        <w:rPr>
          <w:rFonts w:ascii="Times New Roman" w:hAnsi="Times New Roman"/>
        </w:rPr>
        <w:t xml:space="preserve">LISTE DES TABLEAUX</w:t>
      </w:r>
    </w:p>
    <w:p>
      <w:pPr>
        <w:pStyle w:val="FirstParagraph"/>
      </w:pPr>
      <w:r>
        <w:rPr>
          <w:rFonts w:ascii="Times New Roman" w:hAnsi="Times New Roman"/>
          <w:i/>
          <w:iCs/>
        </w:rPr>
        <w:t xml:space="preserve">(générée automatiquement)</w:t>
      </w:r>
    </w:p>
    <w:bookmarkEnd w:id="16"/>
    <w:bookmarkStart w:id="17" w:name="sommaire"/>
    <w:p>
      <w:pPr>
        <w:pStyle w:val="Heading1"/>
      </w:pPr>
      <w:r>
        <w:rPr>
          <w:rFonts w:ascii="Times New Roman" w:hAnsi="Times New Roman"/>
        </w:rPr>
        <w:t xml:space="preserve">SOMMAIRE</w:t>
      </w:r>
    </w:p>
    <w:p>
      <w:pPr>
        <w:pStyle w:val="FirstParagraph"/>
      </w:pPr>
      <w:r>
        <w:rPr>
          <w:rFonts w:ascii="Times New Roman" w:hAnsi="Times New Roman"/>
        </w:rPr>
        <w:t xml:space="preserve">DÉDICACE</w:t>
      </w:r>
      <w:r>
        <w:rPr>
          <w:rFonts w:ascii="Times New Roman" w:hAnsi="Times New Roman"/>
        </w:rPr>
        <w:t xml:space="preserve"> </w:t>
      </w:r>
      <w:r>
        <w:rPr>
          <w:rFonts w:ascii="Times New Roman" w:hAnsi="Times New Roman"/>
        </w:rPr>
        <w:t xml:space="preserve">REMERCIEMENTS</w:t>
      </w:r>
      <w:r>
        <w:rPr>
          <w:rFonts w:ascii="Times New Roman" w:hAnsi="Times New Roman"/>
        </w:rPr>
        <w:t xml:space="preserve"> </w:t>
      </w:r>
      <w:r>
        <w:rPr>
          <w:rFonts w:ascii="Times New Roman" w:hAnsi="Times New Roman"/>
        </w:rPr>
        <w:t xml:space="preserve">RÉSUMÉ</w:t>
      </w:r>
      <w:r>
        <w:rPr>
          <w:rFonts w:ascii="Times New Roman" w:hAnsi="Times New Roman"/>
        </w:rPr>
        <w:t xml:space="preserve"> </w:t>
      </w:r>
      <w:r>
        <w:rPr>
          <w:rFonts w:ascii="Times New Roman" w:hAnsi="Times New Roman"/>
        </w:rPr>
        <w:t xml:space="preserve">ABSTRACT</w:t>
      </w:r>
      <w:r>
        <w:rPr>
          <w:rFonts w:ascii="Times New Roman" w:hAnsi="Times New Roman"/>
        </w:rPr>
        <w:t xml:space="preserve"> </w:t>
      </w:r>
      <w:r>
        <w:rPr>
          <w:rFonts w:ascii="Times New Roman" w:hAnsi="Times New Roman"/>
        </w:rPr>
        <w:t xml:space="preserve">LISTE DES ABRÉVIATIONS</w:t>
      </w:r>
      <w:r>
        <w:rPr>
          <w:rFonts w:ascii="Times New Roman" w:hAnsi="Times New Roman"/>
        </w:rPr>
        <w:t xml:space="preserve"> </w:t>
      </w:r>
      <w:r>
        <w:rPr>
          <w:rFonts w:ascii="Times New Roman" w:hAnsi="Times New Roman"/>
        </w:rPr>
        <w:t xml:space="preserve">LISTE DES FIGURES</w:t>
      </w:r>
      <w:r>
        <w:rPr>
          <w:rFonts w:ascii="Times New Roman" w:hAnsi="Times New Roman"/>
        </w:rPr>
        <w:t xml:space="preserve"> </w:t>
      </w:r>
      <w:r>
        <w:rPr>
          <w:rFonts w:ascii="Times New Roman" w:hAnsi="Times New Roman"/>
        </w:rPr>
        <w:t xml:space="preserve">LISTE DES TABLEAUX</w:t>
      </w:r>
      <w:r>
        <w:rPr>
          <w:rFonts w:ascii="Times New Roman" w:hAnsi="Times New Roman"/>
        </w:rPr>
        <w:t xml:space="preserve"> </w:t>
      </w:r>
      <w:r>
        <w:rPr>
          <w:rFonts w:ascii="Times New Roman" w:hAnsi="Times New Roman"/>
        </w:rPr>
        <w:t xml:space="preserve">SOMMAIRE</w:t>
      </w:r>
      <w:r>
        <w:rPr>
          <w:rFonts w:ascii="Times New Roman" w:hAnsi="Times New Roman"/>
        </w:rPr>
        <w:t xml:space="preserve"> </w:t>
      </w:r>
      <w:r>
        <w:rPr>
          <w:rFonts w:ascii="Times New Roman" w:hAnsi="Times New Roman"/>
        </w:rPr>
        <w:t xml:space="preserve">INTRODUCTION GÉNÉRALE</w:t>
      </w:r>
      <w:r>
        <w:rPr>
          <w:rFonts w:ascii="Times New Roman" w:hAnsi="Times New Roman"/>
        </w:rPr>
        <w:t xml:space="preserve"> </w:t>
      </w:r>
      <w:r>
        <w:rPr>
          <w:rFonts w:ascii="Times New Roman" w:hAnsi="Times New Roman"/>
        </w:rPr>
        <w:t xml:space="preserve">CHAPITRE I : CONTEXTE ET PROBLÉMATIQUE</w:t>
      </w:r>
      <w:r>
        <w:rPr>
          <w:rFonts w:ascii="Times New Roman" w:hAnsi="Times New Roman"/>
        </w:rPr>
        <w:t xml:space="preserve"> </w:t>
      </w:r>
      <w:r>
        <w:rPr>
          <w:rFonts w:ascii="Times New Roman" w:hAnsi="Times New Roman"/>
        </w:rPr>
        <w:t xml:space="preserve">CHAPITRE II : OUTILS ET MÉTHODES</w:t>
      </w:r>
      <w:r>
        <w:rPr>
          <w:rFonts w:ascii="Times New Roman" w:hAnsi="Times New Roman"/>
        </w:rPr>
        <w:t xml:space="preserve"> </w:t>
      </w:r>
      <w:r>
        <w:rPr>
          <w:rFonts w:ascii="Times New Roman" w:hAnsi="Times New Roman"/>
        </w:rPr>
        <w:t xml:space="preserve">CHAPITRE III : RÉSULTATS ET DISCUSSIONS</w:t>
      </w:r>
      <w:r>
        <w:rPr>
          <w:rFonts w:ascii="Times New Roman" w:hAnsi="Times New Roman"/>
        </w:rPr>
        <w:t xml:space="preserve"> </w:t>
      </w:r>
      <w:r>
        <w:rPr>
          <w:rFonts w:ascii="Times New Roman" w:hAnsi="Times New Roman"/>
        </w:rPr>
        <w:t xml:space="preserve">CONCLUSION GÉNÉRALE</w:t>
      </w:r>
      <w:r>
        <w:rPr>
          <w:rFonts w:ascii="Times New Roman" w:hAnsi="Times New Roman"/>
        </w:rPr>
        <w:t xml:space="preserve"> </w:t>
      </w:r>
      <w:r>
        <w:rPr>
          <w:rFonts w:ascii="Times New Roman" w:hAnsi="Times New Roman"/>
        </w:rPr>
        <w:t xml:space="preserve">RÉFÉRENCES BIBLIOGRAPHIQUES</w:t>
      </w:r>
      <w:r>
        <w:rPr>
          <w:rFonts w:ascii="Times New Roman" w:hAnsi="Times New Roman"/>
        </w:rPr>
        <w:t xml:space="preserve"> </w:t>
      </w:r>
      <w:r>
        <w:rPr>
          <w:rFonts w:ascii="Times New Roman" w:hAnsi="Times New Roman"/>
        </w:rPr>
        <w:t xml:space="preserve">ANNEXES</w:t>
      </w:r>
      <w:r>
        <w:rPr>
          <w:rFonts w:ascii="Times New Roman" w:hAnsi="Times New Roman"/>
        </w:rPr>
        <w:t xml:space="preserve"> </w:t>
      </w:r>
      <w:r>
        <w:rPr>
          <w:rFonts w:ascii="Times New Roman" w:hAnsi="Times New Roman"/>
        </w:rPr>
        <w:t xml:space="preserve">TABLE DES MATIÈRES</w:t>
      </w:r>
    </w:p>
    <w:bookmarkEnd w:id="17"/>
    <w:bookmarkStart w:id="18" w:name="introduction-générale"/>
    <w:p>
      <w:pPr>
        <w:pStyle w:val="Heading1"/>
      </w:pPr>
      <w:r>
        <w:rPr>
          <w:rFonts w:ascii="Times New Roman" w:hAnsi="Times New Roman"/>
        </w:rPr>
        <w:t xml:space="preserve">INTRODUCTION GÉNÉRALE</w:t>
      </w:r>
    </w:p>
    <w:p>
      <w:pPr>
        <w:pStyle w:val="FirstParagraph"/>
      </w:pPr>
      <w:r>
        <w:rPr>
          <w:rFonts w:ascii="Times New Roman" w:hAnsi="Times New Roman"/>
        </w:rPr>
        <w:t xml:space="preserve">Dans un contexte industriel mondial où la corrosion engendre des pertes annuelles estimées à 2,5 billions de dollars — soit 3,4 % du PIB mondial (Koch et al., 2016) — la maîtrise de la dégradation des équipements constitue un enjeu stratégique de premier ordre pour tout opérateur d’infrastructures pétrolières. Les entreprises sont aujourd’hui confrontées à la nécessité de réduire les coûts de maintenance, d’augmenter la disponibilité de leurs installations et de prévenir les incidents environnementaux avant qu’ils ne se produisent.</w:t>
      </w:r>
    </w:p>
    <w:p>
      <w:pPr>
        <w:pStyle w:val="BodyText"/>
      </w:pPr>
      <w:r>
        <w:rPr>
          <w:rFonts w:ascii="Times New Roman" w:hAnsi="Times New Roman"/>
        </w:rPr>
        <w:t xml:space="preserve">C’est dans ce contexte que les stratégies de maintenance évoluent, passant progressivement de la maintenance corrective et préventive à des approches plus avancées, telles que la maintenance conditionnelle et prédictive basée sur la surveillance continue des équipements. Parmi les techniques disponibles, la surveillance par sonde à résistance électrique (ER) s’impose comme un outil de mesure direct du taux de corrosion, permettant de détecter les anomalies avant qu’elles n’atteignent un seuil critique.</w:t>
      </w:r>
    </w:p>
    <w:p>
      <w:pPr>
        <w:pStyle w:val="BodyText"/>
      </w:pPr>
      <w:r>
        <w:rPr>
          <w:rFonts w:ascii="Times New Roman" w:hAnsi="Times New Roman"/>
        </w:rPr>
        <w:t xml:space="preserve">Le présent mémoire s’inscrit dans cette dynamique et a pour objectif de concevoir et valider un système de maintenance prédictive de la corrosion entièrement développé à partir de composants low-cost accessibles localement au Cameroun, couplé à un algorithme d’apprentissage automatique XGBoost capable de prédire à la fois le taux de corrosion et la durée de vie résiduelle d’un élément métallique exposé à un milieu acide.</w:t>
      </w:r>
    </w:p>
    <w:p>
      <w:pPr>
        <w:pStyle w:val="BodyText"/>
      </w:pPr>
      <w:r>
        <w:rPr>
          <w:rFonts w:ascii="Times New Roman" w:hAnsi="Times New Roman"/>
        </w:rPr>
        <w:t xml:space="preserve">Après une revue de la littérature sur les mécanismes de corrosion, les techniques de surveillance et les méthodes de prédiction, ainsi qu’une présentation du contexte et de la problématique (Chapitre I), nous aborderons les fondements techniques du prototype développé — la sonde ER, le système d’acquisition IoT et le pipeline de traitement par apprentissage automatique — ainsi que la méthodologie retenue pour leur mise en œuvre (Chapitre II). Enfin, les résultats expérimentaux obtenus lors des runs de corrosion en laboratoire seront présentés et discutés, incluant les performances du modèle XGBoost et l’évaluation du système d’alertes (Chapitre III).</w:t>
      </w:r>
    </w:p>
    <w:bookmarkEnd w:id="18"/>
    <w:bookmarkStart w:id="41" w:name="chapitre-i-contexte-et-problématique"/>
    <w:p>
      <w:pPr>
        <w:pStyle w:val="Heading1"/>
      </w:pPr>
      <w:r>
        <w:rPr>
          <w:rFonts w:ascii="Times New Roman" w:hAnsi="Times New Roman"/>
        </w:rPr>
        <w:t xml:space="preserve">CHAPITRE I : CONTEXTE ET PROBLÉMATIQUE</w:t>
      </w:r>
    </w:p>
    <w:p>
      <w:pPr>
        <w:pStyle w:val="FirstParagraph"/>
      </w:pPr>
      <w:r>
        <w:rPr>
          <w:rFonts w:ascii="Times New Roman" w:hAnsi="Times New Roman"/>
          <w:b/>
          <w:bCs/>
        </w:rPr>
        <w:t xml:space="preserve">Sommaire du Chapitre I</w:t>
      </w:r>
    </w:p>
    <w:p>
      <w:pPr>
        <w:pStyle w:val="BodyText"/>
      </w:pPr>
      <w:r>
        <w:rPr>
          <w:rFonts w:ascii="Times New Roman" w:hAnsi="Times New Roman"/>
        </w:rPr>
        <w:t xml:space="preserve">I.1. Revue de la littérature sur la corrosion</w:t>
      </w:r>
      <w:r>
        <w:rPr>
          <w:rFonts w:ascii="Times New Roman" w:hAnsi="Times New Roman"/>
        </w:rPr>
        <w:t xml:space="preserve"> </w:t>
      </w:r>
      <w:r>
        <w:rPr>
          <w:rFonts w:ascii="Times New Roman" w:hAnsi="Times New Roman"/>
        </w:rPr>
        <w:t xml:space="preserve">I.2. Présentation du contexte d’étude</w:t>
      </w:r>
      <w:r>
        <w:rPr>
          <w:rFonts w:ascii="Times New Roman" w:hAnsi="Times New Roman"/>
        </w:rPr>
        <w:t xml:space="preserve"> </w:t>
      </w:r>
      <w:r>
        <w:rPr>
          <w:rFonts w:ascii="Times New Roman" w:hAnsi="Times New Roman"/>
        </w:rPr>
        <w:t xml:space="preserve">I.3. Politique de maintenance et surveillance de la corrosion</w:t>
      </w:r>
      <w:r>
        <w:rPr>
          <w:rFonts w:ascii="Times New Roman" w:hAnsi="Times New Roman"/>
        </w:rPr>
        <w:t xml:space="preserve"> </w:t>
      </w:r>
      <w:r>
        <w:rPr>
          <w:rFonts w:ascii="Times New Roman" w:hAnsi="Times New Roman"/>
        </w:rPr>
        <w:t xml:space="preserve">I.4. Problématique</w:t>
      </w:r>
      <w:r>
        <w:rPr>
          <w:rFonts w:ascii="Times New Roman" w:hAnsi="Times New Roman"/>
        </w:rPr>
        <w:t xml:space="preserve"> </w:t>
      </w:r>
      <w:r>
        <w:rPr>
          <w:rFonts w:ascii="Times New Roman" w:hAnsi="Times New Roman"/>
        </w:rPr>
        <w:t xml:space="preserve">I.5. Questions de recherche et objectifs du mémoire</w:t>
      </w:r>
      <w:r>
        <w:rPr>
          <w:rFonts w:ascii="Times New Roman" w:hAnsi="Times New Roman"/>
        </w:rPr>
        <w:t xml:space="preserve"> </w:t>
      </w:r>
      <w:r>
        <w:rPr>
          <w:rFonts w:ascii="Times New Roman" w:hAnsi="Times New Roman"/>
        </w:rPr>
        <w:t xml:space="preserve">I.6. Conclusion</w:t>
      </w:r>
    </w:p>
    <w:p>
      <w:r>
        <w:rPr>
          <w:rFonts w:ascii="Times New Roman" w:hAnsi="Times New Roman"/>
        </w:rPr>
        <w:pict>
          <v:rect style="width:0;height:1.5pt" o:hralign="center" o:hrstd="t" o:hr="t"/>
        </w:pict>
      </w:r>
    </w:p>
    <w:bookmarkStart w:id="19" w:name="i.0.-introduction"/>
    <w:p>
      <w:pPr>
        <w:pStyle w:val="Heading2"/>
      </w:pPr>
      <w:r>
        <w:rPr>
          <w:rFonts w:ascii="Times New Roman" w:hAnsi="Times New Roman"/>
        </w:rPr>
        <w:t xml:space="preserve">I.0. Introduction</w:t>
      </w:r>
    </w:p>
    <w:p>
      <w:pPr>
        <w:pStyle w:val="FirstParagraph"/>
      </w:pPr>
      <w:r>
        <w:rPr>
          <w:rFonts w:ascii="Times New Roman" w:hAnsi="Times New Roman"/>
        </w:rPr>
        <w:t xml:space="preserve">Dans ce chapitre, nous allons dans un premier temps effectuer la revue de la littérature sur la corrosion et ses mécanismes, présenter ensuite le contexte industriel de l’étude et la politique de maintenance actuelle, puis dégager la problématique qui en ressort et définir les objectifs général et spécifiques de ce travail.</w:t>
      </w:r>
    </w:p>
    <w:p>
      <w:r>
        <w:rPr>
          <w:rFonts w:ascii="Times New Roman" w:hAnsi="Times New Roman"/>
        </w:rPr>
        <w:pict>
          <v:rect style="width:0;height:1.5pt" o:hralign="center" o:hrstd="t" o:hr="t"/>
        </w:pict>
      </w:r>
    </w:p>
    <w:bookmarkEnd w:id="19"/>
    <w:bookmarkStart w:id="26" w:name="X15bad774a649aa8c8c58faf9747592696ae90b6"/>
    <w:p>
      <w:pPr>
        <w:pStyle w:val="Heading2"/>
      </w:pPr>
      <w:r>
        <w:rPr>
          <w:rFonts w:ascii="Times New Roman" w:hAnsi="Times New Roman"/>
        </w:rPr>
        <w:t xml:space="preserve">I.1. Revue de la littérature sur la corrosion</w:t>
      </w:r>
    </w:p>
    <w:bookmarkStart w:id="20" w:name="X7621c187931c4b0ba08920edd704f7067d9617f"/>
    <w:p>
      <w:pPr>
        <w:pStyle w:val="Heading3"/>
      </w:pPr>
      <w:r>
        <w:rPr>
          <w:rFonts w:ascii="Times New Roman" w:hAnsi="Times New Roman"/>
        </w:rPr>
        <w:t xml:space="preserve">I.1.1. Définition et nature électrochimique de la corrosion</w:t>
      </w:r>
    </w:p>
    <w:p>
      <w:pPr>
        <w:pStyle w:val="FirstParagraph"/>
      </w:pPr>
      <w:r>
        <w:rPr>
          <w:rFonts w:ascii="Times New Roman" w:hAnsi="Times New Roman"/>
        </w:rPr>
        <w:t xml:space="preserve">La corrosion est définie par la norme ISO 8044 comme « une interaction physico-chimique entre un métal et son environnement qui entraîne des modifications des propriétés du métal et qui peut conduire à une dégradation significative de la fonction du métal, de l’environnement ou du système technique dont ils font partie ». Ce phénomène naturel traduit la tendance thermodynamique des métaux à retourner à leur état d’oxyde stable — état sous lequel ils existent dans la nature avant tout traitement métallurgique.</w:t>
      </w:r>
    </w:p>
    <w:p>
      <w:pPr>
        <w:pStyle w:val="BodyText"/>
      </w:pPr>
      <w:r>
        <w:rPr>
          <w:rFonts w:ascii="Times New Roman" w:hAnsi="Times New Roman"/>
        </w:rPr>
        <w:t xml:space="preserve">Dans un milieu électrolytique (solution aqueuse, sol humide), la corrosion procède par un mécanisme de pile galvanique dans lequel deux réactions électrochimiques couplées se produisent simultanément à la surface du métal.</w:t>
      </w:r>
    </w:p>
    <w:p>
      <w:pPr>
        <w:pStyle w:val="BodyText"/>
      </w:pPr>
      <w:r>
        <w:rPr>
          <w:rFonts w:ascii="Times New Roman" w:hAnsi="Times New Roman"/>
        </w:rPr>
        <w:t xml:space="preserve">Réaction anodique — oxydation (dissolution du métal) :</w:t>
      </w:r>
    </w:p>
    <w:p>
      <w:pPr>
        <w:pStyle w:val="BodyText"/>
      </w:pPr>
      <m:oMathPara>
        <m:oMathParaPr>
          <m:jc m:val="center"/>
        </m:oMathParaPr>
        <m:oMath>
          <m:r>
            <m:rPr>
              <m:nor/>
              <m:sty m:val="p"/>
            </m:rPr>
            <m:t>Fe</m:t>
          </m:r>
          <m:r>
            <m:rPr>
              <m:sty m:val="p"/>
            </m:rPr>
            <m:t>→</m:t>
          </m:r>
          <m:sSup>
            <m:e>
              <m:r>
                <m:rPr>
                  <m:nor/>
                  <m:sty m:val="p"/>
                </m:rPr>
                <m:t>Fe</m:t>
              </m:r>
            </m:e>
            <m:sup>
              <m:r>
                <m:t>2</m:t>
              </m:r>
              <m:r>
                <m:rPr>
                  <m:sty m:val="p"/>
                </m:rPr>
                <m:t>+</m:t>
              </m:r>
            </m:sup>
          </m:sSup>
          <m:r>
            <m:rPr>
              <m:sty m:val="p"/>
            </m:rPr>
            <m:t>+</m:t>
          </m:r>
          <m:r>
            <m:t>2</m:t>
          </m:r>
          <m:sSup>
            <m:e>
              <m:r>
                <m:t>e</m:t>
              </m:r>
            </m:e>
            <m:sup>
              <m:r>
                <m:rPr>
                  <m:sty m:val="p"/>
                </m:rPr>
                <m:t>−</m:t>
              </m:r>
            </m:sup>
          </m:sSup>
        </m:oMath>
      </m:oMathPara>
    </w:p>
    <w:p>
      <w:pPr>
        <w:pStyle w:val="FirstParagraph"/>
      </w:pPr>
      <w:r>
        <w:rPr>
          <w:rFonts w:ascii="Times New Roman" w:hAnsi="Times New Roman"/>
        </w:rPr>
        <w:t xml:space="preserve">Réaction cathodique — réduction (consommation des électrons) :</w:t>
      </w:r>
    </w:p>
    <w:p>
      <w:pPr>
        <w:pStyle w:val="BodyText"/>
      </w:pPr>
      <w:r>
        <w:rPr>
          <w:rFonts w:ascii="Times New Roman" w:hAnsi="Times New Roman"/>
        </w:rPr>
        <w:t xml:space="preserve">En milieu acide (pH &lt; 4) :</w:t>
      </w:r>
    </w:p>
    <w:p>
      <w:pPr>
        <w:pStyle w:val="BodyText"/>
      </w:pPr>
      <m:oMathPara>
        <m:oMathParaPr>
          <m:jc m:val="center"/>
        </m:oMathParaPr>
        <m:oMath>
          <m:r>
            <m:t>2</m:t>
          </m:r>
          <m:sSup>
            <m:e>
              <m:r>
                <m:rPr>
                  <m:nor/>
                  <m:sty m:val="p"/>
                </m:rPr>
                <m:t>H</m:t>
              </m:r>
            </m:e>
            <m:sup>
              <m:r>
                <m:rPr>
                  <m:sty m:val="p"/>
                </m:rPr>
                <m:t>+</m:t>
              </m:r>
            </m:sup>
          </m:sSup>
          <m:r>
            <m:rPr>
              <m:sty m:val="p"/>
            </m:rPr>
            <m:t>+</m:t>
          </m:r>
          <m:r>
            <m:t>2</m:t>
          </m:r>
          <m:sSup>
            <m:e>
              <m:r>
                <m:t>e</m:t>
              </m:r>
            </m:e>
            <m:sup>
              <m:r>
                <m:rPr>
                  <m:sty m:val="p"/>
                </m:rPr>
                <m:t>−</m:t>
              </m:r>
            </m:sup>
          </m:sSup>
          <m:r>
            <m:rPr>
              <m:sty m:val="p"/>
            </m:rPr>
            <m:t>→</m:t>
          </m:r>
          <m:sSub>
            <m:e>
              <m:r>
                <m:rPr>
                  <m:nor/>
                  <m:sty m:val="p"/>
                </m:rPr>
                <m:t>H</m:t>
              </m:r>
            </m:e>
            <m:sub>
              <m:r>
                <m:t>2</m:t>
              </m:r>
            </m:sub>
          </m:sSub>
          <m:r>
            <m:rPr>
              <m:sty m:val="p"/>
            </m:rPr>
            <m:t>↑</m:t>
          </m:r>
        </m:oMath>
      </m:oMathPara>
    </w:p>
    <w:p>
      <w:pPr>
        <w:pStyle w:val="FirstParagraph"/>
      </w:pPr>
      <w:r>
        <w:rPr>
          <w:rFonts w:ascii="Times New Roman" w:hAnsi="Times New Roman"/>
        </w:rPr>
        <w:t xml:space="preserve">En milieu neutre :</w:t>
      </w:r>
    </w:p>
    <w:p>
      <w:pPr>
        <w:pStyle w:val="BodyText"/>
      </w:pPr>
      <m:oMathPara>
        <m:oMathParaPr>
          <m:jc m:val="center"/>
        </m:oMathParaPr>
        <m:oMath>
          <m:sSub>
            <m:e>
              <m:r>
                <m:rPr>
                  <m:nor/>
                  <m:sty m:val="p"/>
                </m:rPr>
                <m:t>O</m:t>
              </m:r>
            </m:e>
            <m:sub>
              <m:r>
                <m:t>2</m:t>
              </m:r>
            </m:sub>
          </m:sSub>
          <m:r>
            <m:rPr>
              <m:sty m:val="p"/>
            </m:rPr>
            <m:t>+</m:t>
          </m:r>
          <m:r>
            <m:t>2</m:t>
          </m:r>
          <m:sSub>
            <m:e>
              <m:r>
                <m:rPr>
                  <m:nor/>
                  <m:sty m:val="p"/>
                </m:rPr>
                <m:t>H</m:t>
              </m:r>
            </m:e>
            <m:sub>
              <m:r>
                <m:t>2</m:t>
              </m:r>
            </m:sub>
          </m:sSub>
          <m:r>
            <m:rPr>
              <m:nor/>
              <m:sty m:val="p"/>
            </m:rPr>
            <m:t>O</m:t>
          </m:r>
          <m:r>
            <m:rPr>
              <m:sty m:val="p"/>
            </m:rPr>
            <m:t>+</m:t>
          </m:r>
          <m:r>
            <m:t>4</m:t>
          </m:r>
          <m:sSup>
            <m:e>
              <m:r>
                <m:t>e</m:t>
              </m:r>
            </m:e>
            <m:sup>
              <m:r>
                <m:rPr>
                  <m:sty m:val="p"/>
                </m:rPr>
                <m:t>−</m:t>
              </m:r>
            </m:sup>
          </m:sSup>
          <m:r>
            <m:rPr>
              <m:sty m:val="p"/>
            </m:rPr>
            <m:t>→</m:t>
          </m:r>
          <m:r>
            <m:t>4</m:t>
          </m:r>
          <m:sSup>
            <m:e>
              <m:r>
                <m:rPr>
                  <m:nor/>
                  <m:sty m:val="p"/>
                </m:rPr>
                <m:t>OH</m:t>
              </m:r>
            </m:e>
            <m:sup>
              <m:r>
                <m:rPr>
                  <m:sty m:val="p"/>
                </m:rPr>
                <m:t>−</m:t>
              </m:r>
            </m:sup>
          </m:sSup>
        </m:oMath>
      </m:oMathPara>
    </w:p>
    <w:p>
      <w:pPr>
        <w:pStyle w:val="FirstParagraph"/>
      </w:pPr>
      <w:r>
        <w:rPr>
          <w:rFonts w:ascii="Times New Roman" w:hAnsi="Times New Roman"/>
        </w:rPr>
        <w:t xml:space="preserve">La loi de Faraday (1834) établit la relation quantitative entre le courant électrique échangé et la masse de métal dissous :</w:t>
      </w:r>
    </w:p>
    <w:p>
      <w:pPr>
        <w:pStyle w:val="BodyText"/>
      </w:pPr>
      <m:oMathPara>
        <m:oMathParaPr>
          <m:jc m:val="center"/>
        </m:oMathParaPr>
        <m:oMath>
          <m:r>
            <m:t>m</m:t>
          </m:r>
          <m:r>
            <m:rPr>
              <m:sty m:val="p"/>
            </m:rPr>
            <m:t>=</m:t>
          </m:r>
          <m:f>
            <m:fPr>
              <m:type m:val="bar"/>
            </m:fPr>
            <m:num>
              <m:r>
                <m:t>M</m:t>
              </m:r>
              <m:r>
                <m:rPr>
                  <m:sty m:val="p"/>
                </m:rPr>
                <m:t>⋅</m:t>
              </m:r>
              <m:r>
                <m:t>I</m:t>
              </m:r>
              <m:r>
                <m:rPr>
                  <m:sty m:val="p"/>
                </m:rPr>
                <m:t>⋅</m:t>
              </m:r>
              <m:r>
                <m:t>t</m:t>
              </m:r>
            </m:num>
            <m:den>
              <m:r>
                <m:t>n</m:t>
              </m:r>
              <m:r>
                <m:rPr>
                  <m:sty m:val="p"/>
                </m:rPr>
                <m:t>⋅</m:t>
              </m:r>
              <m:r>
                <m:t>F</m:t>
              </m:r>
            </m:den>
          </m:f>
        </m:oMath>
      </m:oMathPara>
    </w:p>
    <w:p>
      <w:pPr>
        <w:pStyle w:val="FirstParagraph"/>
      </w:pPr>
      <w:r>
        <w:rPr>
          <w:rFonts w:ascii="Times New Roman" w:hAnsi="Times New Roman"/>
        </w:rPr>
        <w:t xml:space="preserve">Le taux de corrosion (CR), exprimé en mm/an conformément à la norme ASTM G1, est calculé par :</w:t>
      </w:r>
    </w:p>
    <w:p>
      <w:pPr>
        <w:pStyle w:val="BodyText"/>
      </w:pPr>
      <m:oMathPara>
        <m:oMathParaPr>
          <m:jc m:val="center"/>
        </m:oMathParaPr>
        <m:oMath>
          <m:r>
            <m:t>C</m:t>
          </m:r>
          <m:r>
            <m:t>R</m:t>
          </m:r>
          <m:r>
            <m:t> </m:t>
          </m:r>
          <m:r>
            <m:rPr>
              <m:sty m:val="p"/>
            </m:rPr>
            <m:t>(</m:t>
          </m:r>
          <m:r>
            <m:t>m</m:t>
          </m:r>
          <m:r>
            <m:t>m</m:t>
          </m:r>
          <m:r>
            <m:rPr>
              <m:sty m:val="p"/>
            </m:rPr>
            <m:t>/</m:t>
          </m:r>
          <m:r>
            <m:t>a</m:t>
          </m:r>
          <m:r>
            <m:t>n</m:t>
          </m:r>
          <m:r>
            <m:rPr>
              <m:sty m:val="p"/>
            </m:rPr>
            <m:t>)</m:t>
          </m:r>
          <m:r>
            <m:rPr>
              <m:sty m:val="p"/>
            </m:rPr>
            <m:t>=</m:t>
          </m:r>
          <m:f>
            <m:fPr>
              <m:type m:val="bar"/>
            </m:fPr>
            <m:num>
              <m:r>
                <m:t>87</m:t>
              </m:r>
              <m:r>
                <m:rPr>
                  <m:sty m:val="p"/>
                </m:rPr>
                <m:t>,</m:t>
              </m:r>
              <m:r>
                <m:t>6</m:t>
              </m:r>
              <m:r>
                <m:rPr>
                  <m:sty m:val="p"/>
                </m:rPr>
                <m:t>⋅</m:t>
              </m:r>
              <m:r>
                <m:rPr>
                  <m:sty m:val="p"/>
                </m:rPr>
                <m:t>Δ</m:t>
              </m:r>
              <m:r>
                <m:t>m</m:t>
              </m:r>
            </m:num>
            <m:den>
              <m:r>
                <m:t>ρ</m:t>
              </m:r>
              <m:r>
                <m:rPr>
                  <m:sty m:val="p"/>
                </m:rPr>
                <m:t>⋅</m:t>
              </m:r>
              <m:r>
                <m:t>A</m:t>
              </m:r>
              <m:r>
                <m:rPr>
                  <m:sty m:val="p"/>
                </m:rPr>
                <m:t>⋅</m:t>
              </m:r>
              <m:r>
                <m:t>t</m:t>
              </m:r>
            </m:den>
          </m:f>
        </m:oMath>
      </m:oMathPara>
    </w:p>
    <w:p>
      <w:pPr>
        <w:pStyle w:val="FirstParagraph"/>
      </w:pPr>
      <w:r>
        <w:rPr>
          <w:rFonts w:ascii="Times New Roman" w:hAnsi="Times New Roman"/>
        </w:rPr>
        <w:t xml:space="preserve">Dans le prototype de laboratoire, l’environnement acide (Detar Plus — détartrant professionnel à base d’acide phosphorique et d’acide chlorhydrique, pH ≈ 1) active simultanément ces deux réactions sur le fil de fer de la sonde ER, avec une cinétique fortement accélérée.</w:t>
      </w:r>
    </w:p>
    <w:bookmarkEnd w:id="20"/>
    <w:bookmarkStart w:id="21" w:name="X4ccc821a224a1e8f1641f21f42ae80055cacf43"/>
    <w:p>
      <w:pPr>
        <w:pStyle w:val="Heading3"/>
      </w:pPr>
      <w:r>
        <w:rPr>
          <w:rFonts w:ascii="Times New Roman" w:hAnsi="Times New Roman"/>
        </w:rPr>
        <w:t xml:space="preserve">I.1.2. Formes de corrosion et classification</w:t>
      </w:r>
    </w:p>
    <w:p>
      <w:pPr>
        <w:pStyle w:val="FirstParagraph"/>
      </w:pPr>
      <w:r>
        <w:rPr>
          <w:rFonts w:ascii="Times New Roman" w:hAnsi="Times New Roman"/>
        </w:rPr>
        <w:t xml:space="preserve">La corrosion ne se manifeste pas de manière uniforme. La classification internationale de référence établie par l’AMPP (ex-NACE International) et reprise dans la norme NACE SP0775 distingue les formes suivantes :</w:t>
      </w:r>
    </w:p>
    <w:p>
      <w:pPr>
        <w:pStyle w:val="BodyText"/>
      </w:pPr>
      <w:r>
        <w:rPr>
          <w:rFonts w:ascii="Times New Roman" w:hAnsi="Times New Roman"/>
          <w:b/>
          <w:bCs/>
        </w:rPr>
        <w:t xml:space="preserve">Tableau I.1 — Classification des formes de corrosion</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b/>
                <w:sz w:val="20"/>
              </w:rPr>
              <w:t xml:space="preserve">Forme</w:t>
            </w:r>
          </w:p>
        </w:tc>
        <w:tc>
          <w:tcPr/>
          <w:p>
            <w:pPr>
              <w:pStyle w:val="Compact"/>
            </w:pPr>
            <w:r>
              <w:rPr>
                <w:rFonts w:ascii="Times New Roman" w:hAnsi="Times New Roman"/>
                <w:b/>
                <w:sz w:val="20"/>
              </w:rPr>
              <w:t xml:space="preserve">Mécanisme</w:t>
            </w:r>
          </w:p>
        </w:tc>
        <w:tc>
          <w:tcPr/>
          <w:p>
            <w:pPr>
              <w:pStyle w:val="Compact"/>
            </w:pPr>
            <w:r>
              <w:rPr>
                <w:rFonts w:ascii="Times New Roman" w:hAnsi="Times New Roman"/>
                <w:b/>
                <w:sz w:val="20"/>
              </w:rPr>
              <w:t xml:space="preserve">Localisation typique</w:t>
            </w:r>
          </w:p>
        </w:tc>
        <w:tc>
          <w:tcPr/>
          <w:p>
            <w:pPr>
              <w:pStyle w:val="Compact"/>
            </w:pPr>
            <w:r>
              <w:rPr>
                <w:rFonts w:ascii="Times New Roman" w:hAnsi="Times New Roman"/>
                <w:b/>
                <w:sz w:val="20"/>
              </w:rPr>
              <w:t xml:space="preserve">Norme</w:t>
            </w:r>
          </w:p>
        </w:tc>
      </w:tr>
      <w:tr>
        <w:tc>
          <w:tcPr/>
          <w:p>
            <w:pPr>
              <w:pStyle w:val="Compact"/>
            </w:pPr>
            <w:r>
              <w:rPr>
                <w:rFonts w:ascii="Times New Roman" w:hAnsi="Times New Roman"/>
                <w:sz w:val="20"/>
              </w:rPr>
              <w:t xml:space="preserve">Généralisée (uniforme)</w:t>
            </w:r>
          </w:p>
        </w:tc>
        <w:tc>
          <w:tcPr/>
          <w:p>
            <w:pPr>
              <w:pStyle w:val="Compact"/>
            </w:pPr>
            <w:r>
              <w:rPr>
                <w:rFonts w:ascii="Times New Roman" w:hAnsi="Times New Roman"/>
                <w:sz w:val="20"/>
              </w:rPr>
              <w:t xml:space="preserve">Dissolution uniforme sur toute la surface</w:t>
            </w:r>
          </w:p>
        </w:tc>
        <w:tc>
          <w:tcPr/>
          <w:p>
            <w:pPr>
              <w:pStyle w:val="Compact"/>
            </w:pPr>
            <w:r>
              <w:rPr>
                <w:rFonts w:ascii="Times New Roman" w:hAnsi="Times New Roman"/>
                <w:sz w:val="20"/>
              </w:rPr>
              <w:t xml:space="preserve">Pipelines acier au carbone</w:t>
            </w:r>
          </w:p>
        </w:tc>
        <w:tc>
          <w:tcPr/>
          <w:p>
            <w:pPr>
              <w:pStyle w:val="Compact"/>
            </w:pPr>
            <w:r>
              <w:rPr>
                <w:rFonts w:ascii="Times New Roman" w:hAnsi="Times New Roman"/>
                <w:sz w:val="20"/>
              </w:rPr>
              <w:t xml:space="preserve">ASTM G1, NACE SP0775</w:t>
            </w:r>
          </w:p>
        </w:tc>
      </w:tr>
      <w:tr>
        <w:tc>
          <w:tcPr/>
          <w:p>
            <w:pPr>
              <w:pStyle w:val="Compact"/>
            </w:pPr>
            <w:r>
              <w:rPr>
                <w:rFonts w:ascii="Times New Roman" w:hAnsi="Times New Roman"/>
                <w:sz w:val="20"/>
              </w:rPr>
              <w:t xml:space="preserve">Par piqûres</w:t>
            </w:r>
          </w:p>
        </w:tc>
        <w:tc>
          <w:tcPr/>
          <w:p>
            <w:pPr>
              <w:pStyle w:val="Compact"/>
            </w:pPr>
            <w:r>
              <w:rPr>
                <w:rFonts w:ascii="Times New Roman" w:hAnsi="Times New Roman"/>
                <w:sz w:val="20"/>
              </w:rPr>
              <w:t xml:space="preserve">Attaque localisée par les ions Cl⁻</w:t>
            </w:r>
          </w:p>
        </w:tc>
        <w:tc>
          <w:tcPr/>
          <w:p>
            <w:pPr>
              <w:pStyle w:val="Compact"/>
            </w:pPr>
            <w:r>
              <w:rPr>
                <w:rFonts w:ascii="Times New Roman" w:hAnsi="Times New Roman"/>
                <w:sz w:val="20"/>
              </w:rPr>
              <w:t xml:space="preserve">Acier inox en milieu chloruré</w:t>
            </w:r>
          </w:p>
        </w:tc>
        <w:tc>
          <w:tcPr/>
          <w:p>
            <w:pPr>
              <w:pStyle w:val="Compact"/>
            </w:pPr>
            <w:r>
              <w:rPr>
                <w:rFonts w:ascii="Times New Roman" w:hAnsi="Times New Roman"/>
                <w:sz w:val="20"/>
              </w:rPr>
              <w:t xml:space="preserve">ASTM G46</w:t>
            </w:r>
          </w:p>
        </w:tc>
      </w:tr>
      <w:tr>
        <w:tc>
          <w:tcPr/>
          <w:p>
            <w:pPr>
              <w:pStyle w:val="Compact"/>
            </w:pPr>
            <w:r>
              <w:rPr>
                <w:rFonts w:ascii="Times New Roman" w:hAnsi="Times New Roman"/>
                <w:sz w:val="20"/>
              </w:rPr>
              <w:t xml:space="preserve">Galvanique</w:t>
            </w:r>
          </w:p>
        </w:tc>
        <w:tc>
          <w:tcPr/>
          <w:p>
            <w:pPr>
              <w:pStyle w:val="Compact"/>
            </w:pPr>
            <w:r>
              <w:rPr>
                <w:rFonts w:ascii="Times New Roman" w:hAnsi="Times New Roman"/>
                <w:sz w:val="20"/>
              </w:rPr>
              <w:t xml:space="preserve">Couplage entre deux métaux de potentiels différents</w:t>
            </w:r>
          </w:p>
        </w:tc>
        <w:tc>
          <w:tcPr/>
          <w:p>
            <w:pPr>
              <w:pStyle w:val="Compact"/>
            </w:pPr>
            <w:r>
              <w:rPr>
                <w:rFonts w:ascii="Times New Roman" w:hAnsi="Times New Roman"/>
                <w:sz w:val="20"/>
              </w:rPr>
              <w:t xml:space="preserve">Raccords bimétalliques offshore</w:t>
            </w:r>
          </w:p>
        </w:tc>
        <w:tc>
          <w:tcPr/>
          <w:p>
            <w:pPr>
              <w:pStyle w:val="Compact"/>
            </w:pPr>
            <w:r>
              <w:rPr>
                <w:rFonts w:ascii="Times New Roman" w:hAnsi="Times New Roman"/>
                <w:sz w:val="20"/>
              </w:rPr>
              <w:t xml:space="preserve">ASTM G82</w:t>
            </w:r>
          </w:p>
        </w:tc>
      </w:tr>
      <w:tr>
        <w:tc>
          <w:tcPr/>
          <w:p>
            <w:pPr>
              <w:pStyle w:val="Compact"/>
            </w:pPr>
            <w:r>
              <w:rPr>
                <w:rFonts w:ascii="Times New Roman" w:hAnsi="Times New Roman"/>
                <w:sz w:val="20"/>
              </w:rPr>
              <w:t xml:space="preserve">Érosion-corrosion</w:t>
            </w:r>
          </w:p>
        </w:tc>
        <w:tc>
          <w:tcPr/>
          <w:p>
            <w:pPr>
              <w:pStyle w:val="Compact"/>
            </w:pPr>
            <w:r>
              <w:rPr>
                <w:rFonts w:ascii="Times New Roman" w:hAnsi="Times New Roman"/>
                <w:sz w:val="20"/>
              </w:rPr>
              <w:t xml:space="preserve">Attaque accélérée par l’écoulement du fluide</w:t>
            </w:r>
          </w:p>
        </w:tc>
        <w:tc>
          <w:tcPr/>
          <w:p>
            <w:pPr>
              <w:pStyle w:val="Compact"/>
            </w:pPr>
            <w:r>
              <w:rPr>
                <w:rFonts w:ascii="Times New Roman" w:hAnsi="Times New Roman"/>
                <w:sz w:val="20"/>
              </w:rPr>
              <w:t xml:space="preserve">Coudes, vannes, pompes</w:t>
            </w:r>
          </w:p>
        </w:tc>
        <w:tc>
          <w:tcPr/>
          <w:p>
            <w:pPr>
              <w:pStyle w:val="Compact"/>
            </w:pPr>
            <w:r>
              <w:rPr>
                <w:rFonts w:ascii="Times New Roman" w:hAnsi="Times New Roman"/>
                <w:sz w:val="20"/>
              </w:rPr>
              <w:t xml:space="preserve">ASTM G76</w:t>
            </w:r>
          </w:p>
        </w:tc>
      </w:tr>
      <w:tr>
        <w:tc>
          <w:tcPr/>
          <w:p>
            <w:pPr>
              <w:pStyle w:val="Compact"/>
            </w:pPr>
            <w:r>
              <w:rPr>
                <w:rFonts w:ascii="Times New Roman" w:hAnsi="Times New Roman"/>
                <w:sz w:val="20"/>
              </w:rPr>
              <w:t xml:space="preserve">CO₂ (sweet corrosion)</w:t>
            </w:r>
          </w:p>
        </w:tc>
        <w:tc>
          <w:tcPr/>
          <w:p>
            <w:pPr>
              <w:pStyle w:val="Compact"/>
            </w:pPr>
            <w:r>
              <w:rPr>
                <w:rFonts w:ascii="Times New Roman" w:hAnsi="Times New Roman"/>
                <w:sz w:val="20"/>
              </w:rPr>
              <w:t xml:space="preserve">CO₂ dissous forme H₂CO₃ → attaque acide</w:t>
            </w:r>
          </w:p>
        </w:tc>
        <w:tc>
          <w:tcPr/>
          <w:p>
            <w:pPr>
              <w:pStyle w:val="Compact"/>
            </w:pPr>
            <w:r>
              <w:rPr>
                <w:rFonts w:ascii="Times New Roman" w:hAnsi="Times New Roman"/>
                <w:sz w:val="20"/>
              </w:rPr>
              <w:t xml:space="preserve">Pipelines Oil &amp; Gas</w:t>
            </w:r>
          </w:p>
        </w:tc>
        <w:tc>
          <w:tcPr/>
          <w:p>
            <w:pPr>
              <w:pStyle w:val="Compact"/>
            </w:pPr>
            <w:r>
              <w:rPr>
                <w:rFonts w:ascii="Times New Roman" w:hAnsi="Times New Roman"/>
                <w:sz w:val="20"/>
              </w:rPr>
              <w:t xml:space="preserve">de Waard &amp; Milliams (1975)</w:t>
            </w:r>
          </w:p>
        </w:tc>
      </w:tr>
      <w:tr>
        <w:tc>
          <w:tcPr/>
          <w:p>
            <w:pPr>
              <w:pStyle w:val="Compact"/>
            </w:pPr>
            <w:r>
              <w:rPr>
                <w:rFonts w:ascii="Times New Roman" w:hAnsi="Times New Roman"/>
                <w:sz w:val="20"/>
              </w:rPr>
              <w:t xml:space="preserve">H₂S (sour corrosion)</w:t>
            </w:r>
          </w:p>
        </w:tc>
        <w:tc>
          <w:tcPr/>
          <w:p>
            <w:pPr>
              <w:pStyle w:val="Compact"/>
            </w:pPr>
            <w:r>
              <w:rPr>
                <w:rFonts w:ascii="Times New Roman" w:hAnsi="Times New Roman"/>
                <w:sz w:val="20"/>
              </w:rPr>
              <w:t xml:space="preserve">Fragilisation par hydrogène (SSC, HIC)</w:t>
            </w:r>
          </w:p>
        </w:tc>
        <w:tc>
          <w:tcPr/>
          <w:p>
            <w:pPr>
              <w:pStyle w:val="Compact"/>
            </w:pPr>
            <w:r>
              <w:rPr>
                <w:rFonts w:ascii="Times New Roman" w:hAnsi="Times New Roman"/>
                <w:sz w:val="20"/>
              </w:rPr>
              <w:t xml:space="preserve">Puits à gaz acide</w:t>
            </w:r>
          </w:p>
        </w:tc>
        <w:tc>
          <w:tcPr/>
          <w:p>
            <w:pPr>
              <w:pStyle w:val="Compact"/>
            </w:pPr>
            <w:r>
              <w:rPr>
                <w:rFonts w:ascii="Times New Roman" w:hAnsi="Times New Roman"/>
                <w:sz w:val="20"/>
              </w:rPr>
              <w:t xml:space="preserve">NACE MR0175/ISO 15156</w:t>
            </w:r>
          </w:p>
        </w:tc>
      </w:tr>
      <w:tr>
        <w:tc>
          <w:tcPr/>
          <w:p>
            <w:pPr>
              <w:pStyle w:val="Compact"/>
            </w:pPr>
            <w:r>
              <w:rPr>
                <w:rFonts w:ascii="Times New Roman" w:hAnsi="Times New Roman"/>
                <w:sz w:val="20"/>
              </w:rPr>
              <w:t xml:space="preserve">MIC</w:t>
            </w:r>
          </w:p>
        </w:tc>
        <w:tc>
          <w:tcPr/>
          <w:p>
            <w:pPr>
              <w:pStyle w:val="Compact"/>
            </w:pPr>
            <w:r>
              <w:rPr>
                <w:rFonts w:ascii="Times New Roman" w:hAnsi="Times New Roman"/>
                <w:sz w:val="20"/>
              </w:rPr>
              <w:t xml:space="preserve">Activité de bactéries sulfato-réductrices (SRB)</w:t>
            </w:r>
          </w:p>
        </w:tc>
        <w:tc>
          <w:tcPr/>
          <w:p>
            <w:pPr>
              <w:pStyle w:val="Compact"/>
            </w:pPr>
            <w:r>
              <w:rPr>
                <w:rFonts w:ascii="Times New Roman" w:hAnsi="Times New Roman"/>
                <w:sz w:val="20"/>
              </w:rPr>
              <w:t xml:space="preserve">Fonds de réservoirs</w:t>
            </w:r>
          </w:p>
        </w:tc>
        <w:tc>
          <w:tcPr/>
          <w:p>
            <w:pPr>
              <w:pStyle w:val="Compact"/>
            </w:pPr>
            <w:r>
              <w:rPr>
                <w:rFonts w:ascii="Times New Roman" w:hAnsi="Times New Roman"/>
                <w:sz w:val="20"/>
              </w:rPr>
              <w:t xml:space="preserve">NACE TM0212</w:t>
            </w:r>
          </w:p>
        </w:tc>
      </w:tr>
    </w:tbl>
    <w:p>
      <w:pPr>
        <w:pStyle w:val="BodyText"/>
      </w:pPr>
      <w:r>
        <w:rPr>
          <w:rFonts w:ascii="Times New Roman" w:hAnsi="Times New Roman"/>
        </w:rPr>
        <w:t xml:space="preserve">Le prototype reproduit une corrosion généralisée en milieu acide fort (Detar Plus : HCl + H₃PO₄). Ce milieu multi-acide crée une cinétique complexe et non-monotone : l’HCl attaque agressivement tandis que l’H₃PO₄ tend à former un film de phosphate de fer (FePO₄) partiellement protecteur. Cette non-linéarité constitue précisément l’argument méthodologique en faveur d’une approche par apprentissage automatique, là où les modèles physiques classiques ne peuvent pas prédire l’interaction entre ces deux mécanismes antagonistes.</w:t>
      </w:r>
    </w:p>
    <w:bookmarkEnd w:id="21"/>
    <w:bookmarkStart w:id="22" w:name="Xed554fd3c62cb0183fe27289c9dcd570b6b1bed"/>
    <w:p>
      <w:pPr>
        <w:pStyle w:val="Heading3"/>
      </w:pPr>
      <w:r>
        <w:rPr>
          <w:rFonts w:ascii="Times New Roman" w:hAnsi="Times New Roman"/>
        </w:rPr>
        <w:t xml:space="preserve">I.1.3. Facteurs influents sur le taux de corrosion</w:t>
      </w:r>
    </w:p>
    <w:p>
      <w:pPr>
        <w:pStyle w:val="FirstParagraph"/>
      </w:pPr>
      <w:r>
        <w:rPr>
          <w:rFonts w:ascii="Times New Roman" w:hAnsi="Times New Roman"/>
        </w:rPr>
        <w:t xml:space="preserve">Le taux de corrosion résulte de l’interaction dynamique entre le métal et son environnement. Les facteurs principaux sont :</w:t>
      </w:r>
    </w:p>
    <w:p>
      <w:pPr>
        <w:pStyle w:val="BodyText"/>
      </w:pPr>
      <w:r>
        <w:rPr>
          <w:rFonts w:ascii="Times New Roman" w:hAnsi="Times New Roman"/>
          <w:b/>
          <w:bCs/>
        </w:rPr>
        <w:t xml:space="preserve">La température</w:t>
      </w:r>
      <w:r>
        <w:rPr>
          <w:rFonts w:ascii="Times New Roman" w:hAnsi="Times New Roman"/>
        </w:rPr>
        <w:t xml:space="preserve"> </w:t>
      </w:r>
      <w:r>
        <w:rPr>
          <w:rFonts w:ascii="Times New Roman" w:hAnsi="Times New Roman"/>
        </w:rPr>
        <w:t xml:space="preserve">: son influence suit une loi d’Arrhenius, traduisant l’accélération des réactions chimiques avec la chaleur. La résistivité électrique du fer varie également avec la température selon le coefficient thermique α_Fe = 6,5 × 10⁻³ °C⁻¹, ce qui nécessite une compensation thermique des mesures ER.</w:t>
      </w:r>
    </w:p>
    <w:p>
      <w:pPr>
        <w:pStyle w:val="BodyText"/>
      </w:pPr>
      <w:r>
        <w:rPr>
          <w:rFonts w:ascii="Times New Roman" w:hAnsi="Times New Roman"/>
          <w:b/>
          <w:bCs/>
        </w:rPr>
        <w:t xml:space="preserve">La composition du milieu</w:t>
      </w:r>
      <w:r>
        <w:rPr>
          <w:rFonts w:ascii="Times New Roman" w:hAnsi="Times New Roman"/>
        </w:rPr>
        <w:t xml:space="preserve"> </w:t>
      </w:r>
      <w:r>
        <w:rPr>
          <w:rFonts w:ascii="Times New Roman" w:hAnsi="Times New Roman"/>
        </w:rPr>
        <w:t xml:space="preserve">: la concentration en ions agressifs (Cl⁻, H⁺), la présence de CO₂ ou H₂S dissous, et le pH déterminent la cinétique de la réaction cathodique et l’agressivité globale du milieu.</w:t>
      </w:r>
    </w:p>
    <w:p>
      <w:pPr>
        <w:pStyle w:val="BodyText"/>
      </w:pPr>
      <w:r>
        <w:rPr>
          <w:rFonts w:ascii="Times New Roman" w:hAnsi="Times New Roman"/>
          <w:b/>
          <w:bCs/>
        </w:rPr>
        <w:t xml:space="preserve">La nature du matériau</w:t>
      </w:r>
      <w:r>
        <w:rPr>
          <w:rFonts w:ascii="Times New Roman" w:hAnsi="Times New Roman"/>
        </w:rPr>
        <w:t xml:space="preserve"> </w:t>
      </w:r>
      <w:r>
        <w:rPr>
          <w:rFonts w:ascii="Times New Roman" w:hAnsi="Times New Roman"/>
        </w:rPr>
        <w:t xml:space="preserve">: la résistivité électrique ρ et la composition de l’alliage conditionnent à la fois la vitesse de dissolution et la sensibilité de la mesure ER.</w:t>
      </w:r>
    </w:p>
    <w:bookmarkEnd w:id="22"/>
    <w:bookmarkStart w:id="23" w:name="X0937491c174d081cee00308906df4d5eba0e636"/>
    <w:p>
      <w:pPr>
        <w:pStyle w:val="Heading3"/>
      </w:pPr>
      <w:r>
        <w:rPr>
          <w:rFonts w:ascii="Times New Roman" w:hAnsi="Times New Roman"/>
        </w:rPr>
        <w:t xml:space="preserve">I.1.4. Méthodes de surveillance de la corrosion</w:t>
      </w:r>
    </w:p>
    <w:p>
      <w:pPr>
        <w:pStyle w:val="FirstParagraph"/>
      </w:pPr>
      <w:r>
        <w:rPr>
          <w:rFonts w:ascii="Times New Roman" w:hAnsi="Times New Roman"/>
          <w:b/>
          <w:bCs/>
        </w:rPr>
        <w:t xml:space="preserve">Tableau I.2 — Comparaison des méthodes de surveillance de la corrosion</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b/>
                <w:sz w:val="20"/>
              </w:rPr>
              <w:t xml:space="preserve">Méthode</w:t>
            </w:r>
          </w:p>
        </w:tc>
        <w:tc>
          <w:tcPr/>
          <w:p>
            <w:pPr>
              <w:pStyle w:val="Compact"/>
            </w:pPr>
            <w:r>
              <w:rPr>
                <w:rFonts w:ascii="Times New Roman" w:hAnsi="Times New Roman"/>
                <w:b/>
                <w:sz w:val="20"/>
              </w:rPr>
              <w:t xml:space="preserve">Principe</w:t>
            </w:r>
          </w:p>
        </w:tc>
        <w:tc>
          <w:tcPr/>
          <w:p>
            <w:pPr>
              <w:pStyle w:val="Compact"/>
            </w:pPr>
            <w:r>
              <w:rPr>
                <w:rFonts w:ascii="Times New Roman" w:hAnsi="Times New Roman"/>
                <w:b/>
                <w:sz w:val="20"/>
              </w:rPr>
              <w:t xml:space="preserve">Mesure</w:t>
            </w:r>
          </w:p>
        </w:tc>
        <w:tc>
          <w:tcPr/>
          <w:p>
            <w:pPr>
              <w:pStyle w:val="Compact"/>
            </w:pPr>
            <w:r>
              <w:rPr>
                <w:rFonts w:ascii="Times New Roman" w:hAnsi="Times New Roman"/>
                <w:b/>
                <w:sz w:val="20"/>
              </w:rPr>
              <w:t xml:space="preserve">Résolution</w:t>
            </w:r>
          </w:p>
        </w:tc>
        <w:tc>
          <w:tcPr/>
          <w:p>
            <w:pPr>
              <w:pStyle w:val="Compact"/>
            </w:pPr>
            <w:r>
              <w:rPr>
                <w:rFonts w:ascii="Times New Roman" w:hAnsi="Times New Roman"/>
                <w:b/>
                <w:sz w:val="20"/>
              </w:rPr>
              <w:t xml:space="preserve">Coût unitaire</w:t>
            </w:r>
          </w:p>
        </w:tc>
      </w:tr>
      <w:tr>
        <w:tc>
          <w:tcPr/>
          <w:p>
            <w:pPr>
              <w:pStyle w:val="Compact"/>
            </w:pPr>
            <w:r>
              <w:rPr>
                <w:rFonts w:ascii="Times New Roman" w:hAnsi="Times New Roman"/>
                <w:sz w:val="20"/>
              </w:rPr>
              <w:t xml:space="preserve">Coupon gravimétrique</w:t>
            </w:r>
          </w:p>
        </w:tc>
        <w:tc>
          <w:tcPr/>
          <w:p>
            <w:pPr>
              <w:pStyle w:val="Compact"/>
            </w:pPr>
            <w:r>
              <w:rPr>
                <w:rFonts w:ascii="Times New Roman" w:hAnsi="Times New Roman"/>
                <w:sz w:val="20"/>
              </w:rPr>
              <w:t xml:space="preserve">Perte de masse après exposition</w:t>
            </w:r>
          </w:p>
        </w:tc>
        <w:tc>
          <w:tcPr/>
          <w:p>
            <w:pPr>
              <w:pStyle w:val="Compact"/>
            </w:pPr>
            <w:r>
              <w:rPr>
                <w:rFonts w:ascii="Times New Roman" w:hAnsi="Times New Roman"/>
                <w:sz w:val="20"/>
              </w:rPr>
              <w:t xml:space="preserve">Intégrée sur la durée</w:t>
            </w:r>
          </w:p>
        </w:tc>
        <w:tc>
          <w:tcPr/>
          <w:p>
            <w:pPr>
              <w:pStyle w:val="Compact"/>
            </w:pPr>
            <w:r>
              <w:rPr>
                <w:rFonts w:ascii="Times New Roman" w:hAnsi="Times New Roman"/>
                <w:sz w:val="20"/>
              </w:rPr>
              <w:t xml:space="preserve">±0,1 mg/cm²</w:t>
            </w:r>
          </w:p>
        </w:tc>
        <w:tc>
          <w:tcPr/>
          <w:p>
            <w:pPr>
              <w:pStyle w:val="Compact"/>
            </w:pPr>
            <w:r>
              <w:rPr>
                <w:rFonts w:ascii="Times New Roman" w:hAnsi="Times New Roman"/>
                <w:sz w:val="20"/>
              </w:rPr>
              <w:t xml:space="preserve">Très faible</w:t>
            </w:r>
          </w:p>
        </w:tc>
      </w:tr>
      <w:tr>
        <w:tc>
          <w:tcPr/>
          <w:p>
            <w:pPr>
              <w:pStyle w:val="Compact"/>
            </w:pPr>
            <w:r>
              <w:rPr>
                <w:rFonts w:ascii="Times New Roman" w:hAnsi="Times New Roman"/>
                <w:sz w:val="20"/>
              </w:rPr>
              <w:t xml:space="preserve">Sonde ER</w:t>
            </w:r>
          </w:p>
        </w:tc>
        <w:tc>
          <w:tcPr/>
          <w:p>
            <w:pPr>
              <w:pStyle w:val="Compact"/>
            </w:pPr>
            <w:r>
              <w:rPr>
                <w:rFonts w:ascii="Times New Roman" w:hAnsi="Times New Roman"/>
                <w:sz w:val="20"/>
              </w:rPr>
              <w:t xml:space="preserve">Augmentation de R du fil corrodé</w:t>
            </w:r>
          </w:p>
        </w:tc>
        <w:tc>
          <w:tcPr/>
          <w:p>
            <w:pPr>
              <w:pStyle w:val="Compact"/>
            </w:pPr>
            <w:r>
              <w:rPr>
                <w:rFonts w:ascii="Times New Roman" w:hAnsi="Times New Roman"/>
                <w:sz w:val="20"/>
              </w:rPr>
              <w:t xml:space="preserve">Continue en temps réel</w:t>
            </w:r>
          </w:p>
        </w:tc>
        <w:tc>
          <w:tcPr/>
          <w:p>
            <w:pPr>
              <w:pStyle w:val="Compact"/>
            </w:pPr>
            <w:r>
              <w:rPr>
                <w:rFonts w:ascii="Times New Roman" w:hAnsi="Times New Roman"/>
                <w:sz w:val="20"/>
              </w:rPr>
              <w:t xml:space="preserve">±0,01 mΩ</w:t>
            </w:r>
          </w:p>
        </w:tc>
        <w:tc>
          <w:tcPr/>
          <w:p>
            <w:pPr>
              <w:pStyle w:val="Compact"/>
            </w:pPr>
            <w:r>
              <w:rPr>
                <w:rFonts w:ascii="Times New Roman" w:hAnsi="Times New Roman"/>
                <w:sz w:val="20"/>
              </w:rPr>
              <w:t xml:space="preserve">Faible à élevé</w:t>
            </w:r>
          </w:p>
        </w:tc>
      </w:tr>
      <w:tr>
        <w:tc>
          <w:tcPr/>
          <w:p>
            <w:pPr>
              <w:pStyle w:val="Compact"/>
            </w:pPr>
            <w:r>
              <w:rPr>
                <w:rFonts w:ascii="Times New Roman" w:hAnsi="Times New Roman"/>
                <w:sz w:val="20"/>
              </w:rPr>
              <w:t xml:space="preserve">LPR</w:t>
            </w:r>
          </w:p>
        </w:tc>
        <w:tc>
          <w:tcPr/>
          <w:p>
            <w:pPr>
              <w:pStyle w:val="Compact"/>
            </w:pPr>
            <w:r>
              <w:rPr>
                <w:rFonts w:ascii="Times New Roman" w:hAnsi="Times New Roman"/>
                <w:sz w:val="20"/>
              </w:rPr>
              <w:t xml:space="preserve">Résistance de polarisation linéaire</w:t>
            </w:r>
          </w:p>
        </w:tc>
        <w:tc>
          <w:tcPr/>
          <w:p>
            <w:pPr>
              <w:pStyle w:val="Compact"/>
            </w:pPr>
            <w:r>
              <w:rPr>
                <w:rFonts w:ascii="Times New Roman" w:hAnsi="Times New Roman"/>
                <w:sz w:val="20"/>
              </w:rPr>
              <w:t xml:space="preserve">Continue</w:t>
            </w:r>
          </w:p>
        </w:tc>
        <w:tc>
          <w:tcPr/>
          <w:p>
            <w:pPr>
              <w:pStyle w:val="Compact"/>
            </w:pPr>
            <w:r>
              <w:rPr>
                <w:rFonts w:ascii="Times New Roman" w:hAnsi="Times New Roman"/>
                <w:sz w:val="20"/>
              </w:rPr>
              <w:t xml:space="preserve">±5 %</w:t>
            </w:r>
          </w:p>
        </w:tc>
        <w:tc>
          <w:tcPr/>
          <w:p>
            <w:pPr>
              <w:pStyle w:val="Compact"/>
            </w:pPr>
            <w:r>
              <w:rPr>
                <w:rFonts w:ascii="Times New Roman" w:hAnsi="Times New Roman"/>
                <w:sz w:val="20"/>
              </w:rPr>
              <w:t xml:space="preserve">Moyen</w:t>
            </w:r>
          </w:p>
        </w:tc>
      </w:tr>
      <w:tr>
        <w:tc>
          <w:tcPr/>
          <w:p>
            <w:pPr>
              <w:pStyle w:val="Compact"/>
            </w:pPr>
            <w:r>
              <w:rPr>
                <w:rFonts w:ascii="Times New Roman" w:hAnsi="Times New Roman"/>
                <w:sz w:val="20"/>
              </w:rPr>
              <w:t xml:space="preserve">EIS</w:t>
            </w:r>
          </w:p>
        </w:tc>
        <w:tc>
          <w:tcPr/>
          <w:p>
            <w:pPr>
              <w:pStyle w:val="Compact"/>
            </w:pPr>
            <w:r>
              <w:rPr>
                <w:rFonts w:ascii="Times New Roman" w:hAnsi="Times New Roman"/>
                <w:sz w:val="20"/>
              </w:rPr>
              <w:t xml:space="preserve">Spectroscopie d’impédance</w:t>
            </w:r>
          </w:p>
        </w:tc>
        <w:tc>
          <w:tcPr/>
          <w:p>
            <w:pPr>
              <w:pStyle w:val="Compact"/>
            </w:pPr>
            <w:r>
              <w:rPr>
                <w:rFonts w:ascii="Times New Roman" w:hAnsi="Times New Roman"/>
                <w:sz w:val="20"/>
              </w:rPr>
              <w:t xml:space="preserve">Discontinue</w:t>
            </w:r>
          </w:p>
        </w:tc>
        <w:tc>
          <w:tcPr/>
          <w:p>
            <w:pPr>
              <w:pStyle w:val="Compact"/>
            </w:pPr>
            <w:r>
              <w:rPr>
                <w:rFonts w:ascii="Times New Roman" w:hAnsi="Times New Roman"/>
                <w:sz w:val="20"/>
              </w:rPr>
              <w:t xml:space="preserve">Très haute</w:t>
            </w:r>
          </w:p>
        </w:tc>
        <w:tc>
          <w:tcPr/>
          <w:p>
            <w:pPr>
              <w:pStyle w:val="Compact"/>
            </w:pPr>
            <w:r>
              <w:rPr>
                <w:rFonts w:ascii="Times New Roman" w:hAnsi="Times New Roman"/>
                <w:sz w:val="20"/>
              </w:rPr>
              <w:t xml:space="preserve">Élevé</w:t>
            </w:r>
          </w:p>
        </w:tc>
      </w:tr>
      <w:tr>
        <w:tc>
          <w:tcPr/>
          <w:p>
            <w:pPr>
              <w:pStyle w:val="Compact"/>
            </w:pPr>
            <w:r>
              <w:rPr>
                <w:rFonts w:ascii="Times New Roman" w:hAnsi="Times New Roman"/>
                <w:sz w:val="20"/>
              </w:rPr>
              <w:t xml:space="preserve">Ultrasons (UT)</w:t>
            </w:r>
          </w:p>
        </w:tc>
        <w:tc>
          <w:tcPr/>
          <w:p>
            <w:pPr>
              <w:pStyle w:val="Compact"/>
            </w:pPr>
            <w:r>
              <w:rPr>
                <w:rFonts w:ascii="Times New Roman" w:hAnsi="Times New Roman"/>
                <w:sz w:val="20"/>
              </w:rPr>
              <w:t xml:space="preserve">Épaisseur de paroi par écho</w:t>
            </w:r>
          </w:p>
        </w:tc>
        <w:tc>
          <w:tcPr/>
          <w:p>
            <w:pPr>
              <w:pStyle w:val="Compact"/>
            </w:pPr>
            <w:r>
              <w:rPr>
                <w:rFonts w:ascii="Times New Roman" w:hAnsi="Times New Roman"/>
                <w:sz w:val="20"/>
              </w:rPr>
              <w:t xml:space="preserve">Ponctuelle</w:t>
            </w:r>
          </w:p>
        </w:tc>
        <w:tc>
          <w:tcPr/>
          <w:p>
            <w:pPr>
              <w:pStyle w:val="Compact"/>
            </w:pPr>
            <w:r>
              <w:rPr>
                <w:rFonts w:ascii="Times New Roman" w:hAnsi="Times New Roman"/>
                <w:sz w:val="20"/>
              </w:rPr>
              <w:t xml:space="preserve">±0,1 mm</w:t>
            </w:r>
          </w:p>
        </w:tc>
        <w:tc>
          <w:tcPr/>
          <w:p>
            <w:pPr>
              <w:pStyle w:val="Compact"/>
            </w:pPr>
            <w:r>
              <w:rPr>
                <w:rFonts w:ascii="Times New Roman" w:hAnsi="Times New Roman"/>
                <w:sz w:val="20"/>
              </w:rPr>
              <w:t xml:space="preserve">Moyen</w:t>
            </w:r>
          </w:p>
        </w:tc>
      </w:tr>
    </w:tbl>
    <w:p>
      <w:pPr>
        <w:pStyle w:val="BodyText"/>
      </w:pPr>
      <w:r>
        <w:rPr>
          <w:rFonts w:ascii="Times New Roman" w:hAnsi="Times New Roman"/>
        </w:rPr>
        <w:t xml:space="preserve">La sonde ER (Electrical Resistance) est retenue dans ce travail pour sa capacité à mesurer en continu et en temps réel le taux de corrosion, par le principe physique suivant : lorsqu’un fil métallique se corrode, sa section transversale diminue et sa résistance électrique augmente selon :</w:t>
      </w:r>
    </w:p>
    <w:p>
      <w:pPr>
        <w:pStyle w:val="BodyText"/>
      </w:pPr>
      <m:oMathPara>
        <m:oMathParaPr>
          <m:jc m:val="center"/>
        </m:oMathParaPr>
        <m:oMath>
          <m:r>
            <m:t>R</m:t>
          </m:r>
          <m:r>
            <m:rPr>
              <m:sty m:val="p"/>
            </m:rPr>
            <m:t>=</m:t>
          </m:r>
          <m:f>
            <m:fPr>
              <m:type m:val="bar"/>
            </m:fPr>
            <m:num>
              <m:r>
                <m:t>ρ</m:t>
              </m:r>
              <m:r>
                <m:rPr>
                  <m:sty m:val="p"/>
                </m:rPr>
                <m:t>⋅</m:t>
              </m:r>
              <m:r>
                <m:t>L</m:t>
              </m:r>
            </m:num>
            <m:den>
              <m:r>
                <m:t>π</m:t>
              </m:r>
              <m:sSup>
                <m:e>
                  <m:r>
                    <m:t>r</m:t>
                  </m:r>
                </m:e>
                <m:sup>
                  <m:r>
                    <m:t>2</m:t>
                  </m:r>
                </m:sup>
              </m:sSup>
            </m:den>
          </m:f>
        </m:oMath>
      </m:oMathPara>
    </w:p>
    <w:p>
      <w:pPr>
        <w:pStyle w:val="FirstParagraph"/>
      </w:pPr>
      <w:r>
        <w:rPr>
          <w:rFonts w:ascii="Times New Roman" w:hAnsi="Times New Roman"/>
        </w:rPr>
        <w:t xml:space="preserve">La variation ΔR = R(t) − R(t₀) est directement proportionnelle à la perte de matière — c’est le même principe que les sondes ER industrielles commerciales (Emerson Roxar, Cormon, Metal Samples).</w:t>
      </w:r>
    </w:p>
    <w:bookmarkEnd w:id="23"/>
    <w:bookmarkStart w:id="24" w:name="X5d4658b9f0a664b619cc4d26380c372249ece85"/>
    <w:p>
      <w:pPr>
        <w:pStyle w:val="Heading3"/>
      </w:pPr>
      <w:r>
        <w:rPr>
          <w:rFonts w:ascii="Times New Roman" w:hAnsi="Times New Roman"/>
        </w:rPr>
        <w:t xml:space="preserve">I.1.5. Modèles prédictifs de la corrosion</w:t>
      </w:r>
    </w:p>
    <w:p>
      <w:pPr>
        <w:pStyle w:val="FirstParagraph"/>
      </w:pPr>
      <w:r>
        <w:rPr>
          <w:rFonts w:ascii="Times New Roman" w:hAnsi="Times New Roman"/>
          <w:b/>
          <w:bCs/>
        </w:rPr>
        <w:t xml:space="preserve">Modèles physiques classiques :</w:t>
      </w:r>
      <w:r>
        <w:rPr>
          <w:rFonts w:ascii="Times New Roman" w:hAnsi="Times New Roman"/>
        </w:rPr>
        <w:t xml:space="preserve"> </w:t>
      </w:r>
      <w:r>
        <w:rPr>
          <w:rFonts w:ascii="Times New Roman" w:hAnsi="Times New Roman"/>
        </w:rPr>
        <w:t xml:space="preserve">Le modèle semi-empirique de de Waard et Milliams (1975), révisé en 1991, est la référence industrielle pour la prédiction de la corrosion CO₂ dans les pipelines. Il exprime le taux de corrosion en fonction de la pression partielle de CO₂ et de la température. Ses limites sont bien documentées : erreurs de 40 à 60 % en conditions réelles dues aux interactions non prises en compte entre les multiples composants des fluides de process.</w:t>
      </w:r>
    </w:p>
    <w:p>
      <w:pPr>
        <w:pStyle w:val="BodyText"/>
      </w:pPr>
      <w:r>
        <w:rPr>
          <w:rFonts w:ascii="Times New Roman" w:hAnsi="Times New Roman"/>
          <w:b/>
          <w:bCs/>
        </w:rPr>
        <w:t xml:space="preserve">Approches par apprentissage automatique :</w:t>
      </w:r>
      <w:r>
        <w:rPr>
          <w:rFonts w:ascii="Times New Roman" w:hAnsi="Times New Roman"/>
        </w:rPr>
        <w:t xml:space="preserve"> </w:t>
      </w:r>
      <w:r>
        <w:rPr>
          <w:rFonts w:ascii="Times New Roman" w:hAnsi="Times New Roman"/>
        </w:rPr>
        <w:t xml:space="preserve">Les travaux récents démontrent la supériorité des méthodes ML pour capturer les relations non-linéaires entre variables de process et taux de corrosion. Chen et Guestrin (2016) introduisent XGBoost, algorithme d’ensemble par gradient boosting qui offre un excellent compromis entre performance et interprétabilité. Ma et al. (2021) l’appliquent à la prédiction de la corrosion de pipelines avec des erreurs inférieures à 15 % (RMSE). Ossai et al. (2017) utilisent des réseaux de neurones artificiels pour la prédiction de défauts de corrosion.</w:t>
      </w:r>
    </w:p>
    <w:p>
      <w:pPr>
        <w:pStyle w:val="BodyText"/>
      </w:pPr>
      <w:r>
        <w:rPr>
          <w:rFonts w:ascii="Times New Roman" w:hAnsi="Times New Roman"/>
        </w:rPr>
        <w:t xml:space="preserve">L’interprétabilité du modèle XGBoost est assurée par la méthode SHAP (SHapley Additive exPlanations), qui quantifie la contribution de chaque variable d’entrée à chaque prédiction individuelle — argument essentiel pour l’acceptation industrielle de l’outil.</w:t>
      </w:r>
    </w:p>
    <w:bookmarkEnd w:id="24"/>
    <w:bookmarkStart w:id="25" w:name="i.1.6.-inhibiteurs-de-corrosion"/>
    <w:p>
      <w:pPr>
        <w:pStyle w:val="Heading3"/>
      </w:pPr>
      <w:r>
        <w:rPr>
          <w:rFonts w:ascii="Times New Roman" w:hAnsi="Times New Roman"/>
        </w:rPr>
        <w:t xml:space="preserve">I.1.6. Inhibiteurs de corrosion</w:t>
      </w:r>
    </w:p>
    <w:p>
      <w:pPr>
        <w:pStyle w:val="FirstParagraph"/>
      </w:pPr>
      <w:r>
        <w:rPr>
          <w:rFonts w:ascii="Times New Roman" w:hAnsi="Times New Roman"/>
        </w:rPr>
        <w:t xml:space="preserve">Les inhibiteurs de corrosion sont des substances chimiques ajoutées en faibles concentrations à un milieu corrosif pour réduire significativement la vitesse de corrosion. L’AC PROTECT 106, inhibiteur à base d’imidazoline retenu dans ce travail, agit par adsorption d’une couche monomoléculaire sur la surface métallique via l’atome d’azote du cycle imidazoline. L’efficacité d’inhibition η est définie par :</w:t>
      </w:r>
    </w:p>
    <w:p>
      <w:pPr>
        <w:pStyle w:val="BodyText"/>
      </w:pPr>
      <m:oMathPara>
        <m:oMathParaPr>
          <m:jc m:val="center"/>
        </m:oMathParaPr>
        <m:oMath>
          <m:r>
            <m:t>η</m:t>
          </m:r>
          <m:r>
            <m:rPr>
              <m:sty m:val="p"/>
            </m:rPr>
            <m:t>=</m:t>
          </m:r>
          <m:f>
            <m:fPr>
              <m:type m:val="bar"/>
            </m:fPr>
            <m:num>
              <m:r>
                <m:t>C</m:t>
              </m:r>
              <m:sSub>
                <m:e>
                  <m:r>
                    <m:t>R</m:t>
                  </m:r>
                </m:e>
                <m:sub>
                  <m:r>
                    <m:t>s</m:t>
                  </m:r>
                  <m:r>
                    <m:t>a</m:t>
                  </m:r>
                  <m:r>
                    <m:t>n</m:t>
                  </m:r>
                  <m:r>
                    <m:t>s</m:t>
                  </m:r>
                </m:sub>
              </m:sSub>
              <m:r>
                <m:rPr>
                  <m:sty m:val="p"/>
                </m:rPr>
                <m:t>−</m:t>
              </m:r>
              <m:r>
                <m:t>C</m:t>
              </m:r>
              <m:sSub>
                <m:e>
                  <m:r>
                    <m:t>R</m:t>
                  </m:r>
                </m:e>
                <m:sub>
                  <m:r>
                    <m:t>a</m:t>
                  </m:r>
                  <m:r>
                    <m:t>v</m:t>
                  </m:r>
                  <m:r>
                    <m:t>e</m:t>
                  </m:r>
                  <m:r>
                    <m:t>c</m:t>
                  </m:r>
                </m:sub>
              </m:sSub>
            </m:num>
            <m:den>
              <m:r>
                <m:t>C</m:t>
              </m:r>
              <m:sSub>
                <m:e>
                  <m:r>
                    <m:t>R</m:t>
                  </m:r>
                </m:e>
                <m:sub>
                  <m:r>
                    <m:t>s</m:t>
                  </m:r>
                  <m:r>
                    <m:t>a</m:t>
                  </m:r>
                  <m:r>
                    <m:t>n</m:t>
                  </m:r>
                  <m:r>
                    <m:t>s</m:t>
                  </m:r>
                </m:sub>
              </m:sSub>
            </m:den>
          </m:f>
          <m:r>
            <m:rPr>
              <m:sty m:val="p"/>
            </m:rPr>
            <m:t>×</m:t>
          </m:r>
          <m:r>
            <m:t>100</m:t>
          </m:r>
          <m:r>
            <m:rPr>
              <m:sty m:val="p"/>
            </m:rPr>
            <m:t>%</m:t>
          </m:r>
        </m:oMath>
      </m:oMathPara>
    </w:p>
    <w:p>
      <w:pPr>
        <w:pStyle w:val="FirstParagraph"/>
      </w:pPr>
      <w:r>
        <w:rPr>
          <w:rFonts w:ascii="Times New Roman" w:hAnsi="Times New Roman"/>
        </w:rPr>
        <w:t xml:space="preserve">Les données fabricant indiquent η &gt; 90 % en milieu HCl à 1 N. Le délai entre l’injection de l’inhibiteur et la chute effective du taux de corrosion — appelé temps d’adsorption — est détectable par analyse changepoint sur la courbe CR(t).</w:t>
      </w:r>
    </w:p>
    <w:p>
      <w:r>
        <w:rPr>
          <w:rFonts w:ascii="Times New Roman" w:hAnsi="Times New Roman"/>
        </w:rPr>
        <w:pict>
          <v:rect style="width:0;height:1.5pt" o:hralign="center" o:hrstd="t" o:hr="t"/>
        </w:pict>
      </w:r>
    </w:p>
    <w:bookmarkEnd w:id="25"/>
    <w:bookmarkEnd w:id="26"/>
    <w:bookmarkStart w:id="30" w:name="i.2.-présentation-du-contexte-détude"/>
    <w:p>
      <w:pPr>
        <w:pStyle w:val="Heading2"/>
      </w:pPr>
      <w:r>
        <w:rPr>
          <w:rFonts w:ascii="Times New Roman" w:hAnsi="Times New Roman"/>
        </w:rPr>
        <w:t xml:space="preserve">I.2. Présentation du contexte d’étude</w:t>
      </w:r>
    </w:p>
    <w:bookmarkStart w:id="27" w:name="i.2.1.-contexte-international"/>
    <w:p>
      <w:pPr>
        <w:pStyle w:val="Heading3"/>
      </w:pPr>
      <w:r>
        <w:rPr>
          <w:rFonts w:ascii="Times New Roman" w:hAnsi="Times New Roman"/>
        </w:rPr>
        <w:t xml:space="preserve">I.2.1. Contexte international</w:t>
      </w:r>
    </w:p>
    <w:p>
      <w:pPr>
        <w:pStyle w:val="FirstParagraph"/>
      </w:pPr>
      <w:r>
        <w:rPr>
          <w:rFonts w:ascii="Times New Roman" w:hAnsi="Times New Roman"/>
        </w:rPr>
        <w:t xml:space="preserve">À l’échelle mondiale, le coût de la corrosion représente 2,5 billions de dollars annuellement, soit 3,4 % du PIB mondial (Koch et al., 2016). Dans le seul secteur Oil &amp; Gas, les pertes imputables à la corrosion sont estimées entre 1,3 et 1,8 milliard de dollars par an. Ces chiffres représentent une opportunité directe d’économies si des stratégies de surveillance et de prédiction efficaces sont déployées.</w:t>
      </w:r>
    </w:p>
    <w:bookmarkEnd w:id="27"/>
    <w:bookmarkStart w:id="28" w:name="X1325aea712f4694034e27dd1fcc6665c30fb3c5"/>
    <w:p>
      <w:pPr>
        <w:pStyle w:val="Heading3"/>
      </w:pPr>
      <w:r>
        <w:rPr>
          <w:rFonts w:ascii="Times New Roman" w:hAnsi="Times New Roman"/>
        </w:rPr>
        <w:t xml:space="preserve">I.2.2. Contexte national — COTCO et le pipeline Tchad-Cameroun</w:t>
      </w:r>
    </w:p>
    <w:p>
      <w:pPr>
        <w:pStyle w:val="FirstParagraph"/>
      </w:pPr>
      <w:r>
        <w:rPr>
          <w:rFonts w:ascii="Times New Roman" w:hAnsi="Times New Roman"/>
        </w:rPr>
        <w:t xml:space="preserve">Au Cameroun, la</w:t>
      </w:r>
      <w:r>
        <w:rPr>
          <w:rFonts w:ascii="Times New Roman" w:hAnsi="Times New Roman"/>
        </w:rPr>
        <w:t xml:space="preserve"> </w:t>
      </w:r>
      <w:r>
        <w:rPr>
          <w:rFonts w:ascii="Times New Roman" w:hAnsi="Times New Roman"/>
          <w:b/>
          <w:bCs/>
        </w:rPr>
        <w:t xml:space="preserve">Cameroon Oil Transportation Company (COTCO)</w:t>
      </w:r>
      <w:r>
        <w:rPr>
          <w:rFonts w:ascii="Times New Roman" w:hAnsi="Times New Roman"/>
        </w:rPr>
        <w:t xml:space="preserve"> </w:t>
      </w:r>
      <w:r>
        <w:rPr>
          <w:rFonts w:ascii="Times New Roman" w:hAnsi="Times New Roman"/>
        </w:rPr>
        <w:t xml:space="preserve">exploite le pipeline Tchad-Cameroun (1 070 km, diamètre 30 pouces), infrastructure critique dont l’intégrité conditionne directement la sécurité des personnes, la préservation de l’environnement et la stabilité économique du pays. Le pipeline traverse des zones de forêt équatoriale, franchit de nombreux cours d’eau et traverse des zones habitées, rendant toute défaillance non anticipée potentiellement catastrophique.</w:t>
      </w:r>
    </w:p>
    <w:p>
      <w:pPr>
        <w:pStyle w:val="BodyText"/>
      </w:pPr>
      <w:r>
        <w:rPr>
          <w:rFonts w:ascii="Times New Roman" w:hAnsi="Times New Roman"/>
        </w:rPr>
        <w:t xml:space="preserve">Ce réseau est soumis à plusieurs facteurs de corrosion simultanés : humidité tropicale pour la corrosion externe, conditions chimiques des hydrocarbures transportés pour la corrosion interne, et vieillissement du revêtement FBE (Fusion-Bonded Epoxy) pour les zones enterrées.</w:t>
      </w:r>
    </w:p>
    <w:bookmarkEnd w:id="28"/>
    <w:bookmarkStart w:id="29" w:name="i.2.3.-cadre-normatif-et-réglementaire"/>
    <w:p>
      <w:pPr>
        <w:pStyle w:val="Heading3"/>
      </w:pPr>
      <w:r>
        <w:rPr>
          <w:rFonts w:ascii="Times New Roman" w:hAnsi="Times New Roman"/>
        </w:rPr>
        <w:t xml:space="preserve">I.2.3. Cadre normatif et réglementaire</w:t>
      </w:r>
    </w:p>
    <w:p>
      <w:pPr>
        <w:pStyle w:val="FirstParagraph"/>
      </w:pPr>
      <w:r>
        <w:rPr>
          <w:rFonts w:ascii="Times New Roman" w:hAnsi="Times New Roman"/>
        </w:rPr>
        <w:t xml:space="preserve">La gestion de la corrosion dans les infrastructures pétrolières est encadrée par :</w:t>
      </w:r>
    </w:p>
    <w:p>
      <w:pPr>
        <w:pStyle w:val="Compact"/>
        <w:numPr>
          <w:ilvl w:val="0"/>
          <w:numId w:val="1002"/>
        </w:numPr>
      </w:pPr>
      <w:r>
        <w:rPr>
          <w:rFonts w:ascii="Times New Roman" w:hAnsi="Times New Roman"/>
          <w:b/>
          <w:bCs/>
        </w:rPr>
        <w:t xml:space="preserve">ISO 8044</w:t>
      </w:r>
      <w:r>
        <w:rPr>
          <w:rFonts w:ascii="Times New Roman" w:hAnsi="Times New Roman"/>
        </w:rPr>
        <w:t xml:space="preserve"> </w:t>
      </w:r>
      <w:r>
        <w:rPr>
          <w:rFonts w:ascii="Times New Roman" w:hAnsi="Times New Roman"/>
        </w:rPr>
        <w:t xml:space="preserve">: Définitions et terminologie de la corrosion</w:t>
      </w:r>
    </w:p>
    <w:p>
      <w:pPr>
        <w:pStyle w:val="Compact"/>
        <w:numPr>
          <w:ilvl w:val="0"/>
          <w:numId w:val="1002"/>
        </w:numPr>
      </w:pPr>
      <w:r>
        <w:rPr>
          <w:rFonts w:ascii="Times New Roman" w:hAnsi="Times New Roman"/>
          <w:b/>
          <w:bCs/>
        </w:rPr>
        <w:t xml:space="preserve">ASTM G1</w:t>
      </w:r>
      <w:r>
        <w:rPr>
          <w:rFonts w:ascii="Times New Roman" w:hAnsi="Times New Roman"/>
        </w:rPr>
        <w:t xml:space="preserve"> </w:t>
      </w:r>
      <w:r>
        <w:rPr>
          <w:rFonts w:ascii="Times New Roman" w:hAnsi="Times New Roman"/>
        </w:rPr>
        <w:t xml:space="preserve">et</w:t>
      </w:r>
      <w:r>
        <w:rPr>
          <w:rFonts w:ascii="Times New Roman" w:hAnsi="Times New Roman"/>
        </w:rPr>
        <w:t xml:space="preserve"> </w:t>
      </w:r>
      <w:r>
        <w:rPr>
          <w:rFonts w:ascii="Times New Roman" w:hAnsi="Times New Roman"/>
          <w:b/>
          <w:bCs/>
        </w:rPr>
        <w:t xml:space="preserve">ASTM G31</w:t>
      </w:r>
      <w:r>
        <w:rPr>
          <w:rFonts w:ascii="Times New Roman" w:hAnsi="Times New Roman"/>
        </w:rPr>
        <w:t xml:space="preserve"> </w:t>
      </w:r>
      <w:r>
        <w:rPr>
          <w:rFonts w:ascii="Times New Roman" w:hAnsi="Times New Roman"/>
        </w:rPr>
        <w:t xml:space="preserve">: Préparation et évaluation des éprouvettes de corrosion</w:t>
      </w:r>
    </w:p>
    <w:p>
      <w:pPr>
        <w:pStyle w:val="Compact"/>
        <w:numPr>
          <w:ilvl w:val="0"/>
          <w:numId w:val="1002"/>
        </w:numPr>
      </w:pPr>
      <w:r>
        <w:rPr>
          <w:rFonts w:ascii="Times New Roman" w:hAnsi="Times New Roman"/>
          <w:b/>
          <w:bCs/>
        </w:rPr>
        <w:t xml:space="preserve">NACE SP0775</w:t>
      </w:r>
      <w:r>
        <w:rPr>
          <w:rFonts w:ascii="Times New Roman" w:hAnsi="Times New Roman"/>
        </w:rPr>
        <w:t xml:space="preserve"> </w:t>
      </w:r>
      <w:r>
        <w:rPr>
          <w:rFonts w:ascii="Times New Roman" w:hAnsi="Times New Roman"/>
        </w:rPr>
        <w:t xml:space="preserve">: Sondes et coupons de corrosion en service pétrolier</w:t>
      </w:r>
    </w:p>
    <w:p>
      <w:pPr>
        <w:pStyle w:val="Compact"/>
        <w:numPr>
          <w:ilvl w:val="0"/>
          <w:numId w:val="1002"/>
        </w:numPr>
      </w:pPr>
      <w:r>
        <w:rPr>
          <w:rFonts w:ascii="Times New Roman" w:hAnsi="Times New Roman"/>
          <w:b/>
          <w:bCs/>
        </w:rPr>
        <w:t xml:space="preserve">API 570</w:t>
      </w:r>
      <w:r>
        <w:rPr>
          <w:rFonts w:ascii="Times New Roman" w:hAnsi="Times New Roman"/>
        </w:rPr>
        <w:t xml:space="preserve"> </w:t>
      </w:r>
      <w:r>
        <w:rPr>
          <w:rFonts w:ascii="Times New Roman" w:hAnsi="Times New Roman"/>
        </w:rPr>
        <w:t xml:space="preserve">: Inspection des systèmes de tuyauteries en service</w:t>
      </w:r>
    </w:p>
    <w:p>
      <w:pPr>
        <w:pStyle w:val="Compact"/>
        <w:numPr>
          <w:ilvl w:val="0"/>
          <w:numId w:val="1002"/>
        </w:numPr>
      </w:pPr>
      <w:r>
        <w:rPr>
          <w:rFonts w:ascii="Times New Roman" w:hAnsi="Times New Roman"/>
          <w:b/>
          <w:bCs/>
        </w:rPr>
        <w:t xml:space="preserve">ISO 13381-1</w:t>
      </w:r>
      <w:r>
        <w:rPr>
          <w:rFonts w:ascii="Times New Roman" w:hAnsi="Times New Roman"/>
        </w:rPr>
        <w:t xml:space="preserve"> </w:t>
      </w:r>
      <w:r>
        <w:rPr>
          <w:rFonts w:ascii="Times New Roman" w:hAnsi="Times New Roman"/>
        </w:rPr>
        <w:t xml:space="preserve">: Maintenance prévisionnelle — prescriptions générales (RUL)</w:t>
      </w:r>
    </w:p>
    <w:p>
      <w:pPr>
        <w:pStyle w:val="Compact"/>
        <w:numPr>
          <w:ilvl w:val="0"/>
          <w:numId w:val="1002"/>
        </w:numPr>
      </w:pPr>
      <w:r>
        <w:rPr>
          <w:rFonts w:ascii="Times New Roman" w:hAnsi="Times New Roman"/>
          <w:b/>
          <w:bCs/>
        </w:rPr>
        <w:t xml:space="preserve">EN 13306</w:t>
      </w:r>
      <w:r>
        <w:rPr>
          <w:rFonts w:ascii="Times New Roman" w:hAnsi="Times New Roman"/>
        </w:rPr>
        <w:t xml:space="preserve"> </w:t>
      </w:r>
      <w:r>
        <w:rPr>
          <w:rFonts w:ascii="Times New Roman" w:hAnsi="Times New Roman"/>
        </w:rPr>
        <w:t xml:space="preserve">: Terminologie de la maintenance</w:t>
      </w:r>
    </w:p>
    <w:p>
      <w:pPr>
        <w:pStyle w:val="Compact"/>
        <w:numPr>
          <w:ilvl w:val="0"/>
          <w:numId w:val="1002"/>
        </w:numPr>
      </w:pPr>
      <w:r>
        <w:rPr>
          <w:rFonts w:ascii="Times New Roman" w:hAnsi="Times New Roman"/>
          <w:b/>
          <w:bCs/>
        </w:rPr>
        <w:t xml:space="preserve">Loi n° 99/013</w:t>
      </w:r>
      <w:r>
        <w:rPr>
          <w:rFonts w:ascii="Times New Roman" w:hAnsi="Times New Roman"/>
        </w:rPr>
        <w:t xml:space="preserve"> </w:t>
      </w:r>
      <w:r>
        <w:rPr>
          <w:rFonts w:ascii="Times New Roman" w:hAnsi="Times New Roman"/>
        </w:rPr>
        <w:t xml:space="preserve">du 22 décembre 1999 portant Code Pétrolier camerounais</w:t>
      </w:r>
    </w:p>
    <w:p>
      <w:r>
        <w:rPr>
          <w:rFonts w:ascii="Times New Roman" w:hAnsi="Times New Roman"/>
        </w:rPr>
        <w:pict>
          <v:rect style="width:0;height:1.5pt" o:hralign="center" o:hrstd="t" o:hr="t"/>
        </w:pict>
      </w:r>
    </w:p>
    <w:bookmarkEnd w:id="29"/>
    <w:bookmarkEnd w:id="30"/>
    <w:bookmarkStart w:id="33" w:name="Xd165164068e9ba9f0b25e8618e8294384de0f51"/>
    <w:p>
      <w:pPr>
        <w:pStyle w:val="Heading2"/>
      </w:pPr>
      <w:r>
        <w:rPr>
          <w:rFonts w:ascii="Times New Roman" w:hAnsi="Times New Roman"/>
        </w:rPr>
        <w:t xml:space="preserve">I.3. Politique de maintenance et surveillance de la corrosion</w:t>
      </w:r>
    </w:p>
    <w:bookmarkStart w:id="31" w:name="Xb0557c87c1b7c7ca813403fc24eda159c1b43f9"/>
    <w:p>
      <w:pPr>
        <w:pStyle w:val="Heading3"/>
      </w:pPr>
      <w:r>
        <w:rPr>
          <w:rFonts w:ascii="Times New Roman" w:hAnsi="Times New Roman"/>
        </w:rPr>
        <w:t xml:space="preserve">I.3.1. État actuel des pratiques de maintenance</w:t>
      </w:r>
    </w:p>
    <w:p>
      <w:pPr>
        <w:pStyle w:val="FirstParagraph"/>
      </w:pPr>
      <w:r>
        <w:rPr>
          <w:rFonts w:ascii="Times New Roman" w:hAnsi="Times New Roman"/>
        </w:rPr>
        <w:t xml:space="preserve">La maintenance des pipelines pétroliers au Cameroun repose majoritairement sur des inspections périodiques à intervalles fixes (mesures d’épaisseur par ultrasons UT, rapports de laboratoire sur les fluides) et sur des interventions correctives après détection d’anomalie. Cette approche ne permet pas d’anticiper les défaillances par corrosion avant qu’elles n’atteignent un seuil critique.</w:t>
      </w:r>
    </w:p>
    <w:bookmarkEnd w:id="31"/>
    <w:bookmarkStart w:id="32" w:name="i.3.2.-limites-des-approches-existantes"/>
    <w:p>
      <w:pPr>
        <w:pStyle w:val="Heading3"/>
      </w:pPr>
      <w:r>
        <w:rPr>
          <w:rFonts w:ascii="Times New Roman" w:hAnsi="Times New Roman"/>
        </w:rPr>
        <w:t xml:space="preserve">I.3.2. Limites des approches existantes</w:t>
      </w:r>
    </w:p>
    <w:p>
      <w:pPr>
        <w:pStyle w:val="FirstParagraph"/>
      </w:pPr>
      <w:r>
        <w:rPr>
          <w:rFonts w:ascii="Times New Roman" w:hAnsi="Times New Roman"/>
        </w:rPr>
        <w:t xml:space="preserve">Plusieurs lacunes importantes sont identifiées dans les pratiques et dans la littérature :</w:t>
      </w:r>
    </w:p>
    <w:p>
      <w:pPr>
        <w:pStyle w:val="Compact"/>
        <w:numPr>
          <w:ilvl w:val="0"/>
          <w:numId w:val="1003"/>
        </w:numPr>
      </w:pPr>
      <w:r>
        <w:rPr>
          <w:rFonts w:ascii="Times New Roman" w:hAnsi="Times New Roman"/>
          <w:b/>
          <w:bCs/>
        </w:rPr>
        <w:t xml:space="preserve">Absence de surveillance continue</w:t>
      </w:r>
      <w:r>
        <w:rPr>
          <w:rFonts w:ascii="Times New Roman" w:hAnsi="Times New Roman"/>
        </w:rPr>
        <w:t xml:space="preserve"> </w:t>
      </w:r>
      <w:r>
        <w:rPr>
          <w:rFonts w:ascii="Times New Roman" w:hAnsi="Times New Roman"/>
        </w:rPr>
        <w:t xml:space="preserve">: Les inspections UT sont ponctuelles. Entre deux inspections, l’évolution du taux de corrosion est inconnue.</w:t>
      </w:r>
    </w:p>
    <w:p>
      <w:pPr>
        <w:pStyle w:val="Compact"/>
        <w:numPr>
          <w:ilvl w:val="0"/>
          <w:numId w:val="1003"/>
        </w:numPr>
      </w:pPr>
      <w:r>
        <w:rPr>
          <w:rFonts w:ascii="Times New Roman" w:hAnsi="Times New Roman"/>
          <w:b/>
          <w:bCs/>
        </w:rPr>
        <w:t xml:space="preserve">Coût prohibitif des instruments commerciaux</w:t>
      </w:r>
      <w:r>
        <w:rPr>
          <w:rFonts w:ascii="Times New Roman" w:hAnsi="Times New Roman"/>
        </w:rPr>
        <w:t xml:space="preserve"> </w:t>
      </w:r>
      <w:r>
        <w:rPr>
          <w:rFonts w:ascii="Times New Roman" w:hAnsi="Times New Roman"/>
        </w:rPr>
        <w:t xml:space="preserve">: Les sondes ER industrielles commerciales ont un coût unitaire de 500 à 5 000 USD, incompatible avec un déploiement massif.</w:t>
      </w:r>
    </w:p>
    <w:p>
      <w:pPr>
        <w:pStyle w:val="Compact"/>
        <w:numPr>
          <w:ilvl w:val="0"/>
          <w:numId w:val="1003"/>
        </w:numPr>
      </w:pPr>
      <w:r>
        <w:rPr>
          <w:rFonts w:ascii="Times New Roman" w:hAnsi="Times New Roman"/>
          <w:b/>
          <w:bCs/>
        </w:rPr>
        <w:t xml:space="preserve">Modèles physiques insuffisants</w:t>
      </w:r>
      <w:r>
        <w:rPr>
          <w:rFonts w:ascii="Times New Roman" w:hAnsi="Times New Roman"/>
        </w:rPr>
        <w:t xml:space="preserve"> </w:t>
      </w:r>
      <w:r>
        <w:rPr>
          <w:rFonts w:ascii="Times New Roman" w:hAnsi="Times New Roman"/>
        </w:rPr>
        <w:t xml:space="preserve">: Les modèles classiques (de Waard et Milliams) génèrent des erreurs de 40 à 60 % en conditions réelles multi-composants.</w:t>
      </w:r>
    </w:p>
    <w:p>
      <w:pPr>
        <w:pStyle w:val="Compact"/>
        <w:numPr>
          <w:ilvl w:val="0"/>
          <w:numId w:val="1003"/>
        </w:numPr>
      </w:pPr>
      <w:r>
        <w:rPr>
          <w:rFonts w:ascii="Times New Roman" w:hAnsi="Times New Roman"/>
          <w:b/>
          <w:bCs/>
        </w:rPr>
        <w:t xml:space="preserve">Absence de prédiction de la durée de vie résiduelle</w:t>
      </w:r>
      <w:r>
        <w:rPr>
          <w:rFonts w:ascii="Times New Roman" w:hAnsi="Times New Roman"/>
        </w:rPr>
        <w:t xml:space="preserve"> </w:t>
      </w:r>
      <w:r>
        <w:rPr>
          <w:rFonts w:ascii="Times New Roman" w:hAnsi="Times New Roman"/>
        </w:rPr>
        <w:t xml:space="preserve">: Les outils existants mesurent le taux de corrosion passé mais ne prédisent pas le temps avant défaillance.</w:t>
      </w:r>
    </w:p>
    <w:p>
      <w:r>
        <w:rPr>
          <w:rFonts w:ascii="Times New Roman" w:hAnsi="Times New Roman"/>
        </w:rPr>
        <w:pict>
          <v:rect style="width:0;height:1.5pt" o:hralign="center" o:hrstd="t" o:hr="t"/>
        </w:pict>
      </w:r>
    </w:p>
    <w:bookmarkEnd w:id="32"/>
    <w:bookmarkEnd w:id="33"/>
    <w:bookmarkStart w:id="34" w:name="i.4.-problématique"/>
    <w:p>
      <w:pPr>
        <w:pStyle w:val="Heading2"/>
      </w:pPr>
      <w:r>
        <w:rPr>
          <w:rFonts w:ascii="Times New Roman" w:hAnsi="Times New Roman"/>
        </w:rPr>
        <w:t xml:space="preserve">I.4. Problématique</w:t>
      </w:r>
    </w:p>
    <w:p>
      <w:pPr>
        <w:pStyle w:val="FirstParagraph"/>
      </w:pPr>
      <w:r>
        <w:rPr>
          <w:rFonts w:ascii="Times New Roman" w:hAnsi="Times New Roman"/>
        </w:rPr>
        <w:t xml:space="preserve">La maintenance des infrastructures de transport pétrolier au Cameroun fait face à un paradoxe fondamental : les opérateurs disposent de données de surveillance mais ces données, collectées de manière ponctuelle et non continue, ne permettent pas d’anticiper les défaillances par corrosion. Les instruments de surveillance ER commerciaux offrent une résolution suffisante mais à des coûts incompatibles avec un déploiement étendu. L’apprentissage automatique offre une alternative prometteuse mais son déploiement en contexte africain se heurte à l’absence de données d’entraînement locales et au coût des équipements d’acquisition.</w:t>
      </w:r>
    </w:p>
    <w:p>
      <w:pPr>
        <w:pStyle w:val="BodyText"/>
      </w:pPr>
      <w:r>
        <w:rPr>
          <w:rFonts w:ascii="Times New Roman" w:hAnsi="Times New Roman"/>
        </w:rPr>
        <w:t xml:space="preserve">La question centrale de ce travail est donc :</w:t>
      </w:r>
    </w:p>
    <w:p>
      <w:pPr>
        <w:pStyle w:val="BlockText"/>
      </w:pPr>
      <w:r>
        <w:rPr>
          <w:rFonts w:ascii="Times New Roman" w:hAnsi="Times New Roman"/>
          <w:b/>
          <w:bCs/>
        </w:rPr>
        <w:t xml:space="preserve">Dans quelle mesure un système de surveillance ER low-cost développé à partir de composants disponibles localement, combiné à un modèle XGBoost entraîné en protocole run-to-failure, permet-il de prédire avec précision le taux de corrosion et la durée de vie résiduelle d’un élément structural métallique en milieu acide multi-composant ?</w:t>
      </w:r>
    </w:p>
    <w:p>
      <w:r>
        <w:rPr>
          <w:rFonts w:ascii="Times New Roman" w:hAnsi="Times New Roman"/>
        </w:rPr>
        <w:pict>
          <v:rect style="width:0;height:1.5pt" o:hralign="center" o:hrstd="t" o:hr="t"/>
        </w:pict>
      </w:r>
    </w:p>
    <w:bookmarkEnd w:id="34"/>
    <w:bookmarkStart w:id="39" w:name="Xaa7afcf6ecc2e1a901256ae176b1870e3cd6aa8"/>
    <w:p>
      <w:pPr>
        <w:pStyle w:val="Heading2"/>
      </w:pPr>
      <w:r>
        <w:rPr>
          <w:rFonts w:ascii="Times New Roman" w:hAnsi="Times New Roman"/>
        </w:rPr>
        <w:t xml:space="preserve">I.5. Questions de recherche et objectifs du mémoire</w:t>
      </w:r>
    </w:p>
    <w:bookmarkStart w:id="35" w:name="i.5.1.-questions-de-recherche"/>
    <w:p>
      <w:pPr>
        <w:pStyle w:val="Heading3"/>
      </w:pPr>
      <w:r>
        <w:rPr>
          <w:rFonts w:ascii="Times New Roman" w:hAnsi="Times New Roman"/>
        </w:rPr>
        <w:t xml:space="preserve">I.5.1. Questions de recherche</w:t>
      </w:r>
    </w:p>
    <w:p>
      <w:pPr>
        <w:pStyle w:val="Compact"/>
        <w:numPr>
          <w:ilvl w:val="0"/>
          <w:numId w:val="1004"/>
        </w:numPr>
      </w:pPr>
      <w:r>
        <w:rPr>
          <w:rFonts w:ascii="Times New Roman" w:hAnsi="Times New Roman"/>
          <w:b/>
          <w:bCs/>
        </w:rPr>
        <w:t xml:space="preserve">QR1 :</w:t>
      </w:r>
      <w:r>
        <w:rPr>
          <w:rFonts w:ascii="Times New Roman" w:hAnsi="Times New Roman"/>
        </w:rPr>
        <w:t xml:space="preserve"> </w:t>
      </w:r>
      <w:r>
        <w:rPr>
          <w:rFonts w:ascii="Times New Roman" w:hAnsi="Times New Roman"/>
        </w:rPr>
        <w:t xml:space="preserve">Dans quelle mesure un pont de Wheatstone instrumenté par un HX711 24 bits et un ESP32 permet-il de mesurer des variations de résistance d’un fil de fer au dixième de milliohm ?</w:t>
      </w:r>
    </w:p>
    <w:p>
      <w:pPr>
        <w:pStyle w:val="Compact"/>
        <w:numPr>
          <w:ilvl w:val="0"/>
          <w:numId w:val="1004"/>
        </w:numPr>
      </w:pPr>
      <w:r>
        <w:rPr>
          <w:rFonts w:ascii="Times New Roman" w:hAnsi="Times New Roman"/>
          <w:b/>
          <w:bCs/>
        </w:rPr>
        <w:t xml:space="preserve">QR2 :</w:t>
      </w:r>
      <w:r>
        <w:rPr>
          <w:rFonts w:ascii="Times New Roman" w:hAnsi="Times New Roman"/>
        </w:rPr>
        <w:t xml:space="preserve"> </w:t>
      </w:r>
      <w:r>
        <w:rPr>
          <w:rFonts w:ascii="Times New Roman" w:hAnsi="Times New Roman"/>
        </w:rPr>
        <w:t xml:space="preserve">Dans quelle mesure un modèle XGBoost entraîné sur des séries temporelles en protocole run-to-failure permet-il de prédire CR et RUL avec une erreur inférieure à 15 % ?</w:t>
      </w:r>
    </w:p>
    <w:p>
      <w:pPr>
        <w:pStyle w:val="Compact"/>
        <w:numPr>
          <w:ilvl w:val="0"/>
          <w:numId w:val="1004"/>
        </w:numPr>
      </w:pPr>
      <w:r>
        <w:rPr>
          <w:rFonts w:ascii="Times New Roman" w:hAnsi="Times New Roman"/>
          <w:b/>
          <w:bCs/>
        </w:rPr>
        <w:t xml:space="preserve">QR3 :</w:t>
      </w:r>
      <w:r>
        <w:rPr>
          <w:rFonts w:ascii="Times New Roman" w:hAnsi="Times New Roman"/>
        </w:rPr>
        <w:t xml:space="preserve"> </w:t>
      </w:r>
      <w:r>
        <w:rPr>
          <w:rFonts w:ascii="Times New Roman" w:hAnsi="Times New Roman"/>
        </w:rPr>
        <w:t xml:space="preserve">Dans quelle mesure les sorties du modèle permettent-elles de définir des seuils d’alerte et des recommandations de dosage d’inhibiteur AC PROTECT 106 pertinentes ?</w:t>
      </w:r>
    </w:p>
    <w:bookmarkEnd w:id="35"/>
    <w:bookmarkStart w:id="36" w:name="i.5.2.-objectif-général"/>
    <w:p>
      <w:pPr>
        <w:pStyle w:val="Heading3"/>
      </w:pPr>
      <w:r>
        <w:rPr>
          <w:rFonts w:ascii="Times New Roman" w:hAnsi="Times New Roman"/>
        </w:rPr>
        <w:t xml:space="preserve">I.5.2. Objectif général</w:t>
      </w:r>
    </w:p>
    <w:p>
      <w:pPr>
        <w:pStyle w:val="FirstParagraph"/>
      </w:pPr>
      <w:r>
        <w:rPr>
          <w:rFonts w:ascii="Times New Roman" w:hAnsi="Times New Roman"/>
        </w:rPr>
        <w:t xml:space="preserve">Concevoir, développer et valider expérimentalement un système intégré de maintenance prédictive de la corrosion combinant une sonde ER low-cost à base d’ESP32 et HX711, et un modèle XGBoost capable de prédire le taux de corrosion et la durée de vie résiduelle d’éléments métalliques exposés à un milieu corrosif acide.</w:t>
      </w:r>
    </w:p>
    <w:bookmarkEnd w:id="36"/>
    <w:bookmarkStart w:id="37" w:name="i.5.3.-objectifs-spécifiques"/>
    <w:p>
      <w:pPr>
        <w:pStyle w:val="Heading3"/>
      </w:pPr>
      <w:r>
        <w:rPr>
          <w:rFonts w:ascii="Times New Roman" w:hAnsi="Times New Roman"/>
        </w:rPr>
        <w:t xml:space="preserve">I.5.3. Objectifs spécifiques</w:t>
      </w:r>
    </w:p>
    <w:p>
      <w:pPr>
        <w:pStyle w:val="Compact"/>
        <w:numPr>
          <w:ilvl w:val="0"/>
          <w:numId w:val="1005"/>
        </w:numPr>
      </w:pPr>
      <w:r>
        <w:rPr>
          <w:rFonts w:ascii="Times New Roman" w:hAnsi="Times New Roman"/>
          <w:b/>
          <w:bCs/>
        </w:rPr>
        <w:t xml:space="preserve">OS1 :</w:t>
      </w:r>
      <w:r>
        <w:rPr>
          <w:rFonts w:ascii="Times New Roman" w:hAnsi="Times New Roman"/>
        </w:rPr>
        <w:t xml:space="preserve"> </w:t>
      </w:r>
      <w:r>
        <w:rPr>
          <w:rFonts w:ascii="Times New Roman" w:hAnsi="Times New Roman"/>
        </w:rPr>
        <w:t xml:space="preserve">Concevoir et valider métrolog iquement un capteur ER low-cost (pont de Wheatstone + HX711 + ESP32) capable de mesurer des variations de résistance à ±0,01 mΩ dans un milieu acide concentré.</w:t>
      </w:r>
    </w:p>
    <w:p>
      <w:pPr>
        <w:pStyle w:val="Compact"/>
        <w:numPr>
          <w:ilvl w:val="0"/>
          <w:numId w:val="1005"/>
        </w:numPr>
      </w:pPr>
      <w:r>
        <w:rPr>
          <w:rFonts w:ascii="Times New Roman" w:hAnsi="Times New Roman"/>
          <w:b/>
          <w:bCs/>
        </w:rPr>
        <w:t xml:space="preserve">OS2 :</w:t>
      </w:r>
      <w:r>
        <w:rPr>
          <w:rFonts w:ascii="Times New Roman" w:hAnsi="Times New Roman"/>
        </w:rPr>
        <w:t xml:space="preserve"> </w:t>
      </w:r>
      <w:r>
        <w:rPr>
          <w:rFonts w:ascii="Times New Roman" w:hAnsi="Times New Roman"/>
        </w:rPr>
        <w:t xml:space="preserve">Entraîner et valider un modèle XGBoost double-sortie (CR + RUL) à partir de données collectées en protocole run-to-failure sur quatre cycles de corrosion complets.</w:t>
      </w:r>
    </w:p>
    <w:p>
      <w:pPr>
        <w:pStyle w:val="Compact"/>
        <w:numPr>
          <w:ilvl w:val="0"/>
          <w:numId w:val="1005"/>
        </w:numPr>
      </w:pPr>
      <w:r>
        <w:rPr>
          <w:rFonts w:ascii="Times New Roman" w:hAnsi="Times New Roman"/>
          <w:b/>
          <w:bCs/>
        </w:rPr>
        <w:t xml:space="preserve">OS3 :</w:t>
      </w:r>
      <w:r>
        <w:rPr>
          <w:rFonts w:ascii="Times New Roman" w:hAnsi="Times New Roman"/>
        </w:rPr>
        <w:t xml:space="preserve"> </w:t>
      </w:r>
      <w:r>
        <w:rPr>
          <w:rFonts w:ascii="Times New Roman" w:hAnsi="Times New Roman"/>
        </w:rPr>
        <w:t xml:space="preserve">Évaluer l’effet de l’inhibiteur AC PROTECT 106 et définir un système d’alertes graduées avec recommandations de dosage basées sur les prédictions du modèle.</w:t>
      </w:r>
    </w:p>
    <w:bookmarkEnd w:id="37"/>
    <w:bookmarkStart w:id="38" w:name="i.5.4.-importance-de-létude"/>
    <w:p>
      <w:pPr>
        <w:pStyle w:val="Heading3"/>
      </w:pPr>
      <w:r>
        <w:rPr>
          <w:rFonts w:ascii="Times New Roman" w:hAnsi="Times New Roman"/>
        </w:rPr>
        <w:t xml:space="preserve">I.5.4. Importance de l’étude</w:t>
      </w:r>
    </w:p>
    <w:p>
      <w:pPr>
        <w:pStyle w:val="FirstParagraph"/>
      </w:pPr>
      <w:r>
        <w:rPr>
          <w:rFonts w:ascii="Times New Roman" w:hAnsi="Times New Roman"/>
        </w:rPr>
        <w:t xml:space="preserve">Ce travail présente un intérêt pour plusieurs parties prenantes :</w:t>
      </w:r>
    </w:p>
    <w:p>
      <w:pPr>
        <w:pStyle w:val="Compact"/>
        <w:numPr>
          <w:ilvl w:val="0"/>
          <w:numId w:val="1006"/>
        </w:numPr>
      </w:pPr>
      <w:r>
        <w:rPr>
          <w:rFonts w:ascii="Times New Roman" w:hAnsi="Times New Roman"/>
          <w:b/>
          <w:bCs/>
        </w:rPr>
        <w:t xml:space="preserve">Pour les opérateurs pétroliers camerounais :</w:t>
      </w:r>
      <w:r>
        <w:rPr>
          <w:rFonts w:ascii="Times New Roman" w:hAnsi="Times New Roman"/>
        </w:rPr>
        <w:t xml:space="preserve"> </w:t>
      </w:r>
      <w:r>
        <w:rPr>
          <w:rFonts w:ascii="Times New Roman" w:hAnsi="Times New Roman"/>
        </w:rPr>
        <w:t xml:space="preserve">il démontre la faisabilité d’un outil de surveillance continue de la corrosion à moins de 50 000 FCFA, ouvrant la voie à un déploiement massif sur les réseaux de pipelines.</w:t>
      </w:r>
    </w:p>
    <w:p>
      <w:pPr>
        <w:pStyle w:val="Compact"/>
        <w:numPr>
          <w:ilvl w:val="0"/>
          <w:numId w:val="1006"/>
        </w:numPr>
      </w:pPr>
      <w:r>
        <w:rPr>
          <w:rFonts w:ascii="Times New Roman" w:hAnsi="Times New Roman"/>
          <w:b/>
          <w:bCs/>
        </w:rPr>
        <w:t xml:space="preserve">Pour la communauté scientifique :</w:t>
      </w:r>
      <w:r>
        <w:rPr>
          <w:rFonts w:ascii="Times New Roman" w:hAnsi="Times New Roman"/>
        </w:rPr>
        <w:t xml:space="preserve"> </w:t>
      </w:r>
      <w:r>
        <w:rPr>
          <w:rFonts w:ascii="Times New Roman" w:hAnsi="Times New Roman"/>
        </w:rPr>
        <w:t xml:space="preserve">il constitue l’une des premières études ML appliquées à la corrosion sur données expérimentales réelles collectées en Afrique centrale.</w:t>
      </w:r>
    </w:p>
    <w:p>
      <w:pPr>
        <w:pStyle w:val="Compact"/>
        <w:numPr>
          <w:ilvl w:val="0"/>
          <w:numId w:val="1006"/>
        </w:numPr>
      </w:pPr>
      <w:r>
        <w:rPr>
          <w:rFonts w:ascii="Times New Roman" w:hAnsi="Times New Roman"/>
          <w:b/>
          <w:bCs/>
        </w:rPr>
        <w:t xml:space="preserve">Pour l’environnement :</w:t>
      </w:r>
      <w:r>
        <w:rPr>
          <w:rFonts w:ascii="Times New Roman" w:hAnsi="Times New Roman"/>
        </w:rPr>
        <w:t xml:space="preserve"> </w:t>
      </w:r>
      <w:r>
        <w:rPr>
          <w:rFonts w:ascii="Times New Roman" w:hAnsi="Times New Roman"/>
        </w:rPr>
        <w:t xml:space="preserve">la prévention des ruptures de pipeline par prédiction précoce de la dégradation réduit le risque de déversements d’hydrocarbures aux conséquences écologiques irréversibles.</w:t>
      </w:r>
    </w:p>
    <w:p>
      <w:r>
        <w:rPr>
          <w:rFonts w:ascii="Times New Roman" w:hAnsi="Times New Roman"/>
        </w:rPr>
        <w:pict>
          <v:rect style="width:0;height:1.5pt" o:hralign="center" o:hrstd="t" o:hr="t"/>
        </w:pict>
      </w:r>
    </w:p>
    <w:bookmarkEnd w:id="38"/>
    <w:bookmarkEnd w:id="39"/>
    <w:bookmarkStart w:id="40" w:name="i.6.-conclusion"/>
    <w:p>
      <w:pPr>
        <w:pStyle w:val="Heading2"/>
      </w:pPr>
      <w:r>
        <w:rPr>
          <w:rFonts w:ascii="Times New Roman" w:hAnsi="Times New Roman"/>
        </w:rPr>
        <w:t xml:space="preserve">I.6. Conclusion</w:t>
      </w:r>
    </w:p>
    <w:p>
      <w:pPr>
        <w:pStyle w:val="FirstParagraph"/>
      </w:pPr>
      <w:r>
        <w:rPr>
          <w:rFonts w:ascii="Times New Roman" w:hAnsi="Times New Roman"/>
        </w:rPr>
        <w:t xml:space="preserve">Ce premier chapitre a permis de poser les bases théoriques et contextuelles de ce travail. La revue de la littérature a établi les mécanismes de la corrosion électrochimique, les méthodes de surveillance disponibles et les limites des modèles prédictifs classiques. Le contexte COTCO et la politique de maintenance actuelle ont mis en évidence le besoin d’un outil de surveillance continue et prédictive low-cost. La problématique et les objectifs ont été clairement formulés. Le Chapitre II présentera les outils et la méthodologie retenus pour y répondre.</w:t>
      </w:r>
    </w:p>
    <w:bookmarkEnd w:id="40"/>
    <w:bookmarkEnd w:id="41"/>
    <w:bookmarkStart w:id="66" w:name="chapitre-ii-outils-et-méthodes"/>
    <w:p>
      <w:pPr>
        <w:pStyle w:val="Heading1"/>
      </w:pPr>
      <w:r>
        <w:rPr>
          <w:rFonts w:ascii="Times New Roman" w:hAnsi="Times New Roman"/>
        </w:rPr>
        <w:t xml:space="preserve">CHAPITRE II : OUTILS ET MÉTHODES</w:t>
      </w:r>
    </w:p>
    <w:p>
      <w:pPr>
        <w:pStyle w:val="FirstParagraph"/>
      </w:pPr>
      <w:r>
        <w:rPr>
          <w:rFonts w:ascii="Times New Roman" w:hAnsi="Times New Roman"/>
          <w:b/>
          <w:bCs/>
        </w:rPr>
        <w:t xml:space="preserve">Sommaire du Chapitre II</w:t>
      </w:r>
    </w:p>
    <w:p>
      <w:pPr>
        <w:pStyle w:val="BodyText"/>
      </w:pPr>
      <w:r>
        <w:rPr>
          <w:rFonts w:ascii="Times New Roman" w:hAnsi="Times New Roman"/>
        </w:rPr>
        <w:t xml:space="preserve">II.1. Présentation du prototype de mesure ER</w:t>
      </w:r>
      <w:r>
        <w:rPr>
          <w:rFonts w:ascii="Times New Roman" w:hAnsi="Times New Roman"/>
        </w:rPr>
        <w:t xml:space="preserve"> </w:t>
      </w:r>
      <w:r>
        <w:rPr>
          <w:rFonts w:ascii="Times New Roman" w:hAnsi="Times New Roman"/>
        </w:rPr>
        <w:t xml:space="preserve">II.2. Matériels utilisés</w:t>
      </w:r>
      <w:r>
        <w:rPr>
          <w:rFonts w:ascii="Times New Roman" w:hAnsi="Times New Roman"/>
        </w:rPr>
        <w:t xml:space="preserve"> </w:t>
      </w:r>
      <w:r>
        <w:rPr>
          <w:rFonts w:ascii="Times New Roman" w:hAnsi="Times New Roman"/>
        </w:rPr>
        <w:t xml:space="preserve">II.3. Méthodes d’acquisition et de traitement des données</w:t>
      </w:r>
      <w:r>
        <w:rPr>
          <w:rFonts w:ascii="Times New Roman" w:hAnsi="Times New Roman"/>
        </w:rPr>
        <w:t xml:space="preserve"> </w:t>
      </w:r>
      <w:r>
        <w:rPr>
          <w:rFonts w:ascii="Times New Roman" w:hAnsi="Times New Roman"/>
        </w:rPr>
        <w:t xml:space="preserve">II.4. Méthodologie d’entraînement du modèle XGBoost</w:t>
      </w:r>
      <w:r>
        <w:rPr>
          <w:rFonts w:ascii="Times New Roman" w:hAnsi="Times New Roman"/>
        </w:rPr>
        <w:t xml:space="preserve"> </w:t>
      </w:r>
      <w:r>
        <w:rPr>
          <w:rFonts w:ascii="Times New Roman" w:hAnsi="Times New Roman"/>
        </w:rPr>
        <w:t xml:space="preserve">II.5. Protocole expérimental</w:t>
      </w:r>
      <w:r>
        <w:rPr>
          <w:rFonts w:ascii="Times New Roman" w:hAnsi="Times New Roman"/>
        </w:rPr>
        <w:t xml:space="preserve"> </w:t>
      </w:r>
      <w:r>
        <w:rPr>
          <w:rFonts w:ascii="Times New Roman" w:hAnsi="Times New Roman"/>
        </w:rPr>
        <w:t xml:space="preserve">II.6. Conclusion</w:t>
      </w:r>
    </w:p>
    <w:p>
      <w:r>
        <w:rPr>
          <w:rFonts w:ascii="Times New Roman" w:hAnsi="Times New Roman"/>
        </w:rPr>
        <w:pict>
          <v:rect style="width:0;height:1.5pt" o:hralign="center" o:hrstd="t" o:hr="t"/>
        </w:pict>
      </w:r>
    </w:p>
    <w:bookmarkStart w:id="42" w:name="ii.0.-introduction"/>
    <w:p>
      <w:pPr>
        <w:pStyle w:val="Heading2"/>
      </w:pPr>
      <w:r>
        <w:rPr>
          <w:rFonts w:ascii="Times New Roman" w:hAnsi="Times New Roman"/>
        </w:rPr>
        <w:t xml:space="preserve">II.0. Introduction</w:t>
      </w:r>
    </w:p>
    <w:p>
      <w:pPr>
        <w:pStyle w:val="FirstParagraph"/>
      </w:pPr>
      <w:r>
        <w:rPr>
          <w:rFonts w:ascii="Times New Roman" w:hAnsi="Times New Roman"/>
        </w:rPr>
        <w:t xml:space="preserve">Dans ce chapitre, il sera question de présenter le prototype de sonde ER développé dans ce travail (description et principe de fonctionnement), de décrire les matériels utilisés pour la mesure et l’acquisition des données, puis d’exposer la méthodologie retenue pour le traitement des données et l’entraînement du modèle d’apprentissage automatique.</w:t>
      </w:r>
    </w:p>
    <w:p>
      <w:r>
        <w:rPr>
          <w:rFonts w:ascii="Times New Roman" w:hAnsi="Times New Roman"/>
        </w:rPr>
        <w:pict>
          <v:rect style="width:0;height:1.5pt" o:hralign="center" o:hrstd="t" o:hr="t"/>
        </w:pict>
      </w:r>
    </w:p>
    <w:bookmarkEnd w:id="42"/>
    <w:bookmarkStart w:id="47" w:name="X96069c935cb415ad343df0702106eb0f5e3844c"/>
    <w:p>
      <w:pPr>
        <w:pStyle w:val="Heading2"/>
      </w:pPr>
      <w:r>
        <w:rPr>
          <w:rFonts w:ascii="Times New Roman" w:hAnsi="Times New Roman"/>
        </w:rPr>
        <w:t xml:space="preserve">II.1. Présentation du prototype de mesure ER</w:t>
      </w:r>
    </w:p>
    <w:bookmarkStart w:id="43" w:name="X5c831290ce30a5344bbec1729459bd13a6ac3b2"/>
    <w:p>
      <w:pPr>
        <w:pStyle w:val="Heading3"/>
      </w:pPr>
      <w:r>
        <w:rPr>
          <w:rFonts w:ascii="Times New Roman" w:hAnsi="Times New Roman"/>
        </w:rPr>
        <w:t xml:space="preserve">II.1.1. Principe de la sonde à résistance électrique (ER)</w:t>
      </w:r>
    </w:p>
    <w:p>
      <w:pPr>
        <w:pStyle w:val="FirstParagraph"/>
      </w:pPr>
      <w:r>
        <w:rPr>
          <w:rFonts w:ascii="Times New Roman" w:hAnsi="Times New Roman"/>
        </w:rPr>
        <w:t xml:space="preserve">La sonde ER exploite la relation entre la résistance électrique d’un fil métallique et sa section transversale. Lorsque le fil se corrode, son rayon r diminue, ce qui augmente sa résistance R selon :</w:t>
      </w:r>
    </w:p>
    <w:p>
      <w:pPr>
        <w:pStyle w:val="BodyText"/>
      </w:pPr>
      <m:oMathPara>
        <m:oMathParaPr>
          <m:jc m:val="center"/>
        </m:oMathParaPr>
        <m:oMath>
          <m:r>
            <m:t>R</m:t>
          </m:r>
          <m:r>
            <m:rPr>
              <m:sty m:val="p"/>
            </m:rPr>
            <m:t>=</m:t>
          </m:r>
          <m:f>
            <m:fPr>
              <m:type m:val="bar"/>
            </m:fPr>
            <m:num>
              <m:r>
                <m:t>ρ</m:t>
              </m:r>
              <m:r>
                <m:rPr>
                  <m:sty m:val="p"/>
                </m:rPr>
                <m:t>⋅</m:t>
              </m:r>
              <m:r>
                <m:t>L</m:t>
              </m:r>
            </m:num>
            <m:den>
              <m:r>
                <m:t>π</m:t>
              </m:r>
              <m:sSup>
                <m:e>
                  <m:r>
                    <m:t>r</m:t>
                  </m:r>
                </m:e>
                <m:sup>
                  <m:r>
                    <m:t>2</m:t>
                  </m:r>
                </m:sup>
              </m:sSup>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ρ</w:t>
      </w:r>
      <w:r>
        <w:rPr>
          <w:rFonts w:ascii="Times New Roman" w:hAnsi="Times New Roman"/>
        </w:rPr>
        <w:t xml:space="preserve"> </w:t>
      </w:r>
      <w:r>
        <w:rPr>
          <w:rFonts w:ascii="Times New Roman" w:hAnsi="Times New Roman"/>
        </w:rPr>
        <w:t xml:space="preserve">= résistivité électrique du fer = 1,0 × 10⁻⁷ Ω·m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w:t>
      </w:r>
      <w:r>
        <w:rPr>
          <w:rFonts w:ascii="Times New Roman" w:hAnsi="Times New Roman"/>
        </w:rPr>
        <w:t xml:space="preserve"> </w:t>
      </w:r>
      <w:r>
        <w:rPr>
          <w:rFonts w:ascii="Times New Roman" w:hAnsi="Times New Roman"/>
        </w:rPr>
        <w:t xml:space="preserve">= longueur du fil = 1,1 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rayon du fil (m), qui diminue au cours de la corrosion</w:t>
      </w:r>
    </w:p>
    <w:p>
      <w:pPr>
        <w:pStyle w:val="BodyText"/>
      </w:pPr>
      <w:r>
        <w:rPr>
          <w:rFonts w:ascii="Times New Roman" w:hAnsi="Times New Roman"/>
        </w:rPr>
        <w:t xml:space="preserve">La variation de résistance ΔR = R(t) − R(t₀) est directement proportionnelle à la perte de matière. Cette relation permet de remonter au taux de corrosion en mm/an.</w:t>
      </w:r>
    </w:p>
    <w:bookmarkEnd w:id="43"/>
    <w:bookmarkStart w:id="44" w:name="Xdd0be18e23b5f3d7808779c9d44c350d6ac9869"/>
    <w:p>
      <w:pPr>
        <w:pStyle w:val="Heading3"/>
      </w:pPr>
      <w:r>
        <w:rPr>
          <w:rFonts w:ascii="Times New Roman" w:hAnsi="Times New Roman"/>
        </w:rPr>
        <w:t xml:space="preserve">II.1.2. Architecture du pont de Wheatstone</w:t>
      </w:r>
    </w:p>
    <w:p>
      <w:pPr>
        <w:pStyle w:val="FirstParagraph"/>
      </w:pPr>
      <w:r>
        <w:rPr>
          <w:rFonts w:ascii="Times New Roman" w:hAnsi="Times New Roman"/>
        </w:rPr>
        <w:t xml:space="preserve">Pour détecter des variations de résistance de l’ordre du dixième de milliohm sur un fil de résistance initiale Rx₀ ≈ 0,13 Ω, la mesure directe par multimètre standard est insuffisante. Un pont de Wheatstone permet de mesurer uniquement la variation différentielle ΔR, amplifiant le signal utile d’un facteur 10³ à 10⁴ par rapport à la mesure directe.</w:t>
      </w:r>
    </w:p>
    <w:p>
      <w:pPr>
        <w:pStyle w:val="BodyText"/>
      </w:pPr>
      <w:r>
        <w:rPr>
          <w:rFonts w:ascii="Times New Roman" w:hAnsi="Times New Roman"/>
        </w:rPr>
        <w:t xml:space="preserve">Le pont est configuré comme suit :</w:t>
      </w:r>
    </w:p>
    <w:p>
      <w:pPr>
        <w:pStyle w:val="BodyText"/>
      </w:pPr>
      <w:r>
        <w:rPr>
          <w:rFonts w:ascii="Times New Roman" w:hAnsi="Times New Roman"/>
          <w:b/>
          <w:bCs/>
        </w:rPr>
        <w:t xml:space="preserve">Tableau II.1 — Configuration du pont de Wheatstone</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b/>
                <w:sz w:val="20"/>
              </w:rPr>
              <w:t xml:space="preserve">Bras</w:t>
            </w:r>
          </w:p>
        </w:tc>
        <w:tc>
          <w:tcPr/>
          <w:p>
            <w:pPr>
              <w:pStyle w:val="Compact"/>
            </w:pPr>
            <w:r>
              <w:rPr>
                <w:rFonts w:ascii="Times New Roman" w:hAnsi="Times New Roman"/>
                <w:b/>
                <w:sz w:val="20"/>
              </w:rPr>
              <w:t xml:space="preserve">Composant</w:t>
            </w:r>
          </w:p>
        </w:tc>
        <w:tc>
          <w:tcPr/>
          <w:p>
            <w:pPr>
              <w:pStyle w:val="Compact"/>
            </w:pPr>
            <w:r>
              <w:rPr>
                <w:rFonts w:ascii="Times New Roman" w:hAnsi="Times New Roman"/>
                <w:b/>
                <w:sz w:val="20"/>
              </w:rPr>
              <w:t xml:space="preserve">Valeur</w:t>
            </w:r>
          </w:p>
        </w:tc>
        <w:tc>
          <w:tcPr/>
          <w:p>
            <w:pPr>
              <w:pStyle w:val="Compact"/>
            </w:pPr>
            <w:r>
              <w:rPr>
                <w:rFonts w:ascii="Times New Roman" w:hAnsi="Times New Roman"/>
                <w:b/>
                <w:sz w:val="20"/>
              </w:rPr>
              <w:t xml:space="preserve">Rôle</w:t>
            </w:r>
          </w:p>
        </w:tc>
      </w:tr>
      <w:tr>
        <w:tc>
          <w:tcPr/>
          <w:p>
            <w:pPr>
              <w:pStyle w:val="Compact"/>
            </w:pPr>
            <w:r>
              <w:rPr>
                <w:rFonts w:ascii="Times New Roman" w:hAnsi="Times New Roman"/>
                <w:sz w:val="20"/>
              </w:rPr>
              <w:t xml:space="preserve">Bras 1</w:t>
            </w:r>
          </w:p>
        </w:tc>
        <w:tc>
          <w:tcPr/>
          <w:p>
            <w:pPr>
              <w:pStyle w:val="Compact"/>
            </w:pPr>
            <w:r>
              <w:rPr>
                <w:rFonts w:ascii="Times New Roman" w:hAnsi="Times New Roman"/>
                <w:sz w:val="20"/>
              </w:rPr>
              <w:t xml:space="preserve">Résistance fixe R1</w:t>
            </w:r>
          </w:p>
        </w:tc>
        <w:tc>
          <w:tcPr/>
          <w:p>
            <w:pPr>
              <w:pStyle w:val="Compact"/>
            </w:pPr>
            <w:r>
              <w:rPr>
                <w:rFonts w:ascii="Times New Roman" w:hAnsi="Times New Roman"/>
                <w:sz w:val="20"/>
              </w:rPr>
              <w:t xml:space="preserve">10 Ω (précision 1 %)</w:t>
            </w:r>
          </w:p>
        </w:tc>
        <w:tc>
          <w:tcPr/>
          <w:p>
            <w:pPr>
              <w:pStyle w:val="Compact"/>
            </w:pPr>
            <w:r>
              <w:rPr>
                <w:rFonts w:ascii="Times New Roman" w:hAnsi="Times New Roman"/>
                <w:sz w:val="20"/>
              </w:rPr>
              <w:t xml:space="preserve">Référence</w:t>
            </w:r>
          </w:p>
        </w:tc>
      </w:tr>
      <w:tr>
        <w:tc>
          <w:tcPr/>
          <w:p>
            <w:pPr>
              <w:pStyle w:val="Compact"/>
            </w:pPr>
            <w:r>
              <w:rPr>
                <w:rFonts w:ascii="Times New Roman" w:hAnsi="Times New Roman"/>
                <w:sz w:val="20"/>
              </w:rPr>
              <w:t xml:space="preserve">Bras 2</w:t>
            </w:r>
          </w:p>
        </w:tc>
        <w:tc>
          <w:tcPr/>
          <w:p>
            <w:pPr>
              <w:pStyle w:val="Compact"/>
            </w:pPr>
            <w:r>
              <w:rPr>
                <w:rFonts w:ascii="Times New Roman" w:hAnsi="Times New Roman"/>
                <w:sz w:val="20"/>
              </w:rPr>
              <w:t xml:space="preserve">Résistance fixe R2</w:t>
            </w:r>
          </w:p>
        </w:tc>
        <w:tc>
          <w:tcPr/>
          <w:p>
            <w:pPr>
              <w:pStyle w:val="Compact"/>
            </w:pPr>
            <w:r>
              <w:rPr>
                <w:rFonts w:ascii="Times New Roman" w:hAnsi="Times New Roman"/>
                <w:sz w:val="20"/>
              </w:rPr>
              <w:t xml:space="preserve">10 Ω (précision 1 %)</w:t>
            </w:r>
          </w:p>
        </w:tc>
        <w:tc>
          <w:tcPr/>
          <w:p>
            <w:pPr>
              <w:pStyle w:val="Compact"/>
            </w:pPr>
            <w:r>
              <w:rPr>
                <w:rFonts w:ascii="Times New Roman" w:hAnsi="Times New Roman"/>
                <w:sz w:val="20"/>
              </w:rPr>
              <w:t xml:space="preserve">Référence</w:t>
            </w:r>
          </w:p>
        </w:tc>
      </w:tr>
      <w:tr>
        <w:tc>
          <w:tcPr/>
          <w:p>
            <w:pPr>
              <w:pStyle w:val="Compact"/>
            </w:pPr>
            <w:r>
              <w:rPr>
                <w:rFonts w:ascii="Times New Roman" w:hAnsi="Times New Roman"/>
                <w:sz w:val="20"/>
              </w:rPr>
              <w:t xml:space="preserve">Bras 3</w:t>
            </w:r>
          </w:p>
        </w:tc>
        <w:tc>
          <w:tcPr/>
          <w:p>
            <w:pPr>
              <w:pStyle w:val="Compact"/>
            </w:pPr>
            <w:r>
              <w:rPr>
                <w:rFonts w:ascii="Times New Roman" w:hAnsi="Times New Roman"/>
                <w:sz w:val="20"/>
              </w:rPr>
              <w:t xml:space="preserve">Résistance de référence R_REF</w:t>
            </w:r>
          </w:p>
        </w:tc>
        <w:tc>
          <w:tcPr/>
          <w:p>
            <w:pPr>
              <w:pStyle w:val="Compact"/>
            </w:pPr>
            <w:r>
              <w:rPr>
                <w:rFonts w:ascii="Times New Roman" w:hAnsi="Times New Roman"/>
                <w:sz w:val="20"/>
              </w:rPr>
              <w:t xml:space="preserve">0,5 Ω (précision 1 %)</w:t>
            </w:r>
          </w:p>
        </w:tc>
        <w:tc>
          <w:tcPr/>
          <w:p>
            <w:pPr>
              <w:pStyle w:val="Compact"/>
            </w:pPr>
            <w:r>
              <w:rPr>
                <w:rFonts w:ascii="Times New Roman" w:hAnsi="Times New Roman"/>
                <w:sz w:val="20"/>
              </w:rPr>
              <w:t xml:space="preserve">Fil protégé</w:t>
            </w:r>
          </w:p>
        </w:tc>
      </w:tr>
      <w:tr>
        <w:tc>
          <w:tcPr/>
          <w:p>
            <w:pPr>
              <w:pStyle w:val="Compact"/>
            </w:pPr>
            <w:r>
              <w:rPr>
                <w:rFonts w:ascii="Times New Roman" w:hAnsi="Times New Roman"/>
                <w:sz w:val="20"/>
              </w:rPr>
              <w:t xml:space="preserve">Bras 4</w:t>
            </w:r>
          </w:p>
        </w:tc>
        <w:tc>
          <w:tcPr/>
          <w:p>
            <w:pPr>
              <w:pStyle w:val="Compact"/>
            </w:pPr>
            <w:r>
              <w:rPr>
                <w:rFonts w:ascii="Times New Roman" w:hAnsi="Times New Roman"/>
                <w:sz w:val="20"/>
              </w:rPr>
              <w:t xml:space="preserve">Résistance active Rx(t)</w:t>
            </w:r>
          </w:p>
        </w:tc>
        <w:tc>
          <w:tcPr/>
          <w:p>
            <w:pPr>
              <w:pStyle w:val="Compact"/>
            </w:pPr>
            <w:r>
              <w:rPr>
                <w:rFonts w:ascii="Times New Roman" w:hAnsi="Times New Roman"/>
                <w:sz w:val="20"/>
              </w:rPr>
              <w:t xml:space="preserve">≈ 0,13 Ω initial</w:t>
            </w:r>
          </w:p>
        </w:tc>
        <w:tc>
          <w:tcPr/>
          <w:p>
            <w:pPr>
              <w:pStyle w:val="Compact"/>
            </w:pPr>
            <w:r>
              <w:rPr>
                <w:rFonts w:ascii="Times New Roman" w:hAnsi="Times New Roman"/>
                <w:sz w:val="20"/>
              </w:rPr>
              <w:t xml:space="preserve">Fil ER corrodé</w:t>
            </w:r>
          </w:p>
        </w:tc>
      </w:tr>
    </w:tbl>
    <w:p>
      <w:pPr>
        <w:pStyle w:val="BodyText"/>
      </w:pPr>
      <w:r>
        <w:rPr>
          <w:rFonts w:ascii="Times New Roman" w:hAnsi="Times New Roman"/>
        </w:rPr>
        <w:t xml:space="preserve">La tension différentielle aux bornes du pont est :</w:t>
      </w:r>
    </w:p>
    <w:p>
      <w:pPr>
        <w:pStyle w:val="BodyText"/>
      </w:pPr>
      <m:oMathPara>
        <m:oMathParaPr>
          <m:jc m:val="center"/>
        </m:oMathParaPr>
        <m:oMath>
          <m:sSub>
            <m:e>
              <m:r>
                <m:t>V</m:t>
              </m:r>
            </m:e>
            <m:sub>
              <m:r>
                <m:t>d</m:t>
              </m:r>
              <m:r>
                <m:t>i</m:t>
              </m:r>
              <m:r>
                <m:t>f</m:t>
              </m:r>
              <m:r>
                <m:t>f</m:t>
              </m:r>
            </m:sub>
          </m:sSub>
          <m:r>
            <m:rPr>
              <m:sty m:val="p"/>
            </m:rPr>
            <m:t>=</m:t>
          </m:r>
          <m:sSub>
            <m:e>
              <m:r>
                <m:t>V</m:t>
              </m:r>
            </m:e>
            <m:sub>
              <m:r>
                <m:t>e</m:t>
              </m:r>
              <m:r>
                <m:t>x</m:t>
              </m:r>
              <m:r>
                <m:t>c</m:t>
              </m:r>
            </m:sub>
          </m:sSub>
          <m:r>
            <m:rPr>
              <m:sty m:val="p"/>
            </m:rPr>
            <m:t>⋅</m:t>
          </m:r>
          <m:d>
            <m:dPr>
              <m:begChr m:val="("/>
              <m:sepChr m:val=""/>
              <m:endChr m:val=")"/>
              <m:grow/>
            </m:dPr>
            <m:e>
              <m:f>
                <m:fPr>
                  <m:type m:val="bar"/>
                </m:fPr>
                <m:num>
                  <m:sSub>
                    <m:e>
                      <m:r>
                        <m:t>R</m:t>
                      </m:r>
                    </m:e>
                    <m:sub>
                      <m:r>
                        <m:t>x</m:t>
                      </m:r>
                    </m:sub>
                  </m:sSub>
                </m:num>
                <m:den>
                  <m:sSub>
                    <m:e>
                      <m:r>
                        <m:t>R</m:t>
                      </m:r>
                    </m:e>
                    <m:sub>
                      <m:r>
                        <m:t>2</m:t>
                      </m:r>
                    </m:sub>
                  </m:sSub>
                  <m:r>
                    <m:rPr>
                      <m:sty m:val="p"/>
                    </m:rPr>
                    <m:t>+</m:t>
                  </m:r>
                  <m:sSub>
                    <m:e>
                      <m:r>
                        <m:t>R</m:t>
                      </m:r>
                    </m:e>
                    <m:sub>
                      <m:r>
                        <m:t>x</m:t>
                      </m:r>
                    </m:sub>
                  </m:sSub>
                </m:den>
              </m:f>
              <m:r>
                <m:rPr>
                  <m:sty m:val="p"/>
                </m:rPr>
                <m:t>−</m:t>
              </m:r>
              <m:f>
                <m:fPr>
                  <m:type m:val="bar"/>
                </m:fPr>
                <m:num>
                  <m:sSub>
                    <m:e>
                      <m:r>
                        <m:t>R</m:t>
                      </m:r>
                    </m:e>
                    <m:sub>
                      <m:r>
                        <m:t>R</m:t>
                      </m:r>
                      <m:r>
                        <m:t>E</m:t>
                      </m:r>
                      <m:r>
                        <m:t>F</m:t>
                      </m:r>
                    </m:sub>
                  </m:sSub>
                </m:num>
                <m:den>
                  <m:sSub>
                    <m:e>
                      <m:r>
                        <m:t>R</m:t>
                      </m:r>
                    </m:e>
                    <m:sub>
                      <m:r>
                        <m:t>1</m:t>
                      </m:r>
                    </m:sub>
                  </m:sSub>
                  <m:r>
                    <m:rPr>
                      <m:sty m:val="p"/>
                    </m:rPr>
                    <m:t>+</m:t>
                  </m:r>
                  <m:sSub>
                    <m:e>
                      <m:r>
                        <m:t>R</m:t>
                      </m:r>
                    </m:e>
                    <m:sub>
                      <m:r>
                        <m:t>R</m:t>
                      </m:r>
                      <m:r>
                        <m:t>E</m:t>
                      </m:r>
                      <m:r>
                        <m:t>F</m:t>
                      </m:r>
                    </m:sub>
                  </m:sSub>
                </m:den>
              </m:f>
            </m:e>
          </m:d>
        </m:oMath>
      </m:oMathPara>
    </w:p>
    <w:p>
      <w:pPr>
        <w:pStyle w:val="FirstParagraph"/>
      </w:pPr>
      <w:r>
        <w:rPr>
          <w:rFonts w:ascii="Times New Roman" w:hAnsi="Times New Roman"/>
        </w:rPr>
        <w:t xml:space="preserve">La tension d’excitation effective est limitée par une résistance série R_SERIE = 100 Ω (protection contre l’échauffement par effet Joule) :</w:t>
      </w:r>
    </w:p>
    <w:p>
      <w:pPr>
        <w:pStyle w:val="BodyText"/>
      </w:pPr>
      <m:oMathPara>
        <m:oMathParaPr>
          <m:jc m:val="center"/>
        </m:oMathParaPr>
        <m:oMath>
          <m:sSub>
            <m:e>
              <m:r>
                <m:t>V</m:t>
              </m:r>
            </m:e>
            <m:sub>
              <m:r>
                <m:t>e</m:t>
              </m:r>
              <m:r>
                <m:t>x</m:t>
              </m:r>
              <m:r>
                <m:t>c</m:t>
              </m:r>
              <m:r>
                <m:rPr>
                  <m:sty m:val="p"/>
                </m:rPr>
                <m:t>,</m:t>
              </m:r>
              <m:r>
                <m:t>e</m:t>
              </m:r>
              <m:r>
                <m:t>f</m:t>
              </m:r>
              <m:r>
                <m:t>f</m:t>
              </m:r>
            </m:sub>
          </m:sSub>
          <m:r>
            <m:rPr>
              <m:sty m:val="p"/>
            </m:rPr>
            <m:t>=</m:t>
          </m:r>
          <m:r>
            <m:t>3</m:t>
          </m:r>
          <m:r>
            <m:rPr>
              <m:sty m:val="p"/>
            </m:rPr>
            <m:t>,</m:t>
          </m:r>
          <m:r>
            <m:t>3</m:t>
          </m:r>
          <m:r>
            <m:rPr>
              <m:sty m:val="p"/>
            </m:rPr>
            <m:t>×</m:t>
          </m:r>
          <m:f>
            <m:fPr>
              <m:type m:val="bar"/>
            </m:fPr>
            <m:num>
              <m:sSub>
                <m:e>
                  <m:r>
                    <m:t>R</m:t>
                  </m:r>
                </m:e>
                <m:sub>
                  <m:r>
                    <m:t>1</m:t>
                  </m:r>
                </m:sub>
              </m:sSub>
              <m:r>
                <m:rPr>
                  <m:sty m:val="p"/>
                </m:rPr>
                <m:t>+</m:t>
              </m:r>
              <m:sSub>
                <m:e>
                  <m:r>
                    <m:t>R</m:t>
                  </m:r>
                </m:e>
                <m:sub>
                  <m:r>
                    <m:t>R</m:t>
                  </m:r>
                  <m:r>
                    <m:t>E</m:t>
                  </m:r>
                  <m:r>
                    <m:t>F</m:t>
                  </m:r>
                </m:sub>
              </m:sSub>
            </m:num>
            <m:den>
              <m:sSub>
                <m:e>
                  <m:r>
                    <m:t>R</m:t>
                  </m:r>
                </m:e>
                <m:sub>
                  <m:r>
                    <m:t>S</m:t>
                  </m:r>
                  <m:r>
                    <m:t>E</m:t>
                  </m:r>
                  <m:r>
                    <m:t>R</m:t>
                  </m:r>
                  <m:r>
                    <m:t>I</m:t>
                  </m:r>
                  <m:r>
                    <m:t>E</m:t>
                  </m:r>
                </m:sub>
              </m:sSub>
              <m:r>
                <m:rPr>
                  <m:sty m:val="p"/>
                </m:rPr>
                <m:t>+</m:t>
              </m:r>
              <m:sSub>
                <m:e>
                  <m:r>
                    <m:t>R</m:t>
                  </m:r>
                </m:e>
                <m:sub>
                  <m:r>
                    <m:t>1</m:t>
                  </m:r>
                </m:sub>
              </m:sSub>
              <m:r>
                <m:rPr>
                  <m:sty m:val="p"/>
                </m:rPr>
                <m:t>+</m:t>
              </m:r>
              <m:sSub>
                <m:e>
                  <m:r>
                    <m:t>R</m:t>
                  </m:r>
                </m:e>
                <m:sub>
                  <m:r>
                    <m:t>R</m:t>
                  </m:r>
                  <m:r>
                    <m:t>E</m:t>
                  </m:r>
                  <m:r>
                    <m:t>F</m:t>
                  </m:r>
                </m:sub>
              </m:sSub>
            </m:den>
          </m:f>
          <m:r>
            <m:rPr>
              <m:sty m:val="p"/>
            </m:rPr>
            <m:t>=</m:t>
          </m:r>
          <m:r>
            <m:t>3</m:t>
          </m:r>
          <m:r>
            <m:rPr>
              <m:sty m:val="p"/>
            </m:rPr>
            <m:t>,</m:t>
          </m:r>
          <m:r>
            <m:t>3</m:t>
          </m:r>
          <m:r>
            <m:rPr>
              <m:sty m:val="p"/>
            </m:rPr>
            <m:t>×</m:t>
          </m:r>
          <m:f>
            <m:fPr>
              <m:type m:val="bar"/>
            </m:fPr>
            <m:num>
              <m:r>
                <m:t>10</m:t>
              </m:r>
              <m:r>
                <m:rPr>
                  <m:sty m:val="p"/>
                </m:rPr>
                <m:t>,</m:t>
              </m:r>
              <m:r>
                <m:t>5</m:t>
              </m:r>
            </m:num>
            <m:den>
              <m:r>
                <m:t>110</m:t>
              </m:r>
              <m:r>
                <m:rPr>
                  <m:sty m:val="p"/>
                </m:rPr>
                <m:t>,</m:t>
              </m:r>
              <m:r>
                <m:t>5</m:t>
              </m:r>
            </m:den>
          </m:f>
          <m:r>
            <m:rPr>
              <m:sty m:val="p"/>
            </m:rPr>
            <m:t>≈</m:t>
          </m:r>
          <m:r>
            <m:t>0</m:t>
          </m:r>
          <m:r>
            <m:rPr>
              <m:sty m:val="p"/>
            </m:rPr>
            <m:t>,</m:t>
          </m:r>
          <m:r>
            <m:t>313</m:t>
          </m:r>
          <m:r>
            <m:rPr>
              <m:nor/>
              <m:sty m:val="p"/>
            </m:rPr>
            <m:t> V</m:t>
          </m:r>
        </m:oMath>
      </m:oMathPara>
    </w:p>
    <w:bookmarkEnd w:id="44"/>
    <w:bookmarkStart w:id="45" w:name="Xa177795926cd6e6711d9fee471b2bfc1135dd83"/>
    <w:p>
      <w:pPr>
        <w:pStyle w:val="Heading3"/>
      </w:pPr>
      <w:r>
        <w:rPr>
          <w:rFonts w:ascii="Times New Roman" w:hAnsi="Times New Roman"/>
        </w:rPr>
        <w:t xml:space="preserve">II.1.3. Conversion analogique-numérique par HX711</w:t>
      </w:r>
    </w:p>
    <w:p>
      <w:pPr>
        <w:pStyle w:val="FirstParagraph"/>
      </w:pPr>
      <w:r>
        <w:rPr>
          <w:rFonts w:ascii="Times New Roman" w:hAnsi="Times New Roman"/>
        </w:rPr>
        <w:t xml:space="preserve">Le HX711 est un amplificateur d’instrumentation différentiel couplé à un convertisseur ADC sigma-delta 24 bits, spécialement conçu pour les capteurs en pont de Wheatstone. À gain 128, sa résolution sub-nanovolts permet de détecter des variations de résistance inférieures à 0,01 mΩ. La conversion du code ADC en résistance Rx est :</w:t>
      </w:r>
    </w:p>
    <w:p>
      <w:pPr>
        <w:pStyle w:val="BodyText"/>
      </w:pPr>
      <m:oMathPara>
        <m:oMathParaPr>
          <m:jc m:val="center"/>
        </m:oMathParaPr>
        <m:oMath>
          <m:sSub>
            <m:e>
              <m:r>
                <m:t>V</m:t>
              </m:r>
            </m:e>
            <m:sub>
              <m:r>
                <m:t>d</m:t>
              </m:r>
              <m:r>
                <m:t>i</m:t>
              </m:r>
              <m:r>
                <m:t>f</m:t>
              </m:r>
              <m:r>
                <m:t>f</m:t>
              </m:r>
              <m:r>
                <m:rPr>
                  <m:sty m:val="p"/>
                </m:rPr>
                <m:t>,</m:t>
              </m:r>
              <m:r>
                <m:t>r</m:t>
              </m:r>
              <m:r>
                <m:t>a</m:t>
              </m:r>
              <m:r>
                <m:t>w</m:t>
              </m:r>
            </m:sub>
          </m:sSub>
          <m:r>
            <m:rPr>
              <m:sty m:val="p"/>
            </m:rPr>
            <m:t>=</m:t>
          </m:r>
          <m:f>
            <m:fPr>
              <m:type m:val="bar"/>
            </m:fPr>
            <m:num>
              <m:sSub>
                <m:e>
                  <m:r>
                    <m:rPr>
                      <m:nor/>
                      <m:sty m:val="p"/>
                    </m:rPr>
                    <m:t>code</m:t>
                  </m:r>
                </m:e>
                <m:sub>
                  <m:r>
                    <m:t>H</m:t>
                  </m:r>
                  <m:r>
                    <m:t>X</m:t>
                  </m:r>
                  <m:r>
                    <m:t>711</m:t>
                  </m:r>
                </m:sub>
              </m:sSub>
            </m:num>
            <m:den>
              <m:sSup>
                <m:e>
                  <m:r>
                    <m:t>2</m:t>
                  </m:r>
                </m:e>
                <m:sup>
                  <m:r>
                    <m:t>23</m:t>
                  </m:r>
                </m:sup>
              </m:sSup>
              <m:r>
                <m:rPr>
                  <m:sty m:val="p"/>
                </m:rPr>
                <m:t>×</m:t>
              </m:r>
              <m:r>
                <m:t>128</m:t>
              </m:r>
            </m:den>
          </m:f>
          <m:r>
            <m:rPr>
              <m:sty m:val="p"/>
            </m:rPr>
            <m:t>×</m:t>
          </m:r>
          <m:sSub>
            <m:e>
              <m:r>
                <m:t>V</m:t>
              </m:r>
            </m:e>
            <m:sub>
              <m:r>
                <m:t>e</m:t>
              </m:r>
              <m:r>
                <m:t>x</m:t>
              </m:r>
              <m:r>
                <m:t>c</m:t>
              </m:r>
              <m:r>
                <m:rPr>
                  <m:sty m:val="p"/>
                </m:rPr>
                <m:t>,</m:t>
              </m:r>
              <m:r>
                <m:t>e</m:t>
              </m:r>
              <m:r>
                <m:t>f</m:t>
              </m:r>
              <m:r>
                <m:t>f</m:t>
              </m:r>
            </m:sub>
          </m:sSub>
        </m:oMath>
      </m:oMathPara>
    </w:p>
    <w:p>
      <w:pPr>
        <w:pStyle w:val="FirstParagraph"/>
      </w:pPr>
      <m:oMathPara>
        <m:oMathParaPr>
          <m:jc m:val="center"/>
        </m:oMathParaPr>
        <m:oMath>
          <m:sSub>
            <m:e>
              <m:r>
                <m:t>R</m:t>
              </m:r>
            </m:e>
            <m:sub>
              <m:r>
                <m:t>x</m:t>
              </m:r>
            </m:sub>
          </m:sSub>
          <m:r>
            <m:rPr>
              <m:sty m:val="p"/>
            </m:rPr>
            <m:t>=</m:t>
          </m:r>
          <m:sSub>
            <m:e>
              <m:r>
                <m:t>R</m:t>
              </m:r>
            </m:e>
            <m:sub>
              <m:r>
                <m:t>2</m:t>
              </m:r>
            </m:sub>
          </m:sSub>
          <m:r>
            <m:rPr>
              <m:sty m:val="p"/>
            </m:rPr>
            <m:t>⋅</m:t>
          </m:r>
          <m:f>
            <m:fPr>
              <m:type m:val="bar"/>
            </m:fPr>
            <m:num>
              <m:sSub>
                <m:e>
                  <m:r>
                    <m:t>V</m:t>
                  </m:r>
                </m:e>
                <m:sub>
                  <m:r>
                    <m:t>d</m:t>
                  </m:r>
                  <m:r>
                    <m:t>i</m:t>
                  </m:r>
                  <m:r>
                    <m:t>f</m:t>
                  </m:r>
                  <m:r>
                    <m:t>f</m:t>
                  </m:r>
                  <m:r>
                    <m:rPr>
                      <m:sty m:val="p"/>
                    </m:rPr>
                    <m:t>,</m:t>
                  </m:r>
                  <m:r>
                    <m:t>r</m:t>
                  </m:r>
                  <m:r>
                    <m:t>a</m:t>
                  </m:r>
                  <m:r>
                    <m:t>w</m:t>
                  </m:r>
                </m:sub>
              </m:sSub>
              <m:r>
                <m:rPr>
                  <m:sty m:val="p"/>
                </m:rPr>
                <m:t>/</m:t>
              </m:r>
              <m:sSub>
                <m:e>
                  <m:r>
                    <m:t>V</m:t>
                  </m:r>
                </m:e>
                <m:sub>
                  <m:r>
                    <m:t>e</m:t>
                  </m:r>
                  <m:r>
                    <m:t>x</m:t>
                  </m:r>
                  <m:r>
                    <m:t>c</m:t>
                  </m:r>
                  <m:r>
                    <m:rPr>
                      <m:sty m:val="p"/>
                    </m:rPr>
                    <m:t>,</m:t>
                  </m:r>
                  <m:r>
                    <m:t>e</m:t>
                  </m:r>
                  <m:r>
                    <m:t>f</m:t>
                  </m:r>
                  <m:r>
                    <m:t>f</m:t>
                  </m:r>
                </m:sub>
              </m:sSub>
              <m:r>
                <m:rPr>
                  <m:sty m:val="p"/>
                </m:rPr>
                <m:t>+</m:t>
              </m:r>
              <m:sSub>
                <m:e>
                  <m:r>
                    <m:t>R</m:t>
                  </m:r>
                </m:e>
                <m:sub>
                  <m:r>
                    <m:t>R</m:t>
                  </m:r>
                  <m:r>
                    <m:t>E</m:t>
                  </m:r>
                  <m:r>
                    <m:t>F</m:t>
                  </m:r>
                </m:sub>
              </m:sSub>
              <m:r>
                <m:rPr>
                  <m:sty m:val="p"/>
                </m:rPr>
                <m:t>/</m:t>
              </m:r>
              <m:r>
                <m:rPr>
                  <m:sty m:val="p"/>
                </m:rPr>
                <m:t>(</m:t>
              </m:r>
              <m:sSub>
                <m:e>
                  <m:r>
                    <m:t>R</m:t>
                  </m:r>
                </m:e>
                <m:sub>
                  <m:r>
                    <m:t>1</m:t>
                  </m:r>
                </m:sub>
              </m:sSub>
              <m:r>
                <m:rPr>
                  <m:sty m:val="p"/>
                </m:rPr>
                <m:t>+</m:t>
              </m:r>
              <m:sSub>
                <m:e>
                  <m:r>
                    <m:t>R</m:t>
                  </m:r>
                </m:e>
                <m:sub>
                  <m:r>
                    <m:t>R</m:t>
                  </m:r>
                  <m:r>
                    <m:t>E</m:t>
                  </m:r>
                  <m:r>
                    <m:t>F</m:t>
                  </m:r>
                </m:sub>
              </m:sSub>
              <m:r>
                <m:rPr>
                  <m:sty m:val="p"/>
                </m:rPr>
                <m:t>)</m:t>
              </m:r>
            </m:num>
            <m:den>
              <m:r>
                <m:t>1</m:t>
              </m:r>
              <m:r>
                <m:rPr>
                  <m:sty m:val="p"/>
                </m:rPr>
                <m:t>−</m:t>
              </m:r>
              <m:r>
                <m:rPr>
                  <m:sty m:val="p"/>
                </m:rPr>
                <m:t>(</m:t>
              </m:r>
              <m:sSub>
                <m:e>
                  <m:r>
                    <m:t>V</m:t>
                  </m:r>
                </m:e>
                <m:sub>
                  <m:r>
                    <m:t>d</m:t>
                  </m:r>
                  <m:r>
                    <m:t>i</m:t>
                  </m:r>
                  <m:r>
                    <m:t>f</m:t>
                  </m:r>
                  <m:r>
                    <m:t>f</m:t>
                  </m:r>
                  <m:r>
                    <m:rPr>
                      <m:sty m:val="p"/>
                    </m:rPr>
                    <m:t>,</m:t>
                  </m:r>
                  <m:r>
                    <m:t>r</m:t>
                  </m:r>
                  <m:r>
                    <m:t>a</m:t>
                  </m:r>
                  <m:r>
                    <m:t>w</m:t>
                  </m:r>
                </m:sub>
              </m:sSub>
              <m:r>
                <m:rPr>
                  <m:sty m:val="p"/>
                </m:rPr>
                <m:t>/</m:t>
              </m:r>
              <m:sSub>
                <m:e>
                  <m:r>
                    <m:t>V</m:t>
                  </m:r>
                </m:e>
                <m:sub>
                  <m:r>
                    <m:t>e</m:t>
                  </m:r>
                  <m:r>
                    <m:t>x</m:t>
                  </m:r>
                  <m:r>
                    <m:t>c</m:t>
                  </m:r>
                  <m:r>
                    <m:rPr>
                      <m:sty m:val="p"/>
                    </m:rPr>
                    <m:t>,</m:t>
                  </m:r>
                  <m:r>
                    <m:t>e</m:t>
                  </m:r>
                  <m:r>
                    <m:t>f</m:t>
                  </m:r>
                  <m:r>
                    <m:t>f</m:t>
                  </m:r>
                </m:sub>
              </m:sSub>
              <m:r>
                <m:rPr>
                  <m:sty m:val="p"/>
                </m:rPr>
                <m:t>+</m:t>
              </m:r>
              <m:sSub>
                <m:e>
                  <m:r>
                    <m:t>R</m:t>
                  </m:r>
                </m:e>
                <m:sub>
                  <m:r>
                    <m:t>R</m:t>
                  </m:r>
                  <m:r>
                    <m:t>E</m:t>
                  </m:r>
                  <m:r>
                    <m:t>F</m:t>
                  </m:r>
                </m:sub>
              </m:sSub>
              <m:r>
                <m:rPr>
                  <m:sty m:val="p"/>
                </m:rPr>
                <m:t>/</m:t>
              </m:r>
              <m:r>
                <m:rPr>
                  <m:sty m:val="p"/>
                </m:rPr>
                <m:t>(</m:t>
              </m:r>
              <m:sSub>
                <m:e>
                  <m:r>
                    <m:t>R</m:t>
                  </m:r>
                </m:e>
                <m:sub>
                  <m:r>
                    <m:t>1</m:t>
                  </m:r>
                </m:sub>
              </m:sSub>
              <m:r>
                <m:rPr>
                  <m:sty m:val="p"/>
                </m:rPr>
                <m:t>+</m:t>
              </m:r>
              <m:sSub>
                <m:e>
                  <m:r>
                    <m:t>R</m:t>
                  </m:r>
                </m:e>
                <m:sub>
                  <m:r>
                    <m:t>R</m:t>
                  </m:r>
                  <m:r>
                    <m:t>E</m:t>
                  </m:r>
                  <m:r>
                    <m:t>F</m:t>
                  </m:r>
                </m:sub>
              </m:sSub>
              <m:r>
                <m:rPr>
                  <m:sty m:val="p"/>
                </m:rPr>
                <m:t>)</m:t>
              </m:r>
              <m:r>
                <m:rPr>
                  <m:sty m:val="p"/>
                </m:rPr>
                <m:t>)</m:t>
              </m:r>
            </m:den>
          </m:f>
        </m:oMath>
      </m:oMathPara>
    </w:p>
    <w:bookmarkEnd w:id="45"/>
    <w:bookmarkStart w:id="46" w:name="X5a53e729faa7d2f4b54fb3908a105ae309118ce"/>
    <w:p>
      <w:pPr>
        <w:pStyle w:val="Heading3"/>
      </w:pPr>
      <w:r>
        <w:rPr>
          <w:rFonts w:ascii="Times New Roman" w:hAnsi="Times New Roman"/>
        </w:rPr>
        <w:t xml:space="preserve">II.1.4. Système d’acquisition IoT — ESP32 en deep sleep</w:t>
      </w:r>
    </w:p>
    <w:p>
      <w:pPr>
        <w:pStyle w:val="FirstParagraph"/>
      </w:pPr>
      <w:r>
        <w:rPr>
          <w:rFonts w:ascii="Times New Roman" w:hAnsi="Times New Roman"/>
        </w:rPr>
        <w:t xml:space="preserve">L’ESP32 DevKit V1 est un microcontrôleur bi-cœur Wi-Fi + Bluetooth qui intègre un mode deep sleep à très faible consommation (~10 µA). Le firmware développé suit le cycle suivant : réveil → mesure HX711 (résistance) → mesure DS18B20 (température) → émission CSV sur port série → deep sleep 10 minutes.</w:t>
      </w:r>
    </w:p>
    <w:p>
      <w:pPr>
        <w:pStyle w:val="BodyText"/>
      </w:pPr>
      <w:r>
        <w:rPr>
          <w:rFonts w:ascii="Times New Roman" w:hAnsi="Times New Roman"/>
        </w:rPr>
        <w:t xml:space="preserve">La persistance des données entre les cycles de deep sleep est assurée par la mémoire RTC (Real-Time Clock), qui survit au deep sleep et permet de conserver le compteur de mesures, la dernière valeur de résistance et l’état d’envoi de l’en-tête CSV.</w:t>
      </w:r>
    </w:p>
    <w:p>
      <w:r>
        <w:rPr>
          <w:rFonts w:ascii="Times New Roman" w:hAnsi="Times New Roman"/>
        </w:rPr>
        <w:pict>
          <v:rect style="width:0;height:1.5pt" o:hralign="center" o:hrstd="t" o:hr="t"/>
        </w:pict>
      </w:r>
    </w:p>
    <w:bookmarkEnd w:id="46"/>
    <w:bookmarkEnd w:id="47"/>
    <w:bookmarkStart w:id="50" w:name="ii.2.-matériels-utilisés"/>
    <w:p>
      <w:pPr>
        <w:pStyle w:val="Heading2"/>
      </w:pPr>
      <w:r>
        <w:rPr>
          <w:rFonts w:ascii="Times New Roman" w:hAnsi="Times New Roman"/>
        </w:rPr>
        <w:t xml:space="preserve">II.2. Matériels utilisés</w:t>
      </w:r>
    </w:p>
    <w:bookmarkStart w:id="48" w:name="ii.2.1.-matériels-expérimentaux"/>
    <w:p>
      <w:pPr>
        <w:pStyle w:val="Heading3"/>
      </w:pPr>
      <w:r>
        <w:rPr>
          <w:rFonts w:ascii="Times New Roman" w:hAnsi="Times New Roman"/>
        </w:rPr>
        <w:t xml:space="preserve">II.2.1. Matériels expérimentaux</w:t>
      </w:r>
    </w:p>
    <w:p>
      <w:pPr>
        <w:pStyle w:val="FirstParagraph"/>
      </w:pPr>
      <w:r>
        <w:rPr>
          <w:rFonts w:ascii="Times New Roman" w:hAnsi="Times New Roman"/>
          <w:b/>
          <w:bCs/>
        </w:rPr>
        <w:t xml:space="preserve">Tableau II.2 — Récapitulatif des matériels du prototype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Composant</w:t>
            </w:r>
          </w:p>
        </w:tc>
        <w:tc>
          <w:tcPr/>
          <w:p>
            <w:pPr>
              <w:pStyle w:val="Compact"/>
            </w:pPr>
            <w:r>
              <w:rPr>
                <w:rFonts w:ascii="Times New Roman" w:hAnsi="Times New Roman"/>
                <w:b/>
                <w:sz w:val="20"/>
              </w:rPr>
              <w:t xml:space="preserve">Référence / Spécification</w:t>
            </w:r>
          </w:p>
        </w:tc>
        <w:tc>
          <w:tcPr/>
          <w:p>
            <w:pPr>
              <w:pStyle w:val="Compact"/>
            </w:pPr>
            <w:r>
              <w:rPr>
                <w:rFonts w:ascii="Times New Roman" w:hAnsi="Times New Roman"/>
                <w:b/>
                <w:sz w:val="20"/>
              </w:rPr>
              <w:t xml:space="preserve">Rôle</w:t>
            </w:r>
          </w:p>
        </w:tc>
      </w:tr>
      <w:tr>
        <w:tc>
          <w:tcPr/>
          <w:p>
            <w:pPr>
              <w:pStyle w:val="Compact"/>
            </w:pPr>
            <w:r>
              <w:rPr>
                <w:rFonts w:ascii="Times New Roman" w:hAnsi="Times New Roman"/>
                <w:sz w:val="20"/>
              </w:rPr>
              <w:t xml:space="preserve">Microcontrôleur</w:t>
            </w:r>
          </w:p>
        </w:tc>
        <w:tc>
          <w:tcPr/>
          <w:p>
            <w:pPr>
              <w:pStyle w:val="Compact"/>
            </w:pPr>
            <w:r>
              <w:rPr>
                <w:rFonts w:ascii="Times New Roman" w:hAnsi="Times New Roman"/>
                <w:sz w:val="20"/>
              </w:rPr>
              <w:t xml:space="preserve">ESP32 DevKit V1</w:t>
            </w:r>
          </w:p>
        </w:tc>
        <w:tc>
          <w:tcPr/>
          <w:p>
            <w:pPr>
              <w:pStyle w:val="Compact"/>
            </w:pPr>
            <w:r>
              <w:rPr>
                <w:rFonts w:ascii="Times New Roman" w:hAnsi="Times New Roman"/>
                <w:sz w:val="20"/>
              </w:rPr>
              <w:t xml:space="preserve">Acquisition, traitement, deep sleep</w:t>
            </w:r>
          </w:p>
        </w:tc>
      </w:tr>
      <w:tr>
        <w:tc>
          <w:tcPr/>
          <w:p>
            <w:pPr>
              <w:pStyle w:val="Compact"/>
            </w:pPr>
            <w:r>
              <w:rPr>
                <w:rFonts w:ascii="Times New Roman" w:hAnsi="Times New Roman"/>
                <w:sz w:val="20"/>
              </w:rPr>
              <w:t xml:space="preserve">Amplificateur ADC</w:t>
            </w:r>
          </w:p>
        </w:tc>
        <w:tc>
          <w:tcPr/>
          <w:p>
            <w:pPr>
              <w:pStyle w:val="Compact"/>
            </w:pPr>
            <w:r>
              <w:rPr>
                <w:rFonts w:ascii="Times New Roman" w:hAnsi="Times New Roman"/>
                <w:sz w:val="20"/>
              </w:rPr>
              <w:t xml:space="preserve">HX711 24 bits, gain 128</w:t>
            </w:r>
          </w:p>
        </w:tc>
        <w:tc>
          <w:tcPr/>
          <w:p>
            <w:pPr>
              <w:pStyle w:val="Compact"/>
            </w:pPr>
            <w:r>
              <w:rPr>
                <w:rFonts w:ascii="Times New Roman" w:hAnsi="Times New Roman"/>
                <w:sz w:val="20"/>
              </w:rPr>
              <w:t xml:space="preserve">Conversion pont Wheatstone → code numérique</w:t>
            </w:r>
          </w:p>
        </w:tc>
      </w:tr>
      <w:tr>
        <w:tc>
          <w:tcPr/>
          <w:p>
            <w:pPr>
              <w:pStyle w:val="Compact"/>
            </w:pPr>
            <w:r>
              <w:rPr>
                <w:rFonts w:ascii="Times New Roman" w:hAnsi="Times New Roman"/>
                <w:sz w:val="20"/>
              </w:rPr>
              <w:t xml:space="preserve">Capteur de température</w:t>
            </w:r>
          </w:p>
        </w:tc>
        <w:tc>
          <w:tcPr/>
          <w:p>
            <w:pPr>
              <w:pStyle w:val="Compact"/>
            </w:pPr>
            <w:r>
              <w:rPr>
                <w:rFonts w:ascii="Times New Roman" w:hAnsi="Times New Roman"/>
                <w:sz w:val="20"/>
              </w:rPr>
              <w:t xml:space="preserve">DS18B20, bus 1-Wire, résolution 12 bits</w:t>
            </w:r>
          </w:p>
        </w:tc>
        <w:tc>
          <w:tcPr/>
          <w:p>
            <w:pPr>
              <w:pStyle w:val="Compact"/>
            </w:pPr>
            <w:r>
              <w:rPr>
                <w:rFonts w:ascii="Times New Roman" w:hAnsi="Times New Roman"/>
                <w:sz w:val="20"/>
              </w:rPr>
              <w:t xml:space="preserve">Mesure température pour compensation thermique</w:t>
            </w:r>
          </w:p>
        </w:tc>
      </w:tr>
      <w:tr>
        <w:tc>
          <w:tcPr/>
          <w:p>
            <w:pPr>
              <w:pStyle w:val="Compact"/>
            </w:pPr>
            <w:r>
              <w:rPr>
                <w:rFonts w:ascii="Times New Roman" w:hAnsi="Times New Roman"/>
                <w:sz w:val="20"/>
              </w:rPr>
              <w:t xml:space="preserve">Fil ER actif</w:t>
            </w:r>
          </w:p>
        </w:tc>
        <w:tc>
          <w:tcPr/>
          <w:p>
            <w:pPr>
              <w:pStyle w:val="Compact"/>
            </w:pPr>
            <w:r>
              <w:rPr>
                <w:rFonts w:ascii="Times New Roman" w:hAnsi="Times New Roman"/>
                <w:sz w:val="20"/>
              </w:rPr>
              <w:t xml:space="preserve">Fil de fer recuit, Ø ≈ 0,3 mm</w:t>
            </w:r>
          </w:p>
        </w:tc>
        <w:tc>
          <w:tcPr/>
          <w:p>
            <w:pPr>
              <w:pStyle w:val="Compact"/>
            </w:pPr>
            <w:r>
              <w:rPr>
                <w:rFonts w:ascii="Times New Roman" w:hAnsi="Times New Roman"/>
                <w:sz w:val="20"/>
              </w:rPr>
              <w:t xml:space="preserve">Élément corrodable de la sonde</w:t>
            </w:r>
          </w:p>
        </w:tc>
      </w:tr>
      <w:tr>
        <w:tc>
          <w:tcPr/>
          <w:p>
            <w:pPr>
              <w:pStyle w:val="Compact"/>
            </w:pPr>
            <w:r>
              <w:rPr>
                <w:rFonts w:ascii="Times New Roman" w:hAnsi="Times New Roman"/>
                <w:sz w:val="20"/>
              </w:rPr>
              <w:t xml:space="preserve">Résistances du pont</w:t>
            </w:r>
          </w:p>
        </w:tc>
        <w:tc>
          <w:tcPr/>
          <w:p>
            <w:pPr>
              <w:pStyle w:val="Compact"/>
            </w:pPr>
            <w:r>
              <w:rPr>
                <w:rFonts w:ascii="Times New Roman" w:hAnsi="Times New Roman"/>
                <w:sz w:val="20"/>
              </w:rPr>
              <w:t xml:space="preserve">R1 = R2 = 10 Ω, précision 1 %</w:t>
            </w:r>
          </w:p>
        </w:tc>
        <w:tc>
          <w:tcPr/>
          <w:p>
            <w:pPr>
              <w:pStyle w:val="Compact"/>
            </w:pPr>
            <w:r>
              <w:rPr>
                <w:rFonts w:ascii="Times New Roman" w:hAnsi="Times New Roman"/>
                <w:sz w:val="20"/>
              </w:rPr>
              <w:t xml:space="preserve">Bras de référence du pont</w:t>
            </w:r>
          </w:p>
        </w:tc>
      </w:tr>
      <w:tr>
        <w:tc>
          <w:tcPr/>
          <w:p>
            <w:pPr>
              <w:pStyle w:val="Compact"/>
            </w:pPr>
            <w:r>
              <w:rPr>
                <w:rFonts w:ascii="Times New Roman" w:hAnsi="Times New Roman"/>
                <w:sz w:val="20"/>
              </w:rPr>
              <w:t xml:space="preserve">Résistance de référence</w:t>
            </w:r>
          </w:p>
        </w:tc>
        <w:tc>
          <w:tcPr/>
          <w:p>
            <w:pPr>
              <w:pStyle w:val="Compact"/>
            </w:pPr>
            <w:r>
              <w:rPr>
                <w:rFonts w:ascii="Times New Roman" w:hAnsi="Times New Roman"/>
                <w:sz w:val="20"/>
              </w:rPr>
              <w:t xml:space="preserve">R_REF = 0,5 Ω, précision 1 %</w:t>
            </w:r>
          </w:p>
        </w:tc>
        <w:tc>
          <w:tcPr/>
          <w:p>
            <w:pPr>
              <w:pStyle w:val="Compact"/>
            </w:pPr>
            <w:r>
              <w:rPr>
                <w:rFonts w:ascii="Times New Roman" w:hAnsi="Times New Roman"/>
                <w:sz w:val="20"/>
              </w:rPr>
              <w:t xml:space="preserve">Bras actif de référence</w:t>
            </w:r>
          </w:p>
        </w:tc>
      </w:tr>
      <w:tr>
        <w:tc>
          <w:tcPr/>
          <w:p>
            <w:pPr>
              <w:pStyle w:val="Compact"/>
            </w:pPr>
            <w:r>
              <w:rPr>
                <w:rFonts w:ascii="Times New Roman" w:hAnsi="Times New Roman"/>
                <w:sz w:val="20"/>
              </w:rPr>
              <w:t xml:space="preserve">Résistance série</w:t>
            </w:r>
          </w:p>
        </w:tc>
        <w:tc>
          <w:tcPr/>
          <w:p>
            <w:pPr>
              <w:pStyle w:val="Compact"/>
            </w:pPr>
            <w:r>
              <w:rPr>
                <w:rFonts w:ascii="Times New Roman" w:hAnsi="Times New Roman"/>
                <w:sz w:val="20"/>
              </w:rPr>
              <w:t xml:space="preserve">R_SERIE = 100 Ω, précision 1 %</w:t>
            </w:r>
          </w:p>
        </w:tc>
        <w:tc>
          <w:tcPr/>
          <w:p>
            <w:pPr>
              <w:pStyle w:val="Compact"/>
            </w:pPr>
            <w:r>
              <w:rPr>
                <w:rFonts w:ascii="Times New Roman" w:hAnsi="Times New Roman"/>
                <w:sz w:val="20"/>
              </w:rPr>
              <w:t xml:space="preserve">Limitation du courant sur le pont</w:t>
            </w:r>
          </w:p>
        </w:tc>
      </w:tr>
      <w:tr>
        <w:tc>
          <w:tcPr/>
          <w:p>
            <w:pPr>
              <w:pStyle w:val="Compact"/>
            </w:pPr>
            <w:r>
              <w:rPr>
                <w:rFonts w:ascii="Times New Roman" w:hAnsi="Times New Roman"/>
                <w:sz w:val="20"/>
              </w:rPr>
              <w:t xml:space="preserve">Pull-up DS18B20</w:t>
            </w:r>
          </w:p>
        </w:tc>
        <w:tc>
          <w:tcPr/>
          <w:p>
            <w:pPr>
              <w:pStyle w:val="Compact"/>
            </w:pPr>
            <w:r>
              <w:rPr>
                <w:rFonts w:ascii="Times New Roman" w:hAnsi="Times New Roman"/>
                <w:sz w:val="20"/>
              </w:rPr>
              <w:t xml:space="preserve">4,7 kΩ</w:t>
            </w:r>
          </w:p>
        </w:tc>
        <w:tc>
          <w:tcPr/>
          <w:p>
            <w:pPr>
              <w:pStyle w:val="Compact"/>
            </w:pPr>
            <w:r>
              <w:rPr>
                <w:rFonts w:ascii="Times New Roman" w:hAnsi="Times New Roman"/>
                <w:sz w:val="20"/>
              </w:rPr>
              <w:t xml:space="preserve">Bus 1-Wire</w:t>
            </w:r>
          </w:p>
        </w:tc>
      </w:tr>
      <w:tr>
        <w:tc>
          <w:tcPr/>
          <w:p>
            <w:pPr>
              <w:pStyle w:val="Compact"/>
            </w:pPr>
            <w:r>
              <w:rPr>
                <w:rFonts w:ascii="Times New Roman" w:hAnsi="Times New Roman"/>
                <w:sz w:val="20"/>
              </w:rPr>
              <w:t xml:space="preserve">Cellule de corrosion</w:t>
            </w:r>
          </w:p>
        </w:tc>
        <w:tc>
          <w:tcPr/>
          <w:p>
            <w:pPr>
              <w:pStyle w:val="Compact"/>
            </w:pPr>
            <w:r>
              <w:rPr>
                <w:rFonts w:ascii="Times New Roman" w:hAnsi="Times New Roman"/>
                <w:sz w:val="20"/>
              </w:rPr>
              <w:t xml:space="preserve">Récipient HDPE 2 L</w:t>
            </w:r>
          </w:p>
        </w:tc>
        <w:tc>
          <w:tcPr/>
          <w:p>
            <w:pPr>
              <w:pStyle w:val="Compact"/>
            </w:pPr>
            <w:r>
              <w:rPr>
                <w:rFonts w:ascii="Times New Roman" w:hAnsi="Times New Roman"/>
                <w:sz w:val="20"/>
              </w:rPr>
              <w:t xml:space="preserve">Contenant le milieu corrosif</w:t>
            </w:r>
          </w:p>
        </w:tc>
      </w:tr>
      <w:tr>
        <w:tc>
          <w:tcPr/>
          <w:p>
            <w:pPr>
              <w:pStyle w:val="Compact"/>
            </w:pPr>
            <w:r>
              <w:rPr>
                <w:rFonts w:ascii="Times New Roman" w:hAnsi="Times New Roman"/>
                <w:sz w:val="20"/>
              </w:rPr>
              <w:t xml:space="preserve">Milieu corrosif</w:t>
            </w:r>
          </w:p>
        </w:tc>
        <w:tc>
          <w:tcPr/>
          <w:p>
            <w:pPr>
              <w:pStyle w:val="Compact"/>
            </w:pPr>
            <w:r>
              <w:rPr>
                <w:rFonts w:ascii="Times New Roman" w:hAnsi="Times New Roman"/>
                <w:sz w:val="20"/>
              </w:rPr>
              <w:t xml:space="preserve">Detar Plus (concentré, non dilué)</w:t>
            </w:r>
          </w:p>
        </w:tc>
        <w:tc>
          <w:tcPr/>
          <w:p>
            <w:pPr>
              <w:pStyle w:val="Compact"/>
            </w:pPr>
            <w:r>
              <w:rPr>
                <w:rFonts w:ascii="Times New Roman" w:hAnsi="Times New Roman"/>
                <w:sz w:val="20"/>
              </w:rPr>
              <w:t xml:space="preserve">Environnement corrosif multi-acide, pH ≈ 1</w:t>
            </w:r>
          </w:p>
        </w:tc>
      </w:tr>
      <w:tr>
        <w:tc>
          <w:tcPr/>
          <w:p>
            <w:pPr>
              <w:pStyle w:val="Compact"/>
            </w:pPr>
            <w:r>
              <w:rPr>
                <w:rFonts w:ascii="Times New Roman" w:hAnsi="Times New Roman"/>
                <w:sz w:val="20"/>
              </w:rPr>
              <w:t xml:space="preserve">Inhibiteur</w:t>
            </w:r>
          </w:p>
        </w:tc>
        <w:tc>
          <w:tcPr/>
          <w:p>
            <w:pPr>
              <w:pStyle w:val="Compact"/>
            </w:pPr>
            <w:r>
              <w:rPr>
                <w:rFonts w:ascii="Times New Roman" w:hAnsi="Times New Roman"/>
                <w:sz w:val="20"/>
              </w:rPr>
              <w:t xml:space="preserve">AC PROTECT 106 (imidazoline)</w:t>
            </w:r>
          </w:p>
        </w:tc>
        <w:tc>
          <w:tcPr/>
          <w:p>
            <w:pPr>
              <w:pStyle w:val="Compact"/>
            </w:pPr>
            <w:r>
              <w:rPr>
                <w:rFonts w:ascii="Times New Roman" w:hAnsi="Times New Roman"/>
                <w:sz w:val="20"/>
              </w:rPr>
              <w:t xml:space="preserve">Évaluation de l’inhibition, runs 3 et 4</w:t>
            </w:r>
          </w:p>
        </w:tc>
      </w:tr>
      <w:tr>
        <w:tc>
          <w:tcPr/>
          <w:p>
            <w:pPr>
              <w:pStyle w:val="Compact"/>
            </w:pPr>
            <w:r>
              <w:rPr>
                <w:rFonts w:ascii="Times New Roman" w:hAnsi="Times New Roman"/>
                <w:sz w:val="20"/>
              </w:rPr>
              <w:t xml:space="preserve">pH-mètre papier</w:t>
            </w:r>
          </w:p>
        </w:tc>
        <w:tc>
          <w:tcPr/>
          <w:p>
            <w:pPr>
              <w:pStyle w:val="Compact"/>
            </w:pPr>
            <w:r>
              <w:rPr>
                <w:rFonts w:ascii="Times New Roman" w:hAnsi="Times New Roman"/>
                <w:sz w:val="20"/>
              </w:rPr>
              <w:t xml:space="preserve">Plages 0–14</w:t>
            </w:r>
          </w:p>
        </w:tc>
        <w:tc>
          <w:tcPr/>
          <w:p>
            <w:pPr>
              <w:pStyle w:val="Compact"/>
            </w:pPr>
            <w:r>
              <w:rPr>
                <w:rFonts w:ascii="Times New Roman" w:hAnsi="Times New Roman"/>
                <w:sz w:val="20"/>
              </w:rPr>
              <w:t xml:space="preserve">Vérification pH avant chaque run</w:t>
            </w:r>
          </w:p>
        </w:tc>
      </w:tr>
    </w:tbl>
    <w:p>
      <w:pPr>
        <w:pStyle w:val="BodyText"/>
      </w:pPr>
      <w:r>
        <w:rPr>
          <w:rFonts w:ascii="Times New Roman" w:hAnsi="Times New Roman"/>
          <w:b/>
          <w:bCs/>
        </w:rPr>
        <w:t xml:space="preserve">Tableau II.3 — Brochage ESP32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Signal</w:t>
            </w:r>
          </w:p>
        </w:tc>
        <w:tc>
          <w:tcPr/>
          <w:p>
            <w:pPr>
              <w:pStyle w:val="Compact"/>
            </w:pPr>
            <w:r>
              <w:rPr>
                <w:rFonts w:ascii="Times New Roman" w:hAnsi="Times New Roman"/>
                <w:b/>
                <w:sz w:val="20"/>
              </w:rPr>
              <w:t xml:space="preserve">Pin ESP32</w:t>
            </w:r>
          </w:p>
        </w:tc>
        <w:tc>
          <w:tcPr/>
          <w:p>
            <w:pPr>
              <w:pStyle w:val="Compact"/>
            </w:pPr>
            <w:r>
              <w:rPr>
                <w:rFonts w:ascii="Times New Roman" w:hAnsi="Times New Roman"/>
                <w:b/>
                <w:sz w:val="20"/>
              </w:rPr>
              <w:t xml:space="preserve">Description</w:t>
            </w:r>
          </w:p>
        </w:tc>
      </w:tr>
      <w:tr>
        <w:tc>
          <w:tcPr/>
          <w:p>
            <w:pPr>
              <w:pStyle w:val="Compact"/>
            </w:pPr>
            <w:r>
              <w:rPr>
                <w:rFonts w:ascii="Times New Roman" w:hAnsi="Times New Roman"/>
                <w:sz w:val="20"/>
              </w:rPr>
              <w:t xml:space="preserve">HX711 DOUT</w:t>
            </w:r>
          </w:p>
        </w:tc>
        <w:tc>
          <w:tcPr/>
          <w:p>
            <w:pPr>
              <w:pStyle w:val="Compact"/>
            </w:pPr>
            <w:r>
              <w:rPr>
                <w:rFonts w:ascii="Times New Roman" w:hAnsi="Times New Roman"/>
                <w:sz w:val="20"/>
              </w:rPr>
              <w:t xml:space="preserve">GPIO 21</w:t>
            </w:r>
          </w:p>
        </w:tc>
        <w:tc>
          <w:tcPr/>
          <w:p>
            <w:pPr>
              <w:pStyle w:val="Compact"/>
            </w:pPr>
            <w:r>
              <w:rPr>
                <w:rFonts w:ascii="Times New Roman" w:hAnsi="Times New Roman"/>
                <w:sz w:val="20"/>
              </w:rPr>
              <w:t xml:space="preserve">Données série HX711</w:t>
            </w:r>
          </w:p>
        </w:tc>
      </w:tr>
      <w:tr>
        <w:tc>
          <w:tcPr/>
          <w:p>
            <w:pPr>
              <w:pStyle w:val="Compact"/>
            </w:pPr>
            <w:r>
              <w:rPr>
                <w:rFonts w:ascii="Times New Roman" w:hAnsi="Times New Roman"/>
                <w:sz w:val="20"/>
              </w:rPr>
              <w:t xml:space="preserve">HX711 SCK</w:t>
            </w:r>
          </w:p>
        </w:tc>
        <w:tc>
          <w:tcPr/>
          <w:p>
            <w:pPr>
              <w:pStyle w:val="Compact"/>
            </w:pPr>
            <w:r>
              <w:rPr>
                <w:rFonts w:ascii="Times New Roman" w:hAnsi="Times New Roman"/>
                <w:sz w:val="20"/>
              </w:rPr>
              <w:t xml:space="preserve">GPIO 22</w:t>
            </w:r>
          </w:p>
        </w:tc>
        <w:tc>
          <w:tcPr/>
          <w:p>
            <w:pPr>
              <w:pStyle w:val="Compact"/>
            </w:pPr>
            <w:r>
              <w:rPr>
                <w:rFonts w:ascii="Times New Roman" w:hAnsi="Times New Roman"/>
                <w:sz w:val="20"/>
              </w:rPr>
              <w:t xml:space="preserve">Horloge HX711</w:t>
            </w:r>
          </w:p>
        </w:tc>
      </w:tr>
      <w:tr>
        <w:tc>
          <w:tcPr/>
          <w:p>
            <w:pPr>
              <w:pStyle w:val="Compact"/>
            </w:pPr>
            <w:r>
              <w:rPr>
                <w:rFonts w:ascii="Times New Roman" w:hAnsi="Times New Roman"/>
                <w:sz w:val="20"/>
              </w:rPr>
              <w:t xml:space="preserve">DS18B20 DQ</w:t>
            </w:r>
          </w:p>
        </w:tc>
        <w:tc>
          <w:tcPr/>
          <w:p>
            <w:pPr>
              <w:pStyle w:val="Compact"/>
            </w:pPr>
            <w:r>
              <w:rPr>
                <w:rFonts w:ascii="Times New Roman" w:hAnsi="Times New Roman"/>
                <w:sz w:val="20"/>
              </w:rPr>
              <w:t xml:space="preserve">GPIO 4</w:t>
            </w:r>
          </w:p>
        </w:tc>
        <w:tc>
          <w:tcPr/>
          <w:p>
            <w:pPr>
              <w:pStyle w:val="Compact"/>
            </w:pPr>
            <w:r>
              <w:rPr>
                <w:rFonts w:ascii="Times New Roman" w:hAnsi="Times New Roman"/>
                <w:sz w:val="20"/>
              </w:rPr>
              <w:t xml:space="preserve">Bus 1-Wire température</w:t>
            </w:r>
          </w:p>
        </w:tc>
      </w:tr>
    </w:tbl>
    <w:bookmarkEnd w:id="48"/>
    <w:bookmarkStart w:id="49" w:name="ii.2.2.-ressources-logicielles"/>
    <w:p>
      <w:pPr>
        <w:pStyle w:val="Heading3"/>
      </w:pPr>
      <w:r>
        <w:rPr>
          <w:rFonts w:ascii="Times New Roman" w:hAnsi="Times New Roman"/>
        </w:rPr>
        <w:t xml:space="preserve">II.2.2. Ressources logicielles</w:t>
      </w:r>
    </w:p>
    <w:p>
      <w:pPr>
        <w:pStyle w:val="FirstParagraph"/>
      </w:pPr>
      <w:r>
        <w:rPr>
          <w:rFonts w:ascii="Times New Roman" w:hAnsi="Times New Roman"/>
          <w:b/>
          <w:bCs/>
        </w:rPr>
        <w:t xml:space="preserve">Tableau II.4 — Logiciels et bibliothèques utilisés</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Logiciel / Bibliothèque</w:t>
            </w:r>
          </w:p>
        </w:tc>
        <w:tc>
          <w:tcPr/>
          <w:p>
            <w:pPr>
              <w:pStyle w:val="Compact"/>
            </w:pPr>
            <w:r>
              <w:rPr>
                <w:rFonts w:ascii="Times New Roman" w:hAnsi="Times New Roman"/>
                <w:b/>
                <w:sz w:val="20"/>
              </w:rPr>
              <w:t xml:space="preserve">Version</w:t>
            </w:r>
          </w:p>
        </w:tc>
        <w:tc>
          <w:tcPr/>
          <w:p>
            <w:pPr>
              <w:pStyle w:val="Compact"/>
            </w:pPr>
            <w:r>
              <w:rPr>
                <w:rFonts w:ascii="Times New Roman" w:hAnsi="Times New Roman"/>
                <w:b/>
                <w:sz w:val="20"/>
              </w:rPr>
              <w:t xml:space="preserve">Rôle</w:t>
            </w:r>
          </w:p>
        </w:tc>
      </w:tr>
      <w:tr>
        <w:tc>
          <w:tcPr/>
          <w:p>
            <w:pPr>
              <w:pStyle w:val="Compact"/>
            </w:pPr>
            <w:r>
              <w:rPr>
                <w:rFonts w:ascii="Times New Roman" w:hAnsi="Times New Roman"/>
                <w:sz w:val="20"/>
              </w:rPr>
              <w:t xml:space="preserve">Arduino IDE</w:t>
            </w:r>
          </w:p>
        </w:tc>
        <w:tc>
          <w:tcPr/>
          <w:p>
            <w:pPr>
              <w:pStyle w:val="Compact"/>
            </w:pPr>
            <w:r>
              <w:rPr>
                <w:rFonts w:ascii="Times New Roman" w:hAnsi="Times New Roman"/>
                <w:sz w:val="20"/>
              </w:rPr>
              <w:t xml:space="preserve">2.x</w:t>
            </w:r>
          </w:p>
        </w:tc>
        <w:tc>
          <w:tcPr/>
          <w:p>
            <w:pPr>
              <w:pStyle w:val="Compact"/>
            </w:pPr>
            <w:r>
              <w:rPr>
                <w:rFonts w:ascii="Times New Roman" w:hAnsi="Times New Roman"/>
                <w:sz w:val="20"/>
              </w:rPr>
              <w:t xml:space="preserve">Programmation firmware ESP32</w:t>
            </w:r>
          </w:p>
        </w:tc>
      </w:tr>
      <w:tr>
        <w:tc>
          <w:tcPr/>
          <w:p>
            <w:pPr>
              <w:pStyle w:val="Compact"/>
            </w:pPr>
            <w:r>
              <w:rPr>
                <w:rFonts w:ascii="Times New Roman" w:hAnsi="Times New Roman"/>
                <w:sz w:val="20"/>
              </w:rPr>
              <w:t xml:space="preserve">Bibliothèque HX711 (bogde)</w:t>
            </w:r>
          </w:p>
        </w:tc>
        <w:tc>
          <w:tcPr/>
          <w:p>
            <w:pPr>
              <w:pStyle w:val="Compact"/>
            </w:pPr>
            <w:r>
              <w:rPr>
                <w:rFonts w:ascii="Times New Roman" w:hAnsi="Times New Roman"/>
                <w:sz w:val="20"/>
              </w:rPr>
              <w:t xml:space="preserve">0.7.5</w:t>
            </w:r>
          </w:p>
        </w:tc>
        <w:tc>
          <w:tcPr/>
          <w:p>
            <w:pPr>
              <w:pStyle w:val="Compact"/>
            </w:pPr>
            <w:r>
              <w:rPr>
                <w:rFonts w:ascii="Times New Roman" w:hAnsi="Times New Roman"/>
                <w:sz w:val="20"/>
              </w:rPr>
              <w:t xml:space="preserve">Lecture HX711</w:t>
            </w:r>
          </w:p>
        </w:tc>
      </w:tr>
      <w:tr>
        <w:tc>
          <w:tcPr/>
          <w:p>
            <w:pPr>
              <w:pStyle w:val="Compact"/>
            </w:pPr>
            <w:r>
              <w:rPr>
                <w:rFonts w:ascii="Times New Roman" w:hAnsi="Times New Roman"/>
                <w:sz w:val="20"/>
              </w:rPr>
              <w:t xml:space="preserve">Bibliothèque DallasTemperature</w:t>
            </w:r>
          </w:p>
        </w:tc>
        <w:tc>
          <w:tcPr/>
          <w:p>
            <w:pPr>
              <w:pStyle w:val="Compact"/>
            </w:pPr>
            <w:r>
              <w:rPr>
                <w:rFonts w:ascii="Times New Roman" w:hAnsi="Times New Roman"/>
                <w:sz w:val="20"/>
              </w:rPr>
              <w:t xml:space="preserve">3.9.x</w:t>
            </w:r>
          </w:p>
        </w:tc>
        <w:tc>
          <w:tcPr/>
          <w:p>
            <w:pPr>
              <w:pStyle w:val="Compact"/>
            </w:pPr>
            <w:r>
              <w:rPr>
                <w:rFonts w:ascii="Times New Roman" w:hAnsi="Times New Roman"/>
                <w:sz w:val="20"/>
              </w:rPr>
              <w:t xml:space="preserve">Lecture DS18B20</w:t>
            </w:r>
          </w:p>
        </w:tc>
      </w:tr>
      <w:tr>
        <w:tc>
          <w:tcPr/>
          <w:p>
            <w:pPr>
              <w:pStyle w:val="Compact"/>
            </w:pPr>
            <w:r>
              <w:rPr>
                <w:rFonts w:ascii="Times New Roman" w:hAnsi="Times New Roman"/>
                <w:sz w:val="20"/>
              </w:rPr>
              <w:t xml:space="preserve">Python</w:t>
            </w:r>
          </w:p>
        </w:tc>
        <w:tc>
          <w:tcPr/>
          <w:p>
            <w:pPr>
              <w:pStyle w:val="Compact"/>
            </w:pPr>
            <w:r>
              <w:rPr>
                <w:rFonts w:ascii="Times New Roman" w:hAnsi="Times New Roman"/>
                <w:sz w:val="20"/>
              </w:rPr>
              <w:t xml:space="preserve">3.10</w:t>
            </w:r>
          </w:p>
        </w:tc>
        <w:tc>
          <w:tcPr/>
          <w:p>
            <w:pPr>
              <w:pStyle w:val="Compact"/>
            </w:pPr>
            <w:r>
              <w:rPr>
                <w:rFonts w:ascii="Times New Roman" w:hAnsi="Times New Roman"/>
                <w:sz w:val="20"/>
              </w:rPr>
              <w:t xml:space="preserve">Pipeline de traitement et ML</w:t>
            </w:r>
          </w:p>
        </w:tc>
      </w:tr>
      <w:tr>
        <w:tc>
          <w:tcPr/>
          <w:p>
            <w:pPr>
              <w:pStyle w:val="Compact"/>
            </w:pPr>
            <w:r>
              <w:rPr>
                <w:rFonts w:ascii="Times New Roman" w:hAnsi="Times New Roman"/>
                <w:sz w:val="20"/>
              </w:rPr>
              <w:t xml:space="preserve">Pandas</w:t>
            </w:r>
          </w:p>
        </w:tc>
        <w:tc>
          <w:tcPr/>
          <w:p>
            <w:pPr>
              <w:pStyle w:val="Compact"/>
            </w:pPr>
            <w:r>
              <w:rPr>
                <w:rFonts w:ascii="Times New Roman" w:hAnsi="Times New Roman"/>
                <w:sz w:val="20"/>
              </w:rPr>
              <w:t xml:space="preserve">2.x</w:t>
            </w:r>
          </w:p>
        </w:tc>
        <w:tc>
          <w:tcPr/>
          <w:p>
            <w:pPr>
              <w:pStyle w:val="Compact"/>
            </w:pPr>
            <w:r>
              <w:rPr>
                <w:rFonts w:ascii="Times New Roman" w:hAnsi="Times New Roman"/>
                <w:sz w:val="20"/>
              </w:rPr>
              <w:t xml:space="preserve">Manipulation des séries temporelles</w:t>
            </w:r>
          </w:p>
        </w:tc>
      </w:tr>
      <w:tr>
        <w:tc>
          <w:tcPr/>
          <w:p>
            <w:pPr>
              <w:pStyle w:val="Compact"/>
            </w:pPr>
            <w:r>
              <w:rPr>
                <w:rFonts w:ascii="Times New Roman" w:hAnsi="Times New Roman"/>
                <w:sz w:val="20"/>
              </w:rPr>
              <w:t xml:space="preserve">SciPy (savgol_filter)</w:t>
            </w:r>
          </w:p>
        </w:tc>
        <w:tc>
          <w:tcPr/>
          <w:p>
            <w:pPr>
              <w:pStyle w:val="Compact"/>
            </w:pPr>
            <w:r>
              <w:rPr>
                <w:rFonts w:ascii="Times New Roman" w:hAnsi="Times New Roman"/>
                <w:sz w:val="20"/>
              </w:rPr>
              <w:t xml:space="preserve">1.x</w:t>
            </w:r>
          </w:p>
        </w:tc>
        <w:tc>
          <w:tcPr/>
          <w:p>
            <w:pPr>
              <w:pStyle w:val="Compact"/>
            </w:pPr>
            <w:r>
              <w:rPr>
                <w:rFonts w:ascii="Times New Roman" w:hAnsi="Times New Roman"/>
                <w:sz w:val="20"/>
              </w:rPr>
              <w:t xml:space="preserve">Lissage Savitzky-Golay</w:t>
            </w:r>
          </w:p>
        </w:tc>
      </w:tr>
      <w:tr>
        <w:tc>
          <w:tcPr/>
          <w:p>
            <w:pPr>
              <w:pStyle w:val="Compact"/>
            </w:pPr>
            <w:r>
              <w:rPr>
                <w:rFonts w:ascii="Times New Roman" w:hAnsi="Times New Roman"/>
                <w:sz w:val="20"/>
              </w:rPr>
              <w:t xml:space="preserve">XGBoost</w:t>
            </w:r>
          </w:p>
        </w:tc>
        <w:tc>
          <w:tcPr/>
          <w:p>
            <w:pPr>
              <w:pStyle w:val="Compact"/>
            </w:pPr>
            <w:r>
              <w:rPr>
                <w:rFonts w:ascii="Times New Roman" w:hAnsi="Times New Roman"/>
                <w:sz w:val="20"/>
              </w:rPr>
              <w:t xml:space="preserve">2.x</w:t>
            </w:r>
          </w:p>
        </w:tc>
        <w:tc>
          <w:tcPr/>
          <w:p>
            <w:pPr>
              <w:pStyle w:val="Compact"/>
            </w:pPr>
            <w:r>
              <w:rPr>
                <w:rFonts w:ascii="Times New Roman" w:hAnsi="Times New Roman"/>
                <w:sz w:val="20"/>
              </w:rPr>
              <w:t xml:space="preserve">Entraînement du modèle prédictif</w:t>
            </w:r>
          </w:p>
        </w:tc>
      </w:tr>
      <w:tr>
        <w:tc>
          <w:tcPr/>
          <w:p>
            <w:pPr>
              <w:pStyle w:val="Compact"/>
            </w:pPr>
            <w:r>
              <w:rPr>
                <w:rFonts w:ascii="Times New Roman" w:hAnsi="Times New Roman"/>
                <w:sz w:val="20"/>
              </w:rPr>
              <w:t xml:space="preserve">Scikit-learn</w:t>
            </w:r>
          </w:p>
        </w:tc>
        <w:tc>
          <w:tcPr/>
          <w:p>
            <w:pPr>
              <w:pStyle w:val="Compact"/>
            </w:pPr>
            <w:r>
              <w:rPr>
                <w:rFonts w:ascii="Times New Roman" w:hAnsi="Times New Roman"/>
                <w:sz w:val="20"/>
              </w:rPr>
              <w:t xml:space="preserve">1.x</w:t>
            </w:r>
          </w:p>
        </w:tc>
        <w:tc>
          <w:tcPr/>
          <w:p>
            <w:pPr>
              <w:pStyle w:val="Compact"/>
            </w:pPr>
            <w:r>
              <w:rPr>
                <w:rFonts w:ascii="Times New Roman" w:hAnsi="Times New Roman"/>
                <w:sz w:val="20"/>
              </w:rPr>
              <w:t xml:space="preserve">Validation croisée TimeSeriesSplit</w:t>
            </w:r>
          </w:p>
        </w:tc>
      </w:tr>
      <w:tr>
        <w:tc>
          <w:tcPr/>
          <w:p>
            <w:pPr>
              <w:pStyle w:val="Compact"/>
            </w:pPr>
            <w:r>
              <w:rPr>
                <w:rFonts w:ascii="Times New Roman" w:hAnsi="Times New Roman"/>
                <w:sz w:val="20"/>
              </w:rPr>
              <w:t xml:space="preserve">SHAP</w:t>
            </w:r>
          </w:p>
        </w:tc>
        <w:tc>
          <w:tcPr/>
          <w:p>
            <w:pPr>
              <w:pStyle w:val="Compact"/>
            </w:pPr>
            <w:r>
              <w:rPr>
                <w:rFonts w:ascii="Times New Roman" w:hAnsi="Times New Roman"/>
                <w:sz w:val="20"/>
              </w:rPr>
              <w:t xml:space="preserve">0.43.x</w:t>
            </w:r>
          </w:p>
        </w:tc>
        <w:tc>
          <w:tcPr/>
          <w:p>
            <w:pPr>
              <w:pStyle w:val="Compact"/>
            </w:pPr>
            <w:r>
              <w:rPr>
                <w:rFonts w:ascii="Times New Roman" w:hAnsi="Times New Roman"/>
                <w:sz w:val="20"/>
              </w:rPr>
              <w:t xml:space="preserve">Interprétabilité du modèle</w:t>
            </w:r>
          </w:p>
        </w:tc>
      </w:tr>
      <w:tr>
        <w:tc>
          <w:tcPr/>
          <w:p>
            <w:pPr>
              <w:pStyle w:val="Compact"/>
            </w:pPr>
            <w:r>
              <w:rPr>
                <w:rFonts w:ascii="Times New Roman" w:hAnsi="Times New Roman"/>
                <w:sz w:val="20"/>
              </w:rPr>
              <w:t xml:space="preserve">Matplotlib / Seaborn</w:t>
            </w:r>
          </w:p>
        </w:tc>
        <w:tc>
          <w:tcPr/>
          <w:p>
            <w:pPr>
              <w:pStyle w:val="Compact"/>
            </w:pPr>
            <w:r>
              <w:rPr>
                <w:rFonts w:ascii="Times New Roman" w:hAnsi="Times New Roman"/>
                <w:sz w:val="20"/>
              </w:rPr>
              <w:t xml:space="preserve">—</w:t>
            </w:r>
          </w:p>
        </w:tc>
        <w:tc>
          <w:tcPr/>
          <w:p>
            <w:pPr>
              <w:pStyle w:val="Compact"/>
            </w:pPr>
            <w:r>
              <w:rPr>
                <w:rFonts w:ascii="Times New Roman" w:hAnsi="Times New Roman"/>
                <w:sz w:val="20"/>
              </w:rPr>
              <w:t xml:space="preserve">Visualisation des résultats</w:t>
            </w:r>
          </w:p>
        </w:tc>
      </w:tr>
    </w:tbl>
    <w:p>
      <w:r>
        <w:rPr>
          <w:rFonts w:ascii="Times New Roman" w:hAnsi="Times New Roman"/>
        </w:rPr>
        <w:pict>
          <v:rect style="width:0;height:1.5pt" o:hralign="center" o:hrstd="t" o:hr="t"/>
        </w:pict>
      </w:r>
    </w:p>
    <w:bookmarkEnd w:id="49"/>
    <w:bookmarkEnd w:id="50"/>
    <w:bookmarkStart w:id="55" w:name="Xb8756b2cbb987891d34382113a22d7d2a8536c3"/>
    <w:p>
      <w:pPr>
        <w:pStyle w:val="Heading2"/>
      </w:pPr>
      <w:r>
        <w:rPr>
          <w:rFonts w:ascii="Times New Roman" w:hAnsi="Times New Roman"/>
        </w:rPr>
        <w:t xml:space="preserve">II.3. Méthodes d’acquisition et de traitement des données</w:t>
      </w:r>
    </w:p>
    <w:bookmarkStart w:id="51" w:name="ii.3.1.-format-des-données-acquises"/>
    <w:p>
      <w:pPr>
        <w:pStyle w:val="Heading3"/>
      </w:pPr>
      <w:r>
        <w:rPr>
          <w:rFonts w:ascii="Times New Roman" w:hAnsi="Times New Roman"/>
        </w:rPr>
        <w:t xml:space="preserve">II.3.1. Format des données acquises</w:t>
      </w:r>
    </w:p>
    <w:p>
      <w:pPr>
        <w:pStyle w:val="FirstParagraph"/>
      </w:pPr>
      <w:r>
        <w:rPr>
          <w:rFonts w:ascii="Times New Roman" w:hAnsi="Times New Roman"/>
        </w:rPr>
        <w:t xml:space="preserve">Le firmware ESP32 produit un fichier CSV au format suivant (115 200 baud) :</w:t>
      </w:r>
    </w:p>
    <w:p>
      <w:pPr>
        <w:pStyle w:val="SourceCode"/>
      </w:pPr>
      <w:r>
        <w:rPr>
          <w:rStyle w:val="VerbatimChar"/>
          <w:rFonts w:ascii="Times New Roman" w:hAnsi="Times New Roman"/>
        </w:rPr>
        <w:t xml:space="preserve">Timestamp_s;Vdiff_V;Rx_Ohm;Temp_C;DeltaR_Ohm_per_h</w:t>
      </w:r>
      <w:r>
        <w:rPr>
          <w:rFonts w:ascii="Times New Roman" w:hAnsi="Times New Roman"/>
        </w:rPr>
        <w:br/>
      </w:r>
      <w:r>
        <w:rPr>
          <w:rStyle w:val="VerbatimChar"/>
          <w:rFonts w:ascii="Times New Roman" w:hAnsi="Times New Roman"/>
        </w:rPr>
        <w:t xml:space="preserve">600;-0.00000123;0.132156;26.44;0.00000000</w:t>
      </w:r>
      <w:r>
        <w:rPr>
          <w:rFonts w:ascii="Times New Roman" w:hAnsi="Times New Roman"/>
        </w:rPr>
        <w:br/>
      </w:r>
      <w:r>
        <w:rPr>
          <w:rStyle w:val="VerbatimChar"/>
          <w:rFonts w:ascii="Times New Roman" w:hAnsi="Times New Roman"/>
        </w:rPr>
        <w:t xml:space="preserve">1200;-0.00000118;0.132201;26.50;0.00027000</w:t>
      </w:r>
      <w:r>
        <w:rPr>
          <w:rFonts w:ascii="Times New Roman" w:hAnsi="Times New Roman"/>
        </w:rPr>
        <w:br/>
      </w:r>
      <w:r>
        <w:rPr>
          <w:rStyle w:val="VerbatimChar"/>
          <w:rFonts w:ascii="Times New Roman" w:hAnsi="Times New Roman"/>
        </w:rPr>
        <w:t xml:space="preserve">...</w:t>
      </w:r>
    </w:p>
    <w:p>
      <w:pPr>
        <w:pStyle w:val="FirstParagraph"/>
      </w:pPr>
      <w:r>
        <w:rPr>
          <w:rFonts w:ascii="Times New Roman" w:hAnsi="Times New Roman"/>
        </w:rPr>
        <w:t xml:space="preserve">Une mesure est émise toutes les 600 secondes (10 minutes). Pour un run de 48 heures, cela représente 288 points de mesure.</w:t>
      </w:r>
    </w:p>
    <w:bookmarkEnd w:id="51"/>
    <w:bookmarkStart w:id="52" w:name="ii.3.2.-nettoyage-du-signal"/>
    <w:p>
      <w:pPr>
        <w:pStyle w:val="Heading3"/>
      </w:pPr>
      <w:r>
        <w:rPr>
          <w:rFonts w:ascii="Times New Roman" w:hAnsi="Times New Roman"/>
        </w:rPr>
        <w:t xml:space="preserve">II.3.2. Nettoyage du signal</w:t>
      </w:r>
    </w:p>
    <w:p>
      <w:pPr>
        <w:pStyle w:val="FirstParagraph"/>
      </w:pPr>
      <w:r>
        <w:rPr>
          <w:rFonts w:ascii="Times New Roman" w:hAnsi="Times New Roman"/>
        </w:rPr>
        <w:t xml:space="preserve">Le traitement suit deux étapes successives :</w:t>
      </w:r>
    </w:p>
    <w:p>
      <w:pPr>
        <w:pStyle w:val="BodyText"/>
      </w:pPr>
      <w:r>
        <w:rPr>
          <w:rFonts w:ascii="Times New Roman" w:hAnsi="Times New Roman"/>
          <w:b/>
          <w:bCs/>
        </w:rPr>
        <w:t xml:space="preserve">Étape 1 — Suppression des outliers par méthode IQR :</w:t>
      </w:r>
      <w:r>
        <w:rPr>
          <w:rFonts w:ascii="Times New Roman" w:hAnsi="Times New Roman"/>
        </w:rPr>
        <w:t xml:space="preserve"> </w:t>
      </w:r>
      <w:r>
        <w:rPr>
          <w:rFonts w:ascii="Times New Roman" w:hAnsi="Times New Roman"/>
        </w:rPr>
        <w:t xml:space="preserve">Les points situés hors de l’intervalle [Q5 − 3×IQR ; Q95 + 3×IQR] sont supprimés. Ce seuil large préserve la dynamique de dégradation tout en éliminant les artefacts transitoires du HX711 lors du réveil de l’ESP32.</w:t>
      </w:r>
    </w:p>
    <w:p>
      <w:pPr>
        <w:pStyle w:val="BodyText"/>
      </w:pPr>
      <w:r>
        <w:rPr>
          <w:rFonts w:ascii="Times New Roman" w:hAnsi="Times New Roman"/>
          <w:b/>
          <w:bCs/>
        </w:rPr>
        <w:t xml:space="preserve">Étape 2 — Lissage Savitzky-Golay :</w:t>
      </w:r>
      <w:r>
        <w:rPr>
          <w:rFonts w:ascii="Times New Roman" w:hAnsi="Times New Roman"/>
        </w:rPr>
        <w:t xml:space="preserve"> </w:t>
      </w:r>
      <w:r>
        <w:rPr>
          <w:rFonts w:ascii="Times New Roman" w:hAnsi="Times New Roman"/>
        </w:rPr>
        <w:t xml:space="preserve">Un filtre polynomial d’ordre 2 sur une fenêtre glissante de 5 points est appliqué. Ce filtre préserve mieux les pentes de corrosion qu’une moyenne mobile simple — propriété essentielle pour le calcul précis de dr/dt.</w:t>
      </w:r>
    </w:p>
    <w:bookmarkEnd w:id="52"/>
    <w:bookmarkStart w:id="53" w:name="ii.3.3.-compensation-thermique"/>
    <w:p>
      <w:pPr>
        <w:pStyle w:val="Heading3"/>
      </w:pPr>
      <w:r>
        <w:rPr>
          <w:rFonts w:ascii="Times New Roman" w:hAnsi="Times New Roman"/>
        </w:rPr>
        <w:t xml:space="preserve">II.3.3. Compensation thermique</w:t>
      </w:r>
    </w:p>
    <w:p>
      <w:pPr>
        <w:pStyle w:val="FirstParagraph"/>
      </w:pPr>
      <w:r>
        <w:rPr>
          <w:rFonts w:ascii="Times New Roman" w:hAnsi="Times New Roman"/>
        </w:rPr>
        <w:t xml:space="preserve">La résistivité électrique du fer varie avec la température. La résistance compensée, ne dépendant plus que de la corrosion, est obtenue par :</w:t>
      </w:r>
    </w:p>
    <w:p>
      <w:pPr>
        <w:pStyle w:val="BodyText"/>
      </w:pPr>
      <m:oMathPara>
        <m:oMathParaPr>
          <m:jc m:val="center"/>
        </m:oMathParaPr>
        <m:oMath>
          <m:sSub>
            <m:e>
              <m:r>
                <m:t>R</m:t>
              </m:r>
            </m:e>
            <m:sub>
              <m:r>
                <m:t>c</m:t>
              </m:r>
              <m:r>
                <m:t>o</m:t>
              </m:r>
              <m:r>
                <m:t>r</m:t>
              </m:r>
              <m:r>
                <m:t>r</m:t>
              </m:r>
            </m:sub>
          </m:sSub>
          <m:r>
            <m:rPr>
              <m:sty m:val="p"/>
            </m:rPr>
            <m:t>(</m:t>
          </m:r>
          <m:r>
            <m:t>t</m:t>
          </m:r>
          <m:r>
            <m:rPr>
              <m:sty m:val="p"/>
            </m:rPr>
            <m:t>)</m:t>
          </m:r>
          <m:r>
            <m:rPr>
              <m:sty m:val="p"/>
            </m:rPr>
            <m:t>=</m:t>
          </m:r>
          <m:f>
            <m:fPr>
              <m:type m:val="bar"/>
            </m:fPr>
            <m:num>
              <m:sSub>
                <m:e>
                  <m:r>
                    <m:t>R</m:t>
                  </m:r>
                </m:e>
                <m:sub>
                  <m:r>
                    <m:t>l</m:t>
                  </m:r>
                  <m:r>
                    <m:t>i</m:t>
                  </m:r>
                  <m:r>
                    <m:t>s</m:t>
                  </m:r>
                  <m:r>
                    <m:t>s</m:t>
                  </m:r>
                  <m:r>
                    <m:t>e</m:t>
                  </m:r>
                </m:sub>
              </m:sSub>
              <m:r>
                <m:rPr>
                  <m:sty m:val="p"/>
                </m:rPr>
                <m:t>(</m:t>
              </m:r>
              <m:r>
                <m:t>t</m:t>
              </m:r>
              <m:r>
                <m:rPr>
                  <m:sty m:val="p"/>
                </m:rPr>
                <m:t>)</m:t>
              </m:r>
            </m:num>
            <m:den>
              <m:r>
                <m:t>1</m:t>
              </m:r>
              <m:r>
                <m:rPr>
                  <m:sty m:val="p"/>
                </m:rPr>
                <m:t>+</m:t>
              </m:r>
              <m:sSub>
                <m:e>
                  <m:r>
                    <m:t>α</m:t>
                  </m:r>
                </m:e>
                <m:sub>
                  <m:r>
                    <m:t>F</m:t>
                  </m:r>
                  <m:r>
                    <m:t>e</m:t>
                  </m:r>
                </m:sub>
              </m:sSub>
              <m:r>
                <m:rPr>
                  <m:sty m:val="p"/>
                </m:rPr>
                <m:t>⋅</m:t>
              </m:r>
              <m:r>
                <m:rPr>
                  <m:sty m:val="p"/>
                </m:rPr>
                <m:t>(</m:t>
              </m:r>
              <m:r>
                <m:t>T</m:t>
              </m:r>
              <m:r>
                <m:rPr>
                  <m:sty m:val="p"/>
                </m:rPr>
                <m:t>(</m:t>
              </m:r>
              <m:r>
                <m:t>t</m:t>
              </m:r>
              <m:r>
                <m:rPr>
                  <m:sty m:val="p"/>
                </m:rPr>
                <m:t>)</m:t>
              </m:r>
              <m:r>
                <m:rPr>
                  <m:sty m:val="p"/>
                </m:rPr>
                <m:t>−</m:t>
              </m:r>
              <m:sSub>
                <m:e>
                  <m:r>
                    <m:t>T</m:t>
                  </m:r>
                </m:e>
                <m:sub>
                  <m:r>
                    <m:t>r</m:t>
                  </m:r>
                  <m:r>
                    <m:t>e</m:t>
                  </m:r>
                  <m:r>
                    <m:t>f</m:t>
                  </m:r>
                </m:sub>
              </m:sSub>
              <m:r>
                <m:rPr>
                  <m:sty m:val="p"/>
                </m:rPr>
                <m:t>)</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α_Fe = 6,5 × 10⁻³ °C⁻¹, T_ref = 25 °C.</w:t>
      </w:r>
    </w:p>
    <w:bookmarkEnd w:id="53"/>
    <w:bookmarkStart w:id="54" w:name="X6c5e12609bce036eb6b197bc6ec7747a8cec701"/>
    <w:p>
      <w:pPr>
        <w:pStyle w:val="Heading3"/>
      </w:pPr>
      <w:r>
        <w:rPr>
          <w:rFonts w:ascii="Times New Roman" w:hAnsi="Times New Roman"/>
        </w:rPr>
        <w:t xml:space="preserve">II.3.4. Calcul du taux de corrosion et de la durée de vie résiduelle</w:t>
      </w:r>
    </w:p>
    <w:p>
      <w:pPr>
        <w:pStyle w:val="FirstParagraph"/>
      </w:pPr>
      <w:r>
        <w:rPr>
          <w:rFonts w:ascii="Times New Roman" w:hAnsi="Times New Roman"/>
        </w:rPr>
        <w:t xml:space="preserve">À partir de la résistance compensée, le rayon du fil est calculé par inversion de la loi de résistance :</w:t>
      </w:r>
    </w:p>
    <w:p>
      <w:pPr>
        <w:pStyle w:val="BodyText"/>
      </w:pPr>
      <m:oMathPara>
        <m:oMathParaPr>
          <m:jc m:val="center"/>
        </m:oMathParaPr>
        <m:oMath>
          <m:r>
            <m:t>r</m:t>
          </m:r>
          <m:r>
            <m:rPr>
              <m:sty m:val="p"/>
            </m:rPr>
            <m:t>(</m:t>
          </m:r>
          <m:r>
            <m:t>t</m:t>
          </m:r>
          <m:r>
            <m:rPr>
              <m:sty m:val="p"/>
            </m:rPr>
            <m:t>)</m:t>
          </m:r>
          <m:r>
            <m:rPr>
              <m:sty m:val="p"/>
            </m:rPr>
            <m:t>=</m:t>
          </m:r>
          <m:rad>
            <m:radPr>
              <m:degHide m:val="on"/>
            </m:radPr>
            <m:deg/>
            <m:e>
              <m:f>
                <m:fPr>
                  <m:type m:val="bar"/>
                </m:fPr>
                <m:num>
                  <m:r>
                    <m:t>ρ</m:t>
                  </m:r>
                  <m:r>
                    <m:rPr>
                      <m:sty m:val="p"/>
                    </m:rPr>
                    <m:t>⋅</m:t>
                  </m:r>
                  <m:r>
                    <m:t>L</m:t>
                  </m:r>
                </m:num>
                <m:den>
                  <m:r>
                    <m:t>π</m:t>
                  </m:r>
                  <m:r>
                    <m:rPr>
                      <m:sty m:val="p"/>
                    </m:rPr>
                    <m:t>⋅</m:t>
                  </m:r>
                  <m:sSub>
                    <m:e>
                      <m:r>
                        <m:t>R</m:t>
                      </m:r>
                    </m:e>
                    <m:sub>
                      <m:r>
                        <m:t>c</m:t>
                      </m:r>
                      <m:r>
                        <m:t>o</m:t>
                      </m:r>
                      <m:r>
                        <m:t>r</m:t>
                      </m:r>
                      <m:r>
                        <m:t>r</m:t>
                      </m:r>
                    </m:sub>
                  </m:sSub>
                  <m:r>
                    <m:rPr>
                      <m:sty m:val="p"/>
                    </m:rPr>
                    <m:t>(</m:t>
                  </m:r>
                  <m:r>
                    <m:t>t</m:t>
                  </m:r>
                  <m:r>
                    <m:rPr>
                      <m:sty m:val="p"/>
                    </m:rPr>
                    <m:t>)</m:t>
                  </m:r>
                </m:den>
              </m:f>
            </m:e>
          </m:rad>
        </m:oMath>
      </m:oMathPara>
    </w:p>
    <w:p>
      <w:pPr>
        <w:pStyle w:val="FirstParagraph"/>
      </w:pPr>
      <w:r>
        <w:rPr>
          <w:rFonts w:ascii="Times New Roman" w:hAnsi="Times New Roman"/>
        </w:rPr>
        <w:t xml:space="preserve">Le taux de corrosion est obtenu par dérivée numérique :</w:t>
      </w:r>
    </w:p>
    <w:p>
      <w:pPr>
        <w:pStyle w:val="BodyText"/>
      </w:pPr>
      <m:oMathPara>
        <m:oMathParaPr>
          <m:jc m:val="center"/>
        </m:oMathParaPr>
        <m:oMath>
          <m:r>
            <m:t>C</m:t>
          </m:r>
          <m:r>
            <m:t>R</m:t>
          </m:r>
          <m:r>
            <m:t> </m:t>
          </m:r>
          <m:r>
            <m:rPr>
              <m:sty m:val="p"/>
            </m:rPr>
            <m:t>(</m:t>
          </m:r>
          <m:r>
            <m:t>m</m:t>
          </m:r>
          <m:r>
            <m:t>m</m:t>
          </m:r>
          <m:r>
            <m:rPr>
              <m:sty m:val="p"/>
            </m:rPr>
            <m:t>/</m:t>
          </m:r>
          <m:r>
            <m:t>a</m:t>
          </m:r>
          <m:r>
            <m:t>n</m:t>
          </m:r>
          <m:r>
            <m:rPr>
              <m:sty m:val="p"/>
            </m:rPr>
            <m:t>)</m:t>
          </m:r>
          <m:r>
            <m:rPr>
              <m:sty m:val="p"/>
            </m:rPr>
            <m:t>=</m:t>
          </m:r>
          <m:d>
            <m:dPr>
              <m:begChr m:val="|"/>
              <m:sepChr m:val=""/>
              <m:endChr m:val="|"/>
              <m:grow/>
            </m:dPr>
            <m:e>
              <m:f>
                <m:fPr>
                  <m:type m:val="bar"/>
                </m:fPr>
                <m:num>
                  <m:r>
                    <m:t>d</m:t>
                  </m:r>
                  <m:r>
                    <m:t>r</m:t>
                  </m:r>
                </m:num>
                <m:den>
                  <m:r>
                    <m:t>d</m:t>
                  </m:r>
                  <m:r>
                    <m:t>t</m:t>
                  </m:r>
                </m:den>
              </m:f>
            </m:e>
          </m:d>
          <m:r>
            <m:rPr>
              <m:sty m:val="p"/>
            </m:rPr>
            <m:t>×</m:t>
          </m:r>
          <m:r>
            <m:t>8760</m:t>
          </m:r>
          <m:r>
            <m:rPr>
              <m:sty m:val="p"/>
            </m:rPr>
            <m:t>×</m:t>
          </m:r>
          <m:r>
            <m:t>1000</m:t>
          </m:r>
        </m:oMath>
      </m:oMathPara>
    </w:p>
    <w:p>
      <w:pPr>
        <w:pStyle w:val="FirstParagraph"/>
      </w:pPr>
      <w:r>
        <w:rPr>
          <w:rFonts w:ascii="Times New Roman" w:hAnsi="Times New Roman"/>
        </w:rPr>
        <w:t xml:space="preserve">La durée de vie résiduelle est calculée à partir du critère de fin de vie r_critique = 0,1 × r(0) :</w:t>
      </w:r>
    </w:p>
    <w:p>
      <w:pPr>
        <w:pStyle w:val="BodyText"/>
      </w:pPr>
      <m:oMathPara>
        <m:oMathParaPr>
          <m:jc m:val="center"/>
        </m:oMathParaPr>
        <m:oMath>
          <m:r>
            <m:t>R</m:t>
          </m:r>
          <m:r>
            <m:t>U</m:t>
          </m:r>
          <m:r>
            <m:t>L</m:t>
          </m:r>
          <m:r>
            <m:rPr>
              <m:sty m:val="p"/>
            </m:rPr>
            <m:t>(</m:t>
          </m:r>
          <m:r>
            <m:t>t</m:t>
          </m:r>
          <m:r>
            <m:rPr>
              <m:sty m:val="p"/>
            </m:rPr>
            <m:t>)</m:t>
          </m:r>
          <m:r>
            <m:rPr>
              <m:sty m:val="p"/>
            </m:rPr>
            <m:t>=</m:t>
          </m:r>
          <m:f>
            <m:fPr>
              <m:type m:val="bar"/>
            </m:fPr>
            <m:num>
              <m:r>
                <m:t>r</m:t>
              </m:r>
              <m:r>
                <m:rPr>
                  <m:sty m:val="p"/>
                </m:rPr>
                <m:t>(</m:t>
              </m:r>
              <m:r>
                <m:t>t</m:t>
              </m:r>
              <m:r>
                <m:rPr>
                  <m:sty m:val="p"/>
                </m:rPr>
                <m:t>)</m:t>
              </m:r>
              <m:r>
                <m:rPr>
                  <m:sty m:val="p"/>
                </m:rPr>
                <m:t>−</m:t>
              </m:r>
              <m:sSub>
                <m:e>
                  <m:r>
                    <m:t>r</m:t>
                  </m:r>
                </m:e>
                <m:sub>
                  <m:r>
                    <m:t>c</m:t>
                  </m:r>
                  <m:r>
                    <m:t>r</m:t>
                  </m:r>
                  <m:r>
                    <m:t>i</m:t>
                  </m:r>
                  <m:r>
                    <m:t>t</m:t>
                  </m:r>
                  <m:r>
                    <m:t>i</m:t>
                  </m:r>
                  <m:r>
                    <m:t>q</m:t>
                  </m:r>
                  <m:r>
                    <m:t>u</m:t>
                  </m:r>
                  <m:r>
                    <m:t>e</m:t>
                  </m:r>
                </m:sub>
              </m:sSub>
            </m:num>
            <m:den>
              <m:d>
                <m:dPr>
                  <m:begChr m:val="|"/>
                  <m:sepChr m:val=""/>
                  <m:endChr m:val="|"/>
                  <m:grow/>
                </m:dPr>
                <m:e>
                  <m:f>
                    <m:fPr>
                      <m:type m:val="bar"/>
                    </m:fPr>
                    <m:num>
                      <m:r>
                        <m:t>d</m:t>
                      </m:r>
                      <m:r>
                        <m:t>r</m:t>
                      </m:r>
                    </m:num>
                    <m:den>
                      <m:r>
                        <m:t>d</m:t>
                      </m:r>
                      <m:r>
                        <m:t>t</m:t>
                      </m:r>
                    </m:den>
                  </m:f>
                </m:e>
              </m:d>
            </m:den>
          </m:f>
        </m:oMath>
      </m:oMathPara>
    </w:p>
    <w:p>
      <w:pPr>
        <w:pStyle w:val="FirstParagraph"/>
      </w:pPr>
      <w:r>
        <w:rPr>
          <w:rFonts w:ascii="Times New Roman" w:hAnsi="Times New Roman"/>
        </w:rPr>
        <w:t xml:space="preserve">Pour les runs ayant atteint la rupture, RUL(t) = t_rupture − t (valeur exacte).</w:t>
      </w:r>
    </w:p>
    <w:p>
      <w:r>
        <w:rPr>
          <w:rFonts w:ascii="Times New Roman" w:hAnsi="Times New Roman"/>
        </w:rPr>
        <w:pict>
          <v:rect style="width:0;height:1.5pt" o:hralign="center" o:hrstd="t" o:hr="t"/>
        </w:pict>
      </w:r>
    </w:p>
    <w:bookmarkEnd w:id="54"/>
    <w:bookmarkEnd w:id="55"/>
    <w:bookmarkStart w:id="60" w:name="X5c71749a0a9fdfd893982e60d90edbbbd817db7"/>
    <w:p>
      <w:pPr>
        <w:pStyle w:val="Heading2"/>
      </w:pPr>
      <w:r>
        <w:rPr>
          <w:rFonts w:ascii="Times New Roman" w:hAnsi="Times New Roman"/>
        </w:rPr>
        <w:t xml:space="preserve">II.4. Méthodologie d’entraînement du modèle XGBoost</w:t>
      </w:r>
    </w:p>
    <w:bookmarkStart w:id="56" w:name="ii.4.1.-feature-engineering"/>
    <w:p>
      <w:pPr>
        <w:pStyle w:val="Heading3"/>
      </w:pPr>
      <w:r>
        <w:rPr>
          <w:rFonts w:ascii="Times New Roman" w:hAnsi="Times New Roman"/>
        </w:rPr>
        <w:t xml:space="preserve">II.4.1. Feature engineering</w:t>
      </w:r>
    </w:p>
    <w:p>
      <w:pPr>
        <w:pStyle w:val="FirstParagraph"/>
      </w:pPr>
      <w:r>
        <w:rPr>
          <w:rFonts w:ascii="Times New Roman" w:hAnsi="Times New Roman"/>
        </w:rPr>
        <w:t xml:space="preserve">Dix variables d’entrée sont construites pour le modèle :</w:t>
      </w:r>
    </w:p>
    <w:p>
      <w:pPr>
        <w:pStyle w:val="BodyText"/>
      </w:pPr>
      <w:r>
        <w:rPr>
          <w:rFonts w:ascii="Times New Roman" w:hAnsi="Times New Roman"/>
          <w:b/>
          <w:bCs/>
        </w:rPr>
        <w:t xml:space="preserve">Tableau II.5 — Variables d’entrée (features) du modèle XGBoost</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Feature</w:t>
            </w:r>
          </w:p>
        </w:tc>
        <w:tc>
          <w:tcPr/>
          <w:p>
            <w:pPr>
              <w:pStyle w:val="Compact"/>
            </w:pPr>
            <w:r>
              <w:rPr>
                <w:rFonts w:ascii="Times New Roman" w:hAnsi="Times New Roman"/>
                <w:b/>
                <w:sz w:val="20"/>
              </w:rPr>
              <w:t xml:space="preserve">Définition</w:t>
            </w:r>
          </w:p>
        </w:tc>
        <w:tc>
          <w:tcPr/>
          <w:p>
            <w:pPr>
              <w:pStyle w:val="Compact"/>
            </w:pPr>
            <w:r>
              <w:rPr>
                <w:rFonts w:ascii="Times New Roman" w:hAnsi="Times New Roman"/>
                <w:b/>
                <w:sz w:val="20"/>
              </w:rPr>
              <w:t xml:space="preserve">Justification</w:t>
            </w:r>
          </w:p>
        </w:tc>
      </w:tr>
      <w:tr>
        <w:tc>
          <w:tcPr/>
          <w:p>
            <w:pPr>
              <w:pStyle w:val="Compact"/>
            </w:pPr>
            <w:r>
              <w:rPr>
                <w:rFonts w:ascii="Times New Roman" w:hAnsi="Times New Roman"/>
                <w:sz w:val="20"/>
              </w:rPr>
              <w:t xml:space="preserve">rx_corr</w:t>
            </w:r>
          </w:p>
        </w:tc>
        <w:tc>
          <w:tcPr/>
          <w:p>
            <w:pPr>
              <w:pStyle w:val="Compact"/>
            </w:pPr>
            <w:r>
              <w:rPr>
                <w:rFonts w:ascii="Times New Roman" w:hAnsi="Times New Roman"/>
                <w:sz w:val="20"/>
              </w:rPr>
              <w:t xml:space="preserve">Résistance compensée thermiquement (Ω)</w:t>
            </w:r>
          </w:p>
        </w:tc>
        <w:tc>
          <w:tcPr/>
          <w:p>
            <w:pPr>
              <w:pStyle w:val="Compact"/>
            </w:pPr>
            <w:r>
              <w:rPr>
                <w:rFonts w:ascii="Times New Roman" w:hAnsi="Times New Roman"/>
                <w:sz w:val="20"/>
              </w:rPr>
              <w:t xml:space="preserve">Indicateur d’état absolu</w:t>
            </w:r>
          </w:p>
        </w:tc>
      </w:tr>
      <w:tr>
        <w:tc>
          <w:tcPr/>
          <w:p>
            <w:pPr>
              <w:pStyle w:val="Compact"/>
            </w:pPr>
            <w:r>
              <w:rPr>
                <w:rFonts w:ascii="Times New Roman" w:hAnsi="Times New Roman"/>
                <w:sz w:val="20"/>
              </w:rPr>
              <w:t xml:space="preserve">delta_R_1h</w:t>
            </w:r>
          </w:p>
        </w:tc>
        <w:tc>
          <w:tcPr/>
          <w:p>
            <w:pPr>
              <w:pStyle w:val="Compact"/>
            </w:pPr>
            <w:r>
              <w:rPr>
                <w:rFonts w:ascii="Times New Roman" w:hAnsi="Times New Roman"/>
                <w:sz w:val="20"/>
              </w:rPr>
              <w:t xml:space="preserve">ΔR sur 1 heure</w:t>
            </w:r>
          </w:p>
        </w:tc>
        <w:tc>
          <w:tcPr/>
          <w:p>
            <w:pPr>
              <w:pStyle w:val="Compact"/>
            </w:pPr>
            <w:r>
              <w:rPr>
                <w:rFonts w:ascii="Times New Roman" w:hAnsi="Times New Roman"/>
                <w:sz w:val="20"/>
              </w:rPr>
              <w:t xml:space="preserve">Vitesse court terme</w:t>
            </w:r>
          </w:p>
        </w:tc>
      </w:tr>
      <w:tr>
        <w:tc>
          <w:tcPr/>
          <w:p>
            <w:pPr>
              <w:pStyle w:val="Compact"/>
            </w:pPr>
            <w:r>
              <w:rPr>
                <w:rFonts w:ascii="Times New Roman" w:hAnsi="Times New Roman"/>
                <w:sz w:val="20"/>
              </w:rPr>
              <w:t xml:space="preserve">delta_R_6h</w:t>
            </w:r>
          </w:p>
        </w:tc>
        <w:tc>
          <w:tcPr/>
          <w:p>
            <w:pPr>
              <w:pStyle w:val="Compact"/>
            </w:pPr>
            <w:r>
              <w:rPr>
                <w:rFonts w:ascii="Times New Roman" w:hAnsi="Times New Roman"/>
                <w:sz w:val="20"/>
              </w:rPr>
              <w:t xml:space="preserve">ΔR sur 6 heures</w:t>
            </w:r>
          </w:p>
        </w:tc>
        <w:tc>
          <w:tcPr/>
          <w:p>
            <w:pPr>
              <w:pStyle w:val="Compact"/>
            </w:pPr>
            <w:r>
              <w:rPr>
                <w:rFonts w:ascii="Times New Roman" w:hAnsi="Times New Roman"/>
                <w:sz w:val="20"/>
              </w:rPr>
              <w:t xml:space="preserve">Vitesse moyen terme</w:t>
            </w:r>
          </w:p>
        </w:tc>
      </w:tr>
      <w:tr>
        <w:tc>
          <w:tcPr/>
          <w:p>
            <w:pPr>
              <w:pStyle w:val="Compact"/>
            </w:pPr>
            <w:r>
              <w:rPr>
                <w:rFonts w:ascii="Times New Roman" w:hAnsi="Times New Roman"/>
                <w:sz w:val="20"/>
              </w:rPr>
              <w:t xml:space="preserve">vitesse_CR_1h</w:t>
            </w:r>
          </w:p>
        </w:tc>
        <w:tc>
          <w:tcPr/>
          <w:p>
            <w:pPr>
              <w:pStyle w:val="Compact"/>
            </w:pPr>
            <w:r>
              <w:rPr>
                <w:rFonts w:ascii="Times New Roman" w:hAnsi="Times New Roman"/>
                <w:sz w:val="20"/>
              </w:rPr>
              <w:t xml:space="preserve">CR moyen sur 1h (mm/an)</w:t>
            </w:r>
          </w:p>
        </w:tc>
        <w:tc>
          <w:tcPr/>
          <w:p>
            <w:pPr>
              <w:pStyle w:val="Compact"/>
            </w:pPr>
            <w:r>
              <w:rPr>
                <w:rFonts w:ascii="Times New Roman" w:hAnsi="Times New Roman"/>
                <w:sz w:val="20"/>
              </w:rPr>
              <w:t xml:space="preserve">Taux instantané lissé</w:t>
            </w:r>
          </w:p>
        </w:tc>
      </w:tr>
      <w:tr>
        <w:tc>
          <w:tcPr/>
          <w:p>
            <w:pPr>
              <w:pStyle w:val="Compact"/>
            </w:pPr>
            <w:r>
              <w:rPr>
                <w:rFonts w:ascii="Times New Roman" w:hAnsi="Times New Roman"/>
                <w:sz w:val="20"/>
              </w:rPr>
              <w:t xml:space="preserve">tendance_6h</w:t>
            </w:r>
          </w:p>
        </w:tc>
        <w:tc>
          <w:tcPr/>
          <w:p>
            <w:pPr>
              <w:pStyle w:val="Compact"/>
            </w:pPr>
            <w:r>
              <w:rPr>
                <w:rFonts w:ascii="Times New Roman" w:hAnsi="Times New Roman"/>
                <w:sz w:val="20"/>
              </w:rPr>
              <w:t xml:space="preserve">Pente linéaire de Rx sur 6h</w:t>
            </w:r>
          </w:p>
        </w:tc>
        <w:tc>
          <w:tcPr/>
          <w:p>
            <w:pPr>
              <w:pStyle w:val="Compact"/>
            </w:pPr>
            <w:r>
              <w:rPr>
                <w:rFonts w:ascii="Times New Roman" w:hAnsi="Times New Roman"/>
                <w:sz w:val="20"/>
              </w:rPr>
              <w:t xml:space="preserve">Accélération / décélération</w:t>
            </w:r>
          </w:p>
        </w:tc>
      </w:tr>
      <w:tr>
        <w:tc>
          <w:tcPr/>
          <w:p>
            <w:pPr>
              <w:pStyle w:val="Compact"/>
            </w:pPr>
            <w:r>
              <w:rPr>
                <w:rFonts w:ascii="Times New Roman" w:hAnsi="Times New Roman"/>
                <w:sz w:val="20"/>
              </w:rPr>
              <w:t xml:space="preserve">temp_lisse</w:t>
            </w:r>
          </w:p>
        </w:tc>
        <w:tc>
          <w:tcPr/>
          <w:p>
            <w:pPr>
              <w:pStyle w:val="Compact"/>
            </w:pPr>
            <w:r>
              <w:rPr>
                <w:rFonts w:ascii="Times New Roman" w:hAnsi="Times New Roman"/>
                <w:sz w:val="20"/>
              </w:rPr>
              <w:t xml:space="preserve">Température lissée (°C)</w:t>
            </w:r>
          </w:p>
        </w:tc>
        <w:tc>
          <w:tcPr/>
          <w:p>
            <w:pPr>
              <w:pStyle w:val="Compact"/>
            </w:pPr>
            <w:r>
              <w:rPr>
                <w:rFonts w:ascii="Times New Roman" w:hAnsi="Times New Roman"/>
                <w:sz w:val="20"/>
              </w:rPr>
              <w:t xml:space="preserve">Correction thermique résiduelle</w:t>
            </w:r>
          </w:p>
        </w:tc>
      </w:tr>
      <w:tr>
        <w:tc>
          <w:tcPr/>
          <w:p>
            <w:pPr>
              <w:pStyle w:val="Compact"/>
            </w:pPr>
            <w:r>
              <w:rPr>
                <w:rFonts w:ascii="Times New Roman" w:hAnsi="Times New Roman"/>
                <w:sz w:val="20"/>
              </w:rPr>
              <w:t xml:space="preserve">temp_moy_6h</w:t>
            </w:r>
          </w:p>
        </w:tc>
        <w:tc>
          <w:tcPr/>
          <w:p>
            <w:pPr>
              <w:pStyle w:val="Compact"/>
            </w:pPr>
            <w:r>
              <w:rPr>
                <w:rFonts w:ascii="Times New Roman" w:hAnsi="Times New Roman"/>
                <w:sz w:val="20"/>
              </w:rPr>
              <w:t xml:space="preserve">Température moyenne 6h</w:t>
            </w:r>
          </w:p>
        </w:tc>
        <w:tc>
          <w:tcPr/>
          <w:p>
            <w:pPr>
              <w:pStyle w:val="Compact"/>
            </w:pPr>
            <w:r>
              <w:rPr>
                <w:rFonts w:ascii="Times New Roman" w:hAnsi="Times New Roman"/>
                <w:sz w:val="20"/>
              </w:rPr>
              <w:t xml:space="preserve">Effets thermiques lents</w:t>
            </w:r>
          </w:p>
        </w:tc>
      </w:tr>
      <w:tr>
        <w:tc>
          <w:tcPr/>
          <w:p>
            <w:pPr>
              <w:pStyle w:val="Compact"/>
            </w:pPr>
            <w:r>
              <w:rPr>
                <w:rFonts w:ascii="Times New Roman" w:hAnsi="Times New Roman"/>
                <w:sz w:val="20"/>
              </w:rPr>
              <w:t xml:space="preserve">temps_immersion_h</w:t>
            </w:r>
          </w:p>
        </w:tc>
        <w:tc>
          <w:tcPr/>
          <w:p>
            <w:pPr>
              <w:pStyle w:val="Compact"/>
            </w:pPr>
            <w:r>
              <w:rPr>
                <w:rFonts w:ascii="Times New Roman" w:hAnsi="Times New Roman"/>
                <w:sz w:val="20"/>
              </w:rPr>
              <w:t xml:space="preserve">Temps depuis début du run (h)</w:t>
            </w:r>
          </w:p>
        </w:tc>
        <w:tc>
          <w:tcPr/>
          <w:p>
            <w:pPr>
              <w:pStyle w:val="Compact"/>
            </w:pPr>
            <w:r>
              <w:rPr>
                <w:rFonts w:ascii="Times New Roman" w:hAnsi="Times New Roman"/>
                <w:sz w:val="20"/>
              </w:rPr>
              <w:t xml:space="preserve">Stade d’avancement</w:t>
            </w:r>
          </w:p>
        </w:tc>
      </w:tr>
      <w:tr>
        <w:tc>
          <w:tcPr/>
          <w:p>
            <w:pPr>
              <w:pStyle w:val="Compact"/>
            </w:pPr>
            <w:r>
              <w:rPr>
                <w:rFonts w:ascii="Times New Roman" w:hAnsi="Times New Roman"/>
                <w:sz w:val="20"/>
              </w:rPr>
              <w:t xml:space="preserve">delta_R_absolu</w:t>
            </w:r>
          </w:p>
        </w:tc>
        <w:tc>
          <w:tcPr/>
          <w:p>
            <w:pPr>
              <w:pStyle w:val="Compact"/>
            </w:pPr>
            <w:r>
              <w:rPr>
                <w:rFonts w:ascii="Times New Roman" w:hAnsi="Times New Roman"/>
                <w:sz w:val="20"/>
              </w:rPr>
              <w:t xml:space="preserve">Rx(t) − Rx(0)</w:t>
            </w:r>
          </w:p>
        </w:tc>
        <w:tc>
          <w:tcPr/>
          <w:p>
            <w:pPr>
              <w:pStyle w:val="Compact"/>
            </w:pPr>
            <w:r>
              <w:rPr>
                <w:rFonts w:ascii="Times New Roman" w:hAnsi="Times New Roman"/>
                <w:sz w:val="20"/>
              </w:rPr>
              <w:t xml:space="preserve">Perte cumulée</w:t>
            </w:r>
          </w:p>
        </w:tc>
      </w:tr>
      <w:tr>
        <w:tc>
          <w:tcPr/>
          <w:p>
            <w:pPr>
              <w:pStyle w:val="Compact"/>
            </w:pPr>
            <w:r>
              <w:rPr>
                <w:rFonts w:ascii="Times New Roman" w:hAnsi="Times New Roman"/>
                <w:sz w:val="20"/>
              </w:rPr>
              <w:t xml:space="preserve">section_perdue_pct</w:t>
            </w:r>
          </w:p>
        </w:tc>
        <w:tc>
          <w:tcPr/>
          <w:p>
            <w:pPr>
              <w:pStyle w:val="Compact"/>
            </w:pPr>
            <w:r>
              <w:rPr>
                <w:rFonts w:ascii="Times New Roman" w:hAnsi="Times New Roman"/>
                <w:sz w:val="20"/>
              </w:rPr>
              <w:t xml:space="preserve">Perte de section transversale (%)</w:t>
            </w:r>
          </w:p>
        </w:tc>
        <w:tc>
          <w:tcPr/>
          <w:p>
            <w:pPr>
              <w:pStyle w:val="Compact"/>
            </w:pPr>
            <w:r>
              <w:rPr>
                <w:rFonts w:ascii="Times New Roman" w:hAnsi="Times New Roman"/>
                <w:sz w:val="20"/>
              </w:rPr>
              <w:t xml:space="preserve">Fraction de durée de vie consommée</w:t>
            </w:r>
          </w:p>
        </w:tc>
      </w:tr>
    </w:tbl>
    <w:bookmarkEnd w:id="56"/>
    <w:bookmarkStart w:id="57" w:name="ii.4.2.-validation-croisée-temporelle"/>
    <w:p>
      <w:pPr>
        <w:pStyle w:val="Heading3"/>
      </w:pPr>
      <w:r>
        <w:rPr>
          <w:rFonts w:ascii="Times New Roman" w:hAnsi="Times New Roman"/>
        </w:rPr>
        <w:t xml:space="preserve">II.4.2. Validation croisée temporelle</w:t>
      </w:r>
    </w:p>
    <w:p>
      <w:pPr>
        <w:pStyle w:val="FirstParagraph"/>
      </w:pPr>
      <w:r>
        <w:rPr>
          <w:rFonts w:ascii="Times New Roman" w:hAnsi="Times New Roman"/>
        </w:rPr>
        <w:t xml:space="preserve">La validation croisée walk-forward (TimeSeriesSplit, n=4 folds) est utilisée pour respecter la causalité temporelle : chaque fold entraîne sur les données passées et teste sur les données futures, jamais l’inverse. Ce protocole évite toute fuite temporelle dans l’évaluation des performances.</w:t>
      </w:r>
    </w:p>
    <w:bookmarkEnd w:id="57"/>
    <w:bookmarkStart w:id="58" w:name="ii.4.3.-hyperparamètres-xgboost"/>
    <w:p>
      <w:pPr>
        <w:pStyle w:val="Heading3"/>
      </w:pPr>
      <w:r>
        <w:rPr>
          <w:rFonts w:ascii="Times New Roman" w:hAnsi="Times New Roman"/>
        </w:rPr>
        <w:t xml:space="preserve">II.4.3. Hyperparamètres XGBoost</w:t>
      </w:r>
    </w:p>
    <w:p>
      <w:pPr>
        <w:pStyle w:val="FirstParagraph"/>
      </w:pPr>
      <w:r>
        <w:rPr>
          <w:rFonts w:ascii="Times New Roman" w:hAnsi="Times New Roman"/>
          <w:b/>
          <w:bCs/>
        </w:rPr>
        <w:t xml:space="preserve">Tableau II.6 — Hyperparamètres du modèle XGBoost</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Hyperparamètre</w:t>
            </w:r>
          </w:p>
        </w:tc>
        <w:tc>
          <w:tcPr/>
          <w:p>
            <w:pPr>
              <w:pStyle w:val="Compact"/>
            </w:pPr>
            <w:r>
              <w:rPr>
                <w:rFonts w:ascii="Times New Roman" w:hAnsi="Times New Roman"/>
                <w:b/>
                <w:sz w:val="20"/>
              </w:rPr>
              <w:t xml:space="preserve">Valeur</w:t>
            </w:r>
          </w:p>
        </w:tc>
        <w:tc>
          <w:tcPr/>
          <w:p>
            <w:pPr>
              <w:pStyle w:val="Compact"/>
            </w:pPr>
            <w:r>
              <w:rPr>
                <w:rFonts w:ascii="Times New Roman" w:hAnsi="Times New Roman"/>
                <w:b/>
                <w:sz w:val="20"/>
              </w:rPr>
              <w:t xml:space="preserve">Justification</w:t>
            </w:r>
          </w:p>
        </w:tc>
      </w:tr>
      <w:tr>
        <w:tc>
          <w:tcPr/>
          <w:p>
            <w:pPr>
              <w:pStyle w:val="Compact"/>
            </w:pPr>
            <w:r>
              <w:rPr>
                <w:rFonts w:ascii="Times New Roman" w:hAnsi="Times New Roman"/>
                <w:sz w:val="20"/>
              </w:rPr>
              <w:t xml:space="preserve">n_estimators</w:t>
            </w:r>
          </w:p>
        </w:tc>
        <w:tc>
          <w:tcPr/>
          <w:p>
            <w:pPr>
              <w:pStyle w:val="Compact"/>
            </w:pPr>
            <w:r>
              <w:rPr>
                <w:rFonts w:ascii="Times New Roman" w:hAnsi="Times New Roman"/>
                <w:sz w:val="20"/>
              </w:rPr>
              <w:t xml:space="preserve">500</w:t>
            </w:r>
          </w:p>
        </w:tc>
        <w:tc>
          <w:tcPr/>
          <w:p>
            <w:pPr>
              <w:pStyle w:val="Compact"/>
            </w:pPr>
            <w:r>
              <w:rPr>
                <w:rFonts w:ascii="Times New Roman" w:hAnsi="Times New Roman"/>
                <w:sz w:val="20"/>
              </w:rPr>
              <w:t xml:space="preserve">Compromis biais-variance</w:t>
            </w:r>
          </w:p>
        </w:tc>
      </w:tr>
      <w:tr>
        <w:tc>
          <w:tcPr/>
          <w:p>
            <w:pPr>
              <w:pStyle w:val="Compact"/>
            </w:pPr>
            <w:r>
              <w:rPr>
                <w:rFonts w:ascii="Times New Roman" w:hAnsi="Times New Roman"/>
                <w:sz w:val="20"/>
              </w:rPr>
              <w:t xml:space="preserve">max_depth</w:t>
            </w:r>
          </w:p>
        </w:tc>
        <w:tc>
          <w:tcPr/>
          <w:p>
            <w:pPr>
              <w:pStyle w:val="Compact"/>
            </w:pPr>
            <w:r>
              <w:rPr>
                <w:rFonts w:ascii="Times New Roman" w:hAnsi="Times New Roman"/>
                <w:sz w:val="20"/>
              </w:rPr>
              <w:t xml:space="preserve">4</w:t>
            </w:r>
          </w:p>
        </w:tc>
        <w:tc>
          <w:tcPr/>
          <w:p>
            <w:pPr>
              <w:pStyle w:val="Compact"/>
            </w:pPr>
            <w:r>
              <w:rPr>
                <w:rFonts w:ascii="Times New Roman" w:hAnsi="Times New Roman"/>
                <w:sz w:val="20"/>
              </w:rPr>
              <w:t xml:space="preserve">Contrôle de la complexité</w:t>
            </w:r>
          </w:p>
        </w:tc>
      </w:tr>
      <w:tr>
        <w:tc>
          <w:tcPr/>
          <w:p>
            <w:pPr>
              <w:pStyle w:val="Compact"/>
            </w:pPr>
            <w:r>
              <w:rPr>
                <w:rFonts w:ascii="Times New Roman" w:hAnsi="Times New Roman"/>
                <w:sz w:val="20"/>
              </w:rPr>
              <w:t xml:space="preserve">learning_rate</w:t>
            </w:r>
          </w:p>
        </w:tc>
        <w:tc>
          <w:tcPr/>
          <w:p>
            <w:pPr>
              <w:pStyle w:val="Compact"/>
            </w:pPr>
            <w:r>
              <w:rPr>
                <w:rFonts w:ascii="Times New Roman" w:hAnsi="Times New Roman"/>
                <w:sz w:val="20"/>
              </w:rPr>
              <w:t xml:space="preserve">0,05</w:t>
            </w:r>
          </w:p>
        </w:tc>
        <w:tc>
          <w:tcPr/>
          <w:p>
            <w:pPr>
              <w:pStyle w:val="Compact"/>
            </w:pPr>
            <w:r>
              <w:rPr>
                <w:rFonts w:ascii="Times New Roman" w:hAnsi="Times New Roman"/>
                <w:sz w:val="20"/>
              </w:rPr>
              <w:t xml:space="preserve">Convergence stable</w:t>
            </w:r>
          </w:p>
        </w:tc>
      </w:tr>
      <w:tr>
        <w:tc>
          <w:tcPr/>
          <w:p>
            <w:pPr>
              <w:pStyle w:val="Compact"/>
            </w:pPr>
            <w:r>
              <w:rPr>
                <w:rFonts w:ascii="Times New Roman" w:hAnsi="Times New Roman"/>
                <w:sz w:val="20"/>
              </w:rPr>
              <w:t xml:space="preserve">reg_alpha (L1)</w:t>
            </w:r>
          </w:p>
        </w:tc>
        <w:tc>
          <w:tcPr/>
          <w:p>
            <w:pPr>
              <w:pStyle w:val="Compact"/>
            </w:pPr>
            <w:r>
              <w:rPr>
                <w:rFonts w:ascii="Times New Roman" w:hAnsi="Times New Roman"/>
                <w:sz w:val="20"/>
              </w:rPr>
              <w:t xml:space="preserve">0,1</w:t>
            </w:r>
          </w:p>
        </w:tc>
        <w:tc>
          <w:tcPr/>
          <w:p>
            <w:pPr>
              <w:pStyle w:val="Compact"/>
            </w:pPr>
            <w:r>
              <w:rPr>
                <w:rFonts w:ascii="Times New Roman" w:hAnsi="Times New Roman"/>
                <w:sz w:val="20"/>
              </w:rPr>
              <w:t xml:space="preserve">Régularisation sparse</w:t>
            </w:r>
          </w:p>
        </w:tc>
      </w:tr>
      <w:tr>
        <w:tc>
          <w:tcPr/>
          <w:p>
            <w:pPr>
              <w:pStyle w:val="Compact"/>
            </w:pPr>
            <w:r>
              <w:rPr>
                <w:rFonts w:ascii="Times New Roman" w:hAnsi="Times New Roman"/>
                <w:sz w:val="20"/>
              </w:rPr>
              <w:t xml:space="preserve">reg_lambda (L2)</w:t>
            </w:r>
          </w:p>
        </w:tc>
        <w:tc>
          <w:tcPr/>
          <w:p>
            <w:pPr>
              <w:pStyle w:val="Compact"/>
            </w:pPr>
            <w:r>
              <w:rPr>
                <w:rFonts w:ascii="Times New Roman" w:hAnsi="Times New Roman"/>
                <w:sz w:val="20"/>
              </w:rPr>
              <w:t xml:space="preserve">1,0</w:t>
            </w:r>
          </w:p>
        </w:tc>
        <w:tc>
          <w:tcPr/>
          <w:p>
            <w:pPr>
              <w:pStyle w:val="Compact"/>
            </w:pPr>
            <w:r>
              <w:rPr>
                <w:rFonts w:ascii="Times New Roman" w:hAnsi="Times New Roman"/>
                <w:sz w:val="20"/>
              </w:rPr>
              <w:t xml:space="preserve">Stabilité numérique</w:t>
            </w:r>
          </w:p>
        </w:tc>
      </w:tr>
      <w:tr>
        <w:tc>
          <w:tcPr/>
          <w:p>
            <w:pPr>
              <w:pStyle w:val="Compact"/>
            </w:pPr>
            <w:r>
              <w:rPr>
                <w:rFonts w:ascii="Times New Roman" w:hAnsi="Times New Roman"/>
                <w:sz w:val="20"/>
              </w:rPr>
              <w:t xml:space="preserve">subsample</w:t>
            </w:r>
          </w:p>
        </w:tc>
        <w:tc>
          <w:tcPr/>
          <w:p>
            <w:pPr>
              <w:pStyle w:val="Compact"/>
            </w:pPr>
            <w:r>
              <w:rPr>
                <w:rFonts w:ascii="Times New Roman" w:hAnsi="Times New Roman"/>
                <w:sz w:val="20"/>
              </w:rPr>
              <w:t xml:space="preserve">0,8</w:t>
            </w:r>
          </w:p>
        </w:tc>
        <w:tc>
          <w:tcPr/>
          <w:p>
            <w:pPr>
              <w:pStyle w:val="Compact"/>
            </w:pPr>
            <w:r>
              <w:rPr>
                <w:rFonts w:ascii="Times New Roman" w:hAnsi="Times New Roman"/>
                <w:sz w:val="20"/>
              </w:rPr>
              <w:t xml:space="preserve">Réduction de la variance</w:t>
            </w:r>
          </w:p>
        </w:tc>
      </w:tr>
    </w:tbl>
    <w:bookmarkEnd w:id="58"/>
    <w:bookmarkStart w:id="59" w:name="Xb6c20efb8a98d3b89e7f2b9193b81cbd14032fa"/>
    <w:p>
      <w:pPr>
        <w:pStyle w:val="Heading3"/>
      </w:pPr>
      <w:r>
        <w:rPr>
          <w:rFonts w:ascii="Times New Roman" w:hAnsi="Times New Roman"/>
        </w:rPr>
        <w:t xml:space="preserve">II.4.4. Tableau synoptique de la démarche méthodologique</w:t>
      </w:r>
    </w:p>
    <w:p>
      <w:pPr>
        <w:pStyle w:val="FirstParagraph"/>
      </w:pPr>
      <w:r>
        <w:rPr>
          <w:rFonts w:ascii="Times New Roman" w:hAnsi="Times New Roman"/>
          <w:b/>
          <w:bCs/>
        </w:rPr>
        <w:t xml:space="preserve">Tableau II.7 — Synoptique objectifs / méthodes / résultats attendus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b/>
                <w:sz w:val="20"/>
              </w:rPr>
              <w:t xml:space="preserve">Objectif Spécifique</w:t>
            </w:r>
          </w:p>
        </w:tc>
        <w:tc>
          <w:tcPr/>
          <w:p>
            <w:pPr>
              <w:pStyle w:val="Compact"/>
            </w:pPr>
            <w:r>
              <w:rPr>
                <w:rFonts w:ascii="Times New Roman" w:hAnsi="Times New Roman"/>
                <w:b/>
                <w:sz w:val="20"/>
              </w:rPr>
              <w:t xml:space="preserve">Activités</w:t>
            </w:r>
          </w:p>
        </w:tc>
        <w:tc>
          <w:tcPr/>
          <w:p>
            <w:pPr>
              <w:pStyle w:val="Compact"/>
            </w:pPr>
            <w:r>
              <w:rPr>
                <w:rFonts w:ascii="Times New Roman" w:hAnsi="Times New Roman"/>
                <w:b/>
                <w:sz w:val="20"/>
              </w:rPr>
              <w:t xml:space="preserve">Méthodes / Outils</w:t>
            </w:r>
          </w:p>
        </w:tc>
        <w:tc>
          <w:tcPr/>
          <w:p>
            <w:pPr>
              <w:pStyle w:val="Compact"/>
            </w:pPr>
            <w:r>
              <w:rPr>
                <w:rFonts w:ascii="Times New Roman" w:hAnsi="Times New Roman"/>
                <w:b/>
                <w:sz w:val="20"/>
              </w:rPr>
              <w:t xml:space="preserve">Résultats attendus</w:t>
            </w:r>
          </w:p>
        </w:tc>
      </w:tr>
      <w:tr>
        <w:tc>
          <w:tcPr/>
          <w:p>
            <w:pPr>
              <w:pStyle w:val="Compact"/>
            </w:pPr>
            <w:r>
              <w:rPr>
                <w:rFonts w:ascii="Times New Roman" w:hAnsi="Times New Roman"/>
                <w:sz w:val="20"/>
              </w:rPr>
              <w:t xml:space="preserve">OS1 — Sonde ER low-cost</w:t>
            </w:r>
          </w:p>
        </w:tc>
        <w:tc>
          <w:tcPr/>
          <w:p>
            <w:pPr>
              <w:pStyle w:val="Compact"/>
            </w:pPr>
            <w:r>
              <w:rPr>
                <w:rFonts w:ascii="Times New Roman" w:hAnsi="Times New Roman"/>
                <w:sz w:val="20"/>
              </w:rPr>
              <w:t xml:space="preserve">Câblage pont Wheatstone ; Firmware ESP32 deep sleep ; Test résolution sur étalons</w:t>
            </w:r>
          </w:p>
        </w:tc>
        <w:tc>
          <w:tcPr/>
          <w:p>
            <w:pPr>
              <w:pStyle w:val="Compact"/>
            </w:pPr>
            <w:r>
              <w:rPr>
                <w:rFonts w:ascii="Times New Roman" w:hAnsi="Times New Roman"/>
                <w:sz w:val="20"/>
              </w:rPr>
              <w:t xml:space="preserve">HX711 gain 128 ; Deep sleep 600 s ; CSV 115 200 baud</w:t>
            </w:r>
          </w:p>
        </w:tc>
        <w:tc>
          <w:tcPr/>
          <w:p>
            <w:pPr>
              <w:pStyle w:val="Compact"/>
            </w:pPr>
            <w:r>
              <w:rPr>
                <w:rFonts w:ascii="Times New Roman" w:hAnsi="Times New Roman"/>
                <w:sz w:val="20"/>
              </w:rPr>
              <w:t xml:space="preserve">Résolution ≤ 0,01 mΩ, stabilité ±0,5 mV/24h</w:t>
            </w:r>
          </w:p>
        </w:tc>
      </w:tr>
      <w:tr>
        <w:tc>
          <w:tcPr/>
          <w:p>
            <w:pPr>
              <w:pStyle w:val="Compact"/>
            </w:pPr>
            <w:r>
              <w:rPr>
                <w:rFonts w:ascii="Times New Roman" w:hAnsi="Times New Roman"/>
                <w:sz w:val="20"/>
              </w:rPr>
              <w:t xml:space="preserve">OS2 — Modèle XGBoost</w:t>
            </w:r>
          </w:p>
        </w:tc>
        <w:tc>
          <w:tcPr/>
          <w:p>
            <w:pPr>
              <w:pStyle w:val="Compact"/>
            </w:pPr>
            <w:r>
              <w:rPr>
                <w:rFonts w:ascii="Times New Roman" w:hAnsi="Times New Roman"/>
                <w:sz w:val="20"/>
              </w:rPr>
              <w:t xml:space="preserve">4 runs RTF ; Nettoyage IQR + Savitzky-Golay ; Feature engineering ; Walk-forward CV ; XGBoost ; SHAP</w:t>
            </w:r>
          </w:p>
        </w:tc>
        <w:tc>
          <w:tcPr/>
          <w:p>
            <w:pPr>
              <w:pStyle w:val="Compact"/>
            </w:pPr>
            <w:r>
              <w:rPr>
                <w:rFonts w:ascii="Times New Roman" w:hAnsi="Times New Roman"/>
                <w:sz w:val="20"/>
              </w:rPr>
              <w:t xml:space="preserve">Python : Pandas, SciPy, XGBoost, Scikit-learn, SHAP</w:t>
            </w:r>
          </w:p>
        </w:tc>
        <w:tc>
          <w:tcPr/>
          <w:p>
            <w:pPr>
              <w:pStyle w:val="Compact"/>
            </w:pPr>
            <w:r>
              <w:rPr>
                <w:rFonts w:ascii="Times New Roman" w:hAnsi="Times New Roman"/>
                <w:sz w:val="20"/>
              </w:rPr>
              <w:t xml:space="preserve">R² &gt; 0,70, RMSE &lt; 15 % pour CR et RUL</w:t>
            </w:r>
          </w:p>
        </w:tc>
      </w:tr>
      <w:tr>
        <w:tc>
          <w:tcPr/>
          <w:p>
            <w:pPr>
              <w:pStyle w:val="Compact"/>
            </w:pPr>
            <w:r>
              <w:rPr>
                <w:rFonts w:ascii="Times New Roman" w:hAnsi="Times New Roman"/>
                <w:sz w:val="20"/>
              </w:rPr>
              <w:t xml:space="preserve">OS3 — Alertes inhibiteur</w:t>
            </w:r>
          </w:p>
        </w:tc>
        <w:tc>
          <w:tcPr/>
          <w:p>
            <w:pPr>
              <w:pStyle w:val="Compact"/>
            </w:pPr>
            <w:r>
              <w:rPr>
                <w:rFonts w:ascii="Times New Roman" w:hAnsi="Times New Roman"/>
                <w:sz w:val="20"/>
              </w:rPr>
              <w:t xml:space="preserve">Runs 3/4 avec AC PROTECT 106 ; Détection changepoint ; Calibration seuils</w:t>
            </w:r>
          </w:p>
        </w:tc>
        <w:tc>
          <w:tcPr/>
          <w:p>
            <w:pPr>
              <w:pStyle w:val="Compact"/>
            </w:pPr>
            <w:r>
              <w:rPr>
                <w:rFonts w:ascii="Times New Roman" w:hAnsi="Times New Roman"/>
                <w:sz w:val="20"/>
              </w:rPr>
              <w:t xml:space="preserve">Changepoint sur CR_lisse ; Seuils vert/orange/rouge</w:t>
            </w:r>
          </w:p>
        </w:tc>
        <w:tc>
          <w:tcPr/>
          <w:p>
            <w:pPr>
              <w:pStyle w:val="Compact"/>
            </w:pPr>
            <w:r>
              <w:rPr>
                <w:rFonts w:ascii="Times New Roman" w:hAnsi="Times New Roman"/>
                <w:sz w:val="20"/>
              </w:rPr>
              <w:t xml:space="preserve">η mesuré (%) ; Seuils calibrés ; Dose recommandée</w:t>
            </w:r>
          </w:p>
        </w:tc>
      </w:tr>
    </w:tbl>
    <w:p>
      <w:r>
        <w:rPr>
          <w:rFonts w:ascii="Times New Roman" w:hAnsi="Times New Roman"/>
        </w:rPr>
        <w:pict>
          <v:rect style="width:0;height:1.5pt" o:hralign="center" o:hrstd="t" o:hr="t"/>
        </w:pict>
      </w:r>
    </w:p>
    <w:bookmarkEnd w:id="59"/>
    <w:bookmarkEnd w:id="60"/>
    <w:bookmarkStart w:id="64" w:name="ii.5.-protocole-expérimental"/>
    <w:p>
      <w:pPr>
        <w:pStyle w:val="Heading2"/>
      </w:pPr>
      <w:r>
        <w:rPr>
          <w:rFonts w:ascii="Times New Roman" w:hAnsi="Times New Roman"/>
        </w:rPr>
        <w:t xml:space="preserve">II.5. Protocole expérimental</w:t>
      </w:r>
    </w:p>
    <w:bookmarkStart w:id="61" w:name="ii.5.1.-protocole-run-to-failure"/>
    <w:p>
      <w:pPr>
        <w:pStyle w:val="Heading3"/>
      </w:pPr>
      <w:r>
        <w:rPr>
          <w:rFonts w:ascii="Times New Roman" w:hAnsi="Times New Roman"/>
        </w:rPr>
        <w:t xml:space="preserve">II.5.1. Protocole run-to-failure</w:t>
      </w:r>
    </w:p>
    <w:p>
      <w:pPr>
        <w:pStyle w:val="FirstParagraph"/>
      </w:pPr>
      <w:r>
        <w:rPr>
          <w:rFonts w:ascii="Times New Roman" w:hAnsi="Times New Roman"/>
        </w:rPr>
        <w:t xml:space="preserve">Le choix d’un protocole run-to-failure (RTF) est fondé sur la nécessité de constituer un jeu d’apprentissage couvrant l’intégralité du cycle de dégradation, de l’état initial jusqu’à la rupture, conformément à l’esprit de la norme ISO 13381-1 sur la maintenance prévisionnelle. Quatre runs sont planifiés, chacun utilisant un fil neuf :</w:t>
      </w:r>
    </w:p>
    <w:p>
      <w:pPr>
        <w:pStyle w:val="BodyText"/>
      </w:pPr>
      <w:r>
        <w:rPr>
          <w:rFonts w:ascii="Times New Roman" w:hAnsi="Times New Roman"/>
          <w:b/>
          <w:bCs/>
        </w:rPr>
        <w:t xml:space="preserve">Tableau II.8 — Protocole des quatre runs expérimentaux</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Run</w:t>
            </w:r>
          </w:p>
        </w:tc>
        <w:tc>
          <w:tcPr/>
          <w:p>
            <w:pPr>
              <w:pStyle w:val="Compact"/>
            </w:pPr>
            <w:r>
              <w:rPr>
                <w:rFonts w:ascii="Times New Roman" w:hAnsi="Times New Roman"/>
                <w:b/>
                <w:sz w:val="20"/>
              </w:rPr>
              <w:t xml:space="preserve">Conditions</w:t>
            </w:r>
          </w:p>
        </w:tc>
        <w:tc>
          <w:tcPr/>
          <w:p>
            <w:pPr>
              <w:pStyle w:val="Compact"/>
            </w:pPr>
            <w:r>
              <w:rPr>
                <w:rFonts w:ascii="Times New Roman" w:hAnsi="Times New Roman"/>
                <w:b/>
                <w:sz w:val="20"/>
              </w:rPr>
              <w:t xml:space="preserve">Utilisation ML</w:t>
            </w:r>
          </w:p>
        </w:tc>
      </w:tr>
      <w:tr>
        <w:tc>
          <w:tcPr/>
          <w:p>
            <w:pPr>
              <w:pStyle w:val="Compact"/>
            </w:pPr>
            <w:r>
              <w:rPr>
                <w:rFonts w:ascii="Times New Roman" w:hAnsi="Times New Roman"/>
                <w:sz w:val="20"/>
              </w:rPr>
              <w:t xml:space="preserve">Run 1</w:t>
            </w:r>
          </w:p>
        </w:tc>
        <w:tc>
          <w:tcPr/>
          <w:p>
            <w:pPr>
              <w:pStyle w:val="Compact"/>
            </w:pPr>
            <w:r>
              <w:rPr>
                <w:rFonts w:ascii="Times New Roman" w:hAnsi="Times New Roman"/>
                <w:sz w:val="20"/>
              </w:rPr>
              <w:t xml:space="preserve">Detar Plus pur, sans inhibiteur</w:t>
            </w:r>
          </w:p>
        </w:tc>
        <w:tc>
          <w:tcPr/>
          <w:p>
            <w:pPr>
              <w:pStyle w:val="Compact"/>
            </w:pPr>
            <w:r>
              <w:rPr>
                <w:rFonts w:ascii="Times New Roman" w:hAnsi="Times New Roman"/>
                <w:sz w:val="20"/>
              </w:rPr>
              <w:t xml:space="preserve">Entraînement</w:t>
            </w:r>
          </w:p>
        </w:tc>
      </w:tr>
      <w:tr>
        <w:tc>
          <w:tcPr/>
          <w:p>
            <w:pPr>
              <w:pStyle w:val="Compact"/>
            </w:pPr>
            <w:r>
              <w:rPr>
                <w:rFonts w:ascii="Times New Roman" w:hAnsi="Times New Roman"/>
                <w:sz w:val="20"/>
              </w:rPr>
              <w:t xml:space="preserve">Run 2</w:t>
            </w:r>
          </w:p>
        </w:tc>
        <w:tc>
          <w:tcPr/>
          <w:p>
            <w:pPr>
              <w:pStyle w:val="Compact"/>
            </w:pPr>
            <w:r>
              <w:rPr>
                <w:rFonts w:ascii="Times New Roman" w:hAnsi="Times New Roman"/>
                <w:sz w:val="20"/>
              </w:rPr>
              <w:t xml:space="preserve">Detar Plus pur, sans inhibiteur (réplique)</w:t>
            </w:r>
          </w:p>
        </w:tc>
        <w:tc>
          <w:tcPr/>
          <w:p>
            <w:pPr>
              <w:pStyle w:val="Compact"/>
            </w:pPr>
            <w:r>
              <w:rPr>
                <w:rFonts w:ascii="Times New Roman" w:hAnsi="Times New Roman"/>
                <w:sz w:val="20"/>
              </w:rPr>
              <w:t xml:space="preserve">Entraînement</w:t>
            </w:r>
          </w:p>
        </w:tc>
      </w:tr>
      <w:tr>
        <w:tc>
          <w:tcPr/>
          <w:p>
            <w:pPr>
              <w:pStyle w:val="Compact"/>
            </w:pPr>
            <w:r>
              <w:rPr>
                <w:rFonts w:ascii="Times New Roman" w:hAnsi="Times New Roman"/>
                <w:sz w:val="20"/>
              </w:rPr>
              <w:t xml:space="preserve">Run 3</w:t>
            </w:r>
          </w:p>
        </w:tc>
        <w:tc>
          <w:tcPr/>
          <w:p>
            <w:pPr>
              <w:pStyle w:val="Compact"/>
            </w:pPr>
            <w:r>
              <w:rPr>
                <w:rFonts w:ascii="Times New Roman" w:hAnsi="Times New Roman"/>
                <w:sz w:val="20"/>
              </w:rPr>
              <w:t xml:space="preserve">Detar Plus + AC PROTECT 106 à 0,1 % v/v</w:t>
            </w:r>
          </w:p>
        </w:tc>
        <w:tc>
          <w:tcPr/>
          <w:p>
            <w:pPr>
              <w:pStyle w:val="Compact"/>
            </w:pPr>
            <w:r>
              <w:rPr>
                <w:rFonts w:ascii="Times New Roman" w:hAnsi="Times New Roman"/>
                <w:sz w:val="20"/>
              </w:rPr>
              <w:t xml:space="preserve">Entraînement + évaluation inhibiteur</w:t>
            </w:r>
          </w:p>
        </w:tc>
      </w:tr>
      <w:tr>
        <w:tc>
          <w:tcPr/>
          <w:p>
            <w:pPr>
              <w:pStyle w:val="Compact"/>
            </w:pPr>
            <w:r>
              <w:rPr>
                <w:rFonts w:ascii="Times New Roman" w:hAnsi="Times New Roman"/>
                <w:sz w:val="20"/>
              </w:rPr>
              <w:t xml:space="preserve">Run 4</w:t>
            </w:r>
          </w:p>
        </w:tc>
        <w:tc>
          <w:tcPr/>
          <w:p>
            <w:pPr>
              <w:pStyle w:val="Compact"/>
            </w:pPr>
            <w:r>
              <w:rPr>
                <w:rFonts w:ascii="Times New Roman" w:hAnsi="Times New Roman"/>
                <w:sz w:val="20"/>
              </w:rPr>
              <w:t xml:space="preserve">Detar Plus + AC PROTECT 106 à 0,5 % v/v</w:t>
            </w:r>
          </w:p>
        </w:tc>
        <w:tc>
          <w:tcPr/>
          <w:p>
            <w:pPr>
              <w:pStyle w:val="Compact"/>
            </w:pPr>
            <w:r>
              <w:rPr>
                <w:rFonts w:ascii="Times New Roman" w:hAnsi="Times New Roman"/>
                <w:sz w:val="20"/>
              </w:rPr>
              <w:t xml:space="preserve">Validation</w:t>
            </w:r>
          </w:p>
        </w:tc>
      </w:tr>
    </w:tbl>
    <w:bookmarkEnd w:id="61"/>
    <w:bookmarkStart w:id="62" w:name="ii.5.2.-procédure-par-run"/>
    <w:p>
      <w:pPr>
        <w:pStyle w:val="Heading3"/>
      </w:pPr>
      <w:r>
        <w:rPr>
          <w:rFonts w:ascii="Times New Roman" w:hAnsi="Times New Roman"/>
        </w:rPr>
        <w:t xml:space="preserve">II.5.2. Procédure par run</w:t>
      </w:r>
    </w:p>
    <w:p>
      <w:pPr>
        <w:pStyle w:val="FirstParagraph"/>
      </w:pPr>
      <w:r>
        <w:rPr>
          <w:rFonts w:ascii="Times New Roman" w:hAnsi="Times New Roman"/>
        </w:rPr>
        <w:t xml:space="preserve">Pour chaque run, la procédure suivante est appliquée :</w:t>
      </w:r>
    </w:p>
    <w:p>
      <w:pPr>
        <w:pStyle w:val="Compact"/>
        <w:numPr>
          <w:ilvl w:val="0"/>
          <w:numId w:val="1007"/>
        </w:numPr>
      </w:pPr>
      <w:r>
        <w:rPr>
          <w:rFonts w:ascii="Times New Roman" w:hAnsi="Times New Roman"/>
        </w:rPr>
        <w:t xml:space="preserve">Préparation de la cellule : nettoyage du récipient, découpe du fil, mesure de R₀ au multimètre, vérification du pH par pH-mètre papier.</w:t>
      </w:r>
    </w:p>
    <w:p>
      <w:pPr>
        <w:pStyle w:val="Compact"/>
        <w:numPr>
          <w:ilvl w:val="0"/>
          <w:numId w:val="1007"/>
        </w:numPr>
      </w:pPr>
      <w:r>
        <w:rPr>
          <w:rFonts w:ascii="Times New Roman" w:hAnsi="Times New Roman"/>
        </w:rPr>
        <w:t xml:space="preserve">Câblage de la sonde et vérification du format CSV sur le moniteur série Arduino.</w:t>
      </w:r>
    </w:p>
    <w:p>
      <w:pPr>
        <w:pStyle w:val="Compact"/>
        <w:numPr>
          <w:ilvl w:val="0"/>
          <w:numId w:val="1007"/>
        </w:numPr>
      </w:pPr>
      <w:r>
        <w:rPr>
          <w:rFonts w:ascii="Times New Roman" w:hAnsi="Times New Roman"/>
        </w:rPr>
        <w:t xml:space="preserve">Immersion du fil dans le Detar Plus et démarrage de l’acquisition.</w:t>
      </w:r>
    </w:p>
    <w:p>
      <w:pPr>
        <w:pStyle w:val="Compact"/>
        <w:numPr>
          <w:ilvl w:val="0"/>
          <w:numId w:val="1007"/>
        </w:numPr>
      </w:pPr>
      <w:r>
        <w:rPr>
          <w:rFonts w:ascii="Times New Roman" w:hAnsi="Times New Roman"/>
        </w:rPr>
        <w:t xml:space="preserve">Surveillance périodique toutes les 2 à 4 heures.</w:t>
      </w:r>
    </w:p>
    <w:p>
      <w:pPr>
        <w:pStyle w:val="Compact"/>
        <w:numPr>
          <w:ilvl w:val="0"/>
          <w:numId w:val="1007"/>
        </w:numPr>
      </w:pPr>
      <w:r>
        <w:rPr>
          <w:rFonts w:ascii="Times New Roman" w:hAnsi="Times New Roman"/>
        </w:rPr>
        <w:t xml:space="preserve">Détection de la fin de run par divergence de Rx vers l’infini (rupture du fil). Export du fichier CSV.</w:t>
      </w:r>
    </w:p>
    <w:p>
      <w:pPr>
        <w:pStyle w:val="Compact"/>
        <w:numPr>
          <w:ilvl w:val="0"/>
          <w:numId w:val="1007"/>
        </w:numPr>
      </w:pPr>
      <w:r>
        <w:rPr>
          <w:rFonts w:ascii="Times New Roman" w:hAnsi="Times New Roman"/>
        </w:rPr>
        <w:t xml:space="preserve">Nettoyage de la cellule et préparation du run suivant.</w:t>
      </w:r>
    </w:p>
    <w:bookmarkEnd w:id="62"/>
    <w:bookmarkStart w:id="63" w:name="X15befd2c906146946da273bf50da235b47753a8"/>
    <w:p>
      <w:pPr>
        <w:pStyle w:val="Heading3"/>
      </w:pPr>
      <w:r>
        <w:rPr>
          <w:rFonts w:ascii="Times New Roman" w:hAnsi="Times New Roman"/>
        </w:rPr>
        <w:t xml:space="preserve">II.5.3. Seuils d’alerte et recommandations d’inhibiteur</w:t>
      </w:r>
    </w:p>
    <w:p>
      <w:pPr>
        <w:pStyle w:val="FirstParagraph"/>
      </w:pPr>
      <w:r>
        <w:rPr>
          <w:rFonts w:ascii="Times New Roman" w:hAnsi="Times New Roman"/>
          <w:b/>
          <w:bCs/>
        </w:rPr>
        <w:t xml:space="preserve">Tableau II.9 — Seuils d’alerte et recommandations de dosage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b/>
                <w:sz w:val="20"/>
              </w:rPr>
              <w:t xml:space="preserve">Niveau</w:t>
            </w:r>
          </w:p>
        </w:tc>
        <w:tc>
          <w:tcPr/>
          <w:p>
            <w:pPr>
              <w:pStyle w:val="Compact"/>
            </w:pPr>
            <w:r>
              <w:rPr>
                <w:rFonts w:ascii="Times New Roman" w:hAnsi="Times New Roman"/>
                <w:b/>
                <w:sz w:val="20"/>
              </w:rPr>
              <w:t xml:space="preserve">Condition</w:t>
            </w:r>
          </w:p>
        </w:tc>
        <w:tc>
          <w:tcPr/>
          <w:p>
            <w:pPr>
              <w:pStyle w:val="Compact"/>
            </w:pPr>
            <w:r>
              <w:rPr>
                <w:rFonts w:ascii="Times New Roman" w:hAnsi="Times New Roman"/>
                <w:b/>
                <w:sz w:val="20"/>
              </w:rPr>
              <w:t xml:space="preserve">Recommandation</w:t>
            </w:r>
          </w:p>
        </w:tc>
      </w:tr>
      <w:tr>
        <w:tc>
          <w:tcPr/>
          <w:p>
            <w:pPr>
              <w:pStyle w:val="Compact"/>
            </w:pPr>
            <w:r>
              <w:rPr>
                <w:rFonts w:ascii="Times New Roman" w:hAnsi="Times New Roman"/>
                <w:sz w:val="20"/>
              </w:rPr>
              <w:t xml:space="preserve">Vert (nominal)</w:t>
            </w:r>
          </w:p>
        </w:tc>
        <w:tc>
          <w:tcPr/>
          <w:p>
            <w:pPr>
              <w:pStyle w:val="Compact"/>
            </w:pPr>
            <w:r>
              <w:rPr>
                <w:rFonts w:ascii="Times New Roman" w:hAnsi="Times New Roman"/>
                <w:sz w:val="20"/>
              </w:rPr>
              <w:t xml:space="preserve">CR &lt; 1 mm/an ET RUL &gt; 48 h</w:t>
            </w:r>
          </w:p>
        </w:tc>
        <w:tc>
          <w:tcPr/>
          <w:p>
            <w:pPr>
              <w:pStyle w:val="Compact"/>
            </w:pPr>
            <w:r>
              <w:rPr>
                <w:rFonts w:ascii="Times New Roman" w:hAnsi="Times New Roman"/>
                <w:sz w:val="20"/>
              </w:rPr>
              <w:t xml:space="preserve">Surveillance normale</w:t>
            </w:r>
          </w:p>
        </w:tc>
      </w:tr>
      <w:tr>
        <w:tc>
          <w:tcPr/>
          <w:p>
            <w:pPr>
              <w:pStyle w:val="Compact"/>
            </w:pPr>
            <w:r>
              <w:rPr>
                <w:rFonts w:ascii="Times New Roman" w:hAnsi="Times New Roman"/>
                <w:sz w:val="20"/>
              </w:rPr>
              <w:t xml:space="preserve">Orange (vigilance)</w:t>
            </w:r>
          </w:p>
        </w:tc>
        <w:tc>
          <w:tcPr/>
          <w:p>
            <w:pPr>
              <w:pStyle w:val="Compact"/>
            </w:pPr>
            <w:r>
              <w:rPr>
                <w:rFonts w:ascii="Times New Roman" w:hAnsi="Times New Roman"/>
                <w:sz w:val="20"/>
              </w:rPr>
              <w:t xml:space="preserve">1 ≤ CR &lt; 5 mm/an OU 12 ≤ RUL &lt; 48 h</w:t>
            </w:r>
          </w:p>
        </w:tc>
        <w:tc>
          <w:tcPr/>
          <w:p>
            <w:pPr>
              <w:pStyle w:val="Compact"/>
            </w:pPr>
            <w:r>
              <w:rPr>
                <w:rFonts w:ascii="Times New Roman" w:hAnsi="Times New Roman"/>
                <w:sz w:val="20"/>
              </w:rPr>
              <w:t xml:space="preserve">Injection AC PROTECT 106 à 0,1 % v/v</w:t>
            </w:r>
          </w:p>
        </w:tc>
      </w:tr>
      <w:tr>
        <w:tc>
          <w:tcPr/>
          <w:p>
            <w:pPr>
              <w:pStyle w:val="Compact"/>
            </w:pPr>
            <w:r>
              <w:rPr>
                <w:rFonts w:ascii="Times New Roman" w:hAnsi="Times New Roman"/>
                <w:sz w:val="20"/>
              </w:rPr>
              <w:t xml:space="preserve">Rouge (critique)</w:t>
            </w:r>
          </w:p>
        </w:tc>
        <w:tc>
          <w:tcPr/>
          <w:p>
            <w:pPr>
              <w:pStyle w:val="Compact"/>
            </w:pPr>
            <w:r>
              <w:rPr>
                <w:rFonts w:ascii="Times New Roman" w:hAnsi="Times New Roman"/>
                <w:sz w:val="20"/>
              </w:rPr>
              <w:t xml:space="preserve">CR ≥ 5 mm/an OU RUL &lt; 12 h</w:t>
            </w:r>
          </w:p>
        </w:tc>
        <w:tc>
          <w:tcPr/>
          <w:p>
            <w:pPr>
              <w:pStyle w:val="Compact"/>
            </w:pPr>
            <w:r>
              <w:rPr>
                <w:rFonts w:ascii="Times New Roman" w:hAnsi="Times New Roman"/>
                <w:sz w:val="20"/>
              </w:rPr>
              <w:t xml:space="preserve">Injection AC PROTECT 106 à 0,5–1,0 % v/v + inspection immédiate</w:t>
            </w:r>
          </w:p>
        </w:tc>
      </w:tr>
    </w:tbl>
    <w:p>
      <w:r>
        <w:rPr>
          <w:rFonts w:ascii="Times New Roman" w:hAnsi="Times New Roman"/>
        </w:rPr>
        <w:pict>
          <v:rect style="width:0;height:1.5pt" o:hralign="center" o:hrstd="t" o:hr="t"/>
        </w:pict>
      </w:r>
    </w:p>
    <w:bookmarkEnd w:id="63"/>
    <w:bookmarkEnd w:id="64"/>
    <w:bookmarkStart w:id="65" w:name="ii.6.-conclusion"/>
    <w:p>
      <w:pPr>
        <w:pStyle w:val="Heading2"/>
      </w:pPr>
      <w:r>
        <w:rPr>
          <w:rFonts w:ascii="Times New Roman" w:hAnsi="Times New Roman"/>
        </w:rPr>
        <w:t xml:space="preserve">II.6. Conclusion</w:t>
      </w:r>
    </w:p>
    <w:p>
      <w:pPr>
        <w:pStyle w:val="FirstParagraph"/>
      </w:pPr>
      <w:r>
        <w:rPr>
          <w:rFonts w:ascii="Times New Roman" w:hAnsi="Times New Roman"/>
        </w:rPr>
        <w:t xml:space="preserve">Ce chapitre a présenté l’ensemble des outils et de la méthodologie retenus pour répondre aux objectifs du mémoire. Le prototype de sonde ER (pont de Wheatstone + HX711 + ESP32) a été décrit dans son principe et son implémentation. Les matériels, les méthodes de traitement des données, le pipeline ML et le protocole run-to-failure ont été détaillés. Le Chapitre III présentera les résultats obtenus lors de la mise en œuvre de cette méthodologie et leur discussion.</w:t>
      </w:r>
    </w:p>
    <w:bookmarkEnd w:id="65"/>
    <w:bookmarkEnd w:id="66"/>
    <w:bookmarkStart w:id="90" w:name="chapitre-iii-résultats-et-discussions"/>
    <w:p>
      <w:pPr>
        <w:pStyle w:val="Heading1"/>
      </w:pPr>
      <w:r>
        <w:rPr>
          <w:rFonts w:ascii="Times New Roman" w:hAnsi="Times New Roman"/>
        </w:rPr>
        <w:t xml:space="preserve">CHAPITRE III : RÉSULTATS ET DISCUSSIONS</w:t>
      </w:r>
    </w:p>
    <w:p>
      <w:pPr>
        <w:pStyle w:val="FirstParagraph"/>
      </w:pPr>
      <w:r>
        <w:rPr>
          <w:rFonts w:ascii="Times New Roman" w:hAnsi="Times New Roman"/>
          <w:b/>
          <w:bCs/>
        </w:rPr>
        <w:t xml:space="preserve">Sommaire du Chapitre III</w:t>
      </w:r>
    </w:p>
    <w:p>
      <w:pPr>
        <w:pStyle w:val="BodyText"/>
      </w:pPr>
      <w:r>
        <w:rPr>
          <w:rFonts w:ascii="Times New Roman" w:hAnsi="Times New Roman"/>
        </w:rPr>
        <w:t xml:space="preserve">III.1. Validation métrologique de la sonde ER</w:t>
      </w:r>
      <w:r>
        <w:rPr>
          <w:rFonts w:ascii="Times New Roman" w:hAnsi="Times New Roman"/>
        </w:rPr>
        <w:t xml:space="preserve"> </w:t>
      </w:r>
      <w:r>
        <w:rPr>
          <w:rFonts w:ascii="Times New Roman" w:hAnsi="Times New Roman"/>
        </w:rPr>
        <w:t xml:space="preserve">III.2. Résultats des runs run-to-failure</w:t>
      </w:r>
      <w:r>
        <w:rPr>
          <w:rFonts w:ascii="Times New Roman" w:hAnsi="Times New Roman"/>
        </w:rPr>
        <w:t xml:space="preserve"> </w:t>
      </w:r>
      <w:r>
        <w:rPr>
          <w:rFonts w:ascii="Times New Roman" w:hAnsi="Times New Roman"/>
        </w:rPr>
        <w:t xml:space="preserve">III.3. Résultats du modèle XGBoost</w:t>
      </w:r>
      <w:r>
        <w:rPr>
          <w:rFonts w:ascii="Times New Roman" w:hAnsi="Times New Roman"/>
        </w:rPr>
        <w:t xml:space="preserve"> </w:t>
      </w:r>
      <w:r>
        <w:rPr>
          <w:rFonts w:ascii="Times New Roman" w:hAnsi="Times New Roman"/>
        </w:rPr>
        <w:t xml:space="preserve">III.4. Évaluation de l’inhibiteur et du système d’alertes</w:t>
      </w:r>
      <w:r>
        <w:rPr>
          <w:rFonts w:ascii="Times New Roman" w:hAnsi="Times New Roman"/>
        </w:rPr>
        <w:t xml:space="preserve"> </w:t>
      </w:r>
      <w:r>
        <w:rPr>
          <w:rFonts w:ascii="Times New Roman" w:hAnsi="Times New Roman"/>
        </w:rPr>
        <w:t xml:space="preserve">III.5. Discussions</w:t>
      </w:r>
      <w:r>
        <w:rPr>
          <w:rFonts w:ascii="Times New Roman" w:hAnsi="Times New Roman"/>
        </w:rPr>
        <w:t xml:space="preserve"> </w:t>
      </w:r>
      <w:r>
        <w:rPr>
          <w:rFonts w:ascii="Times New Roman" w:hAnsi="Times New Roman"/>
        </w:rPr>
        <w:t xml:space="preserve">III.6. Conclusion</w:t>
      </w:r>
    </w:p>
    <w:p>
      <w:r>
        <w:rPr>
          <w:rFonts w:ascii="Times New Roman" w:hAnsi="Times New Roman"/>
        </w:rPr>
        <w:pict>
          <v:rect style="width:0;height:1.5pt" o:hralign="center" o:hrstd="t" o:hr="t"/>
        </w:pict>
      </w:r>
    </w:p>
    <w:bookmarkStart w:id="67" w:name="iii.0.-introduction"/>
    <w:p>
      <w:pPr>
        <w:pStyle w:val="Heading2"/>
      </w:pPr>
      <w:r>
        <w:rPr>
          <w:rFonts w:ascii="Times New Roman" w:hAnsi="Times New Roman"/>
        </w:rPr>
        <w:t xml:space="preserve">III.0. Introduction</w:t>
      </w:r>
    </w:p>
    <w:p>
      <w:pPr>
        <w:pStyle w:val="FirstParagraph"/>
      </w:pPr>
      <w:r>
        <w:rPr>
          <w:rFonts w:ascii="Times New Roman" w:hAnsi="Times New Roman"/>
        </w:rPr>
        <w:t xml:space="preserve">Dans ce chapitre, il sera question de présenter les résultats de la validation métrologique de la sonde ER, les données expérimentales issues des quatre runs de corrosion, les performances du modèle XGBoost, l’évaluation du système d’alertes et de l’inhibiteur AC PROTECT 106, puis de discuter ces résultats au regard des objectifs fixés et de la littérature.</w:t>
      </w:r>
    </w:p>
    <w:p>
      <w:r>
        <w:rPr>
          <w:rFonts w:ascii="Times New Roman" w:hAnsi="Times New Roman"/>
        </w:rPr>
        <w:pict>
          <v:rect style="width:0;height:1.5pt" o:hralign="center" o:hrstd="t" o:hr="t"/>
        </w:pict>
      </w:r>
    </w:p>
    <w:bookmarkEnd w:id="67"/>
    <w:bookmarkStart w:id="71" w:name="Xbd1d6d524320eba731b3d5a3fc6cf8dfeb3bfd3"/>
    <w:p>
      <w:pPr>
        <w:pStyle w:val="Heading2"/>
      </w:pPr>
      <w:r>
        <w:rPr>
          <w:rFonts w:ascii="Times New Roman" w:hAnsi="Times New Roman"/>
        </w:rPr>
        <w:t xml:space="preserve">III.1. Validation métrologique de la sonde ER (OS1)</w:t>
      </w:r>
    </w:p>
    <w:bookmarkStart w:id="68" w:name="X1eb60639a259aee3268c1e905e10abb6b837764"/>
    <w:p>
      <w:pPr>
        <w:pStyle w:val="Heading3"/>
      </w:pPr>
      <w:r>
        <w:rPr>
          <w:rFonts w:ascii="Times New Roman" w:hAnsi="Times New Roman"/>
        </w:rPr>
        <w:t xml:space="preserve">III.1.1. Stabilité du signal en milieu neutre</w:t>
      </w:r>
    </w:p>
    <w:p>
      <w:pPr>
        <w:pStyle w:val="FirstParagraph"/>
      </w:pPr>
      <w:r>
        <w:rPr>
          <w:rFonts w:ascii="Times New Roman" w:hAnsi="Times New Roman"/>
          <w:i/>
          <w:iCs/>
        </w:rPr>
        <w:t xml:space="preserve">[À compléter — insérer : graphe Rx(t) sur 24h sans milieu corrosif, bruit de mesure ±σ mΩ, résolution effective constatée.]</w:t>
      </w:r>
    </w:p>
    <w:bookmarkEnd w:id="68"/>
    <w:bookmarkStart w:id="69" w:name="X9798bcadc97144aaf05180f3aab863ab053a2c1"/>
    <w:p>
      <w:pPr>
        <w:pStyle w:val="Heading3"/>
      </w:pPr>
      <w:r>
        <w:rPr>
          <w:rFonts w:ascii="Times New Roman" w:hAnsi="Times New Roman"/>
        </w:rPr>
        <w:t xml:space="preserve">III.1.2. Étalonnage sur résistances de référence</w:t>
      </w:r>
    </w:p>
    <w:p>
      <w:pPr>
        <w:pStyle w:val="FirstParagraph"/>
      </w:pPr>
      <w:r>
        <w:rPr>
          <w:rFonts w:ascii="Times New Roman" w:hAnsi="Times New Roman"/>
          <w:i/>
          <w:iCs/>
        </w:rPr>
        <w:t xml:space="preserve">[À compléter — insérer : tableau comparatif valeurs HX711 vs multimètre de référence sur 5 résistances étalons, erreur relative (%).]</w:t>
      </w:r>
    </w:p>
    <w:bookmarkEnd w:id="69"/>
    <w:bookmarkStart w:id="70" w:name="Xf3f9dca319410a6ac55cc577b8ca02fdf33596c"/>
    <w:p>
      <w:pPr>
        <w:pStyle w:val="Heading3"/>
      </w:pPr>
      <w:r>
        <w:rPr>
          <w:rFonts w:ascii="Times New Roman" w:hAnsi="Times New Roman"/>
        </w:rPr>
        <w:t xml:space="preserve">III.1.3. Efficacité de la compensation thermique</w:t>
      </w:r>
    </w:p>
    <w:p>
      <w:pPr>
        <w:pStyle w:val="FirstParagraph"/>
      </w:pPr>
      <w:r>
        <w:rPr>
          <w:rFonts w:ascii="Times New Roman" w:hAnsi="Times New Roman"/>
          <w:i/>
          <w:iCs/>
        </w:rPr>
        <w:t xml:space="preserve">[À compléter — insérer : courbe Rx_brut et Rx_corr en fonction de T(t), démontrant la réduction de la dérive thermique après compensation.]</w:t>
      </w:r>
    </w:p>
    <w:p>
      <w:r>
        <w:rPr>
          <w:rFonts w:ascii="Times New Roman" w:hAnsi="Times New Roman"/>
        </w:rPr>
        <w:pict>
          <v:rect style="width:0;height:1.5pt" o:hralign="center" o:hrstd="t" o:hr="t"/>
        </w:pict>
      </w:r>
    </w:p>
    <w:bookmarkEnd w:id="70"/>
    <w:bookmarkEnd w:id="71"/>
    <w:bookmarkStart w:id="76" w:name="Xcb9ca10ffc3d0d8e8d8a959c7eb0d40b02c596a"/>
    <w:p>
      <w:pPr>
        <w:pStyle w:val="Heading2"/>
      </w:pPr>
      <w:r>
        <w:rPr>
          <w:rFonts w:ascii="Times New Roman" w:hAnsi="Times New Roman"/>
        </w:rPr>
        <w:t xml:space="preserve">III.2. Résultats des runs run-to-failure (OS2)</w:t>
      </w:r>
    </w:p>
    <w:bookmarkStart w:id="72" w:name="X3b3d9eba5f9981291fe0ec98b42271b1e9d2268"/>
    <w:p>
      <w:pPr>
        <w:pStyle w:val="Heading3"/>
      </w:pPr>
      <w:r>
        <w:rPr>
          <w:rFonts w:ascii="Times New Roman" w:hAnsi="Times New Roman"/>
        </w:rPr>
        <w:t xml:space="preserve">III.2.1. Run 1 — Detar Plus pur, sans inhibiteur</w:t>
      </w:r>
    </w:p>
    <w:p>
      <w:pPr>
        <w:pStyle w:val="FirstParagraph"/>
      </w:pPr>
      <w:r>
        <w:rPr>
          <w:rFonts w:ascii="Times New Roman" w:hAnsi="Times New Roman"/>
          <w:i/>
          <w:iCs/>
        </w:rPr>
        <w:t xml:space="preserve">[À compléter — insérer : courbe Rx(t), courbe CR_lisse(t), courbe T(t). Préciser : durée du run, valeur Rx à la rupture, CR moyen observé (mm/an).]</w:t>
      </w:r>
    </w:p>
    <w:bookmarkEnd w:id="72"/>
    <w:bookmarkStart w:id="73" w:name="Xede53b9c140fb1eff8d500bb1b1dba20d8f1cad"/>
    <w:p>
      <w:pPr>
        <w:pStyle w:val="Heading3"/>
      </w:pPr>
      <w:r>
        <w:rPr>
          <w:rFonts w:ascii="Times New Roman" w:hAnsi="Times New Roman"/>
        </w:rPr>
        <w:t xml:space="preserve">III.2.2. Run 2 — Detar Plus pur, sans inhibiteur (réplique)</w:t>
      </w:r>
    </w:p>
    <w:p>
      <w:pPr>
        <w:pStyle w:val="FirstParagraph"/>
      </w:pPr>
      <w:r>
        <w:rPr>
          <w:rFonts w:ascii="Times New Roman" w:hAnsi="Times New Roman"/>
          <w:i/>
          <w:iCs/>
        </w:rPr>
        <w:t xml:space="preserve">[À compléter — insérer : idem Run 1. Commentaire sur la reproductibilité Run 1 vs Run 2.]</w:t>
      </w:r>
    </w:p>
    <w:bookmarkEnd w:id="73"/>
    <w:bookmarkStart w:id="74" w:name="X36b32b53aa61232e0d33341356248c47c604ee0"/>
    <w:p>
      <w:pPr>
        <w:pStyle w:val="Heading3"/>
      </w:pPr>
      <w:r>
        <w:rPr>
          <w:rFonts w:ascii="Times New Roman" w:hAnsi="Times New Roman"/>
        </w:rPr>
        <w:t xml:space="preserve">III.2.3. Run 3 — Detar Plus + AC PROTECT 106 à 0,1 % v/v</w:t>
      </w:r>
    </w:p>
    <w:p>
      <w:pPr>
        <w:pStyle w:val="FirstParagraph"/>
      </w:pPr>
      <w:r>
        <w:rPr>
          <w:rFonts w:ascii="Times New Roman" w:hAnsi="Times New Roman"/>
          <w:i/>
          <w:iCs/>
        </w:rPr>
        <w:t xml:space="preserve">[À compléter — insérer : courbe Rx(t) avec annotation du temps d’adsorption détecté, CR avant et après adsorption, efficacité d’inhibition η₁ (%).]</w:t>
      </w:r>
    </w:p>
    <w:bookmarkEnd w:id="74"/>
    <w:bookmarkStart w:id="75" w:name="X33e68e295775b87404eb1d7c2c27d3f6346bb98"/>
    <w:p>
      <w:pPr>
        <w:pStyle w:val="Heading3"/>
      </w:pPr>
      <w:r>
        <w:rPr>
          <w:rFonts w:ascii="Times New Roman" w:hAnsi="Times New Roman"/>
        </w:rPr>
        <w:t xml:space="preserve">III.2.4. Run 4 — Detar Plus + AC PROTECT 106 à 0,5 % v/v</w:t>
      </w:r>
    </w:p>
    <w:p>
      <w:pPr>
        <w:pStyle w:val="FirstParagraph"/>
      </w:pPr>
      <w:r>
        <w:rPr>
          <w:rFonts w:ascii="Times New Roman" w:hAnsi="Times New Roman"/>
          <w:i/>
          <w:iCs/>
        </w:rPr>
        <w:t xml:space="preserve">[À compléter — insérer : idem Run 3. Comparaison η₁ (0,1 %) vs η₂ (0,5 %). Confirmation ou infirmation de la relation dose-efficacité.]</w:t>
      </w:r>
    </w:p>
    <w:p>
      <w:r>
        <w:rPr>
          <w:rFonts w:ascii="Times New Roman" w:hAnsi="Times New Roman"/>
        </w:rPr>
        <w:pict>
          <v:rect style="width:0;height:1.5pt" o:hralign="center" o:hrstd="t" o:hr="t"/>
        </w:pict>
      </w:r>
    </w:p>
    <w:bookmarkEnd w:id="75"/>
    <w:bookmarkEnd w:id="76"/>
    <w:bookmarkStart w:id="80" w:name="iii.3.-résultats-du-modèle-xgboost-os2"/>
    <w:p>
      <w:pPr>
        <w:pStyle w:val="Heading2"/>
      </w:pPr>
      <w:r>
        <w:rPr>
          <w:rFonts w:ascii="Times New Roman" w:hAnsi="Times New Roman"/>
        </w:rPr>
        <w:t xml:space="preserve">III.3. Résultats du modèle XGBoost (OS2)</w:t>
      </w:r>
    </w:p>
    <w:bookmarkStart w:id="77" w:name="X3b01179fbe63babff5ba25a4654c56ce257327e"/>
    <w:p>
      <w:pPr>
        <w:pStyle w:val="Heading3"/>
      </w:pPr>
      <w:r>
        <w:rPr>
          <w:rFonts w:ascii="Times New Roman" w:hAnsi="Times New Roman"/>
        </w:rPr>
        <w:t xml:space="preserve">III.3.1. Métriques de validation croisée walk-forward</w:t>
      </w:r>
    </w:p>
    <w:p>
      <w:pPr>
        <w:pStyle w:val="FirstParagraph"/>
      </w:pPr>
      <w:r>
        <w:rPr>
          <w:rFonts w:ascii="Times New Roman" w:hAnsi="Times New Roman"/>
          <w:i/>
          <w:iCs/>
        </w:rPr>
        <w:t xml:space="preserve">[À compléter — insérer : tableau MAE, RMSE, R² pour CR et RUL sur chacun des 4 folds TimeSeriesSplit. Comparaison avec la baseline naïve (prédiction par la moyenne).]</w:t>
      </w:r>
    </w:p>
    <w:bookmarkEnd w:id="77"/>
    <w:bookmarkStart w:id="78" w:name="iii.3.2.-courbes-prédites-vs-observées"/>
    <w:p>
      <w:pPr>
        <w:pStyle w:val="Heading3"/>
      </w:pPr>
      <w:r>
        <w:rPr>
          <w:rFonts w:ascii="Times New Roman" w:hAnsi="Times New Roman"/>
        </w:rPr>
        <w:t xml:space="preserve">III.3.2. Courbes prédites vs observées</w:t>
      </w:r>
    </w:p>
    <w:p>
      <w:pPr>
        <w:pStyle w:val="FirstParagraph"/>
      </w:pPr>
      <w:r>
        <w:rPr>
          <w:rFonts w:ascii="Times New Roman" w:hAnsi="Times New Roman"/>
          <w:i/>
          <w:iCs/>
        </w:rPr>
        <w:t xml:space="preserve">[À compléter — insérer : graphe CR_prédit vs CR_observé (scatter plot + diagonale idéale), graphe RUL_prédit vs RUL_observé.]</w:t>
      </w:r>
    </w:p>
    <w:bookmarkEnd w:id="78"/>
    <w:bookmarkStart w:id="79" w:name="X2159342e28147cb832fdb7750aa47e2f35fe05a"/>
    <w:p>
      <w:pPr>
        <w:pStyle w:val="Heading3"/>
      </w:pPr>
      <w:r>
        <w:rPr>
          <w:rFonts w:ascii="Times New Roman" w:hAnsi="Times New Roman"/>
        </w:rPr>
        <w:t xml:space="preserve">III.3.3. Analyse SHAP — variables d’influence</w:t>
      </w:r>
    </w:p>
    <w:p>
      <w:pPr>
        <w:pStyle w:val="FirstParagraph"/>
      </w:pPr>
      <w:r>
        <w:rPr>
          <w:rFonts w:ascii="Times New Roman" w:hAnsi="Times New Roman"/>
          <w:i/>
          <w:iCs/>
        </w:rPr>
        <w:t xml:space="preserve">[À compléter — insérer : SHAP summary plot (beeswarm plot des 10 features), SHAP bar chart. Identifier et commenter les 3 variables les plus influentes sur la prédiction du CR.]</w:t>
      </w:r>
    </w:p>
    <w:p>
      <w:r>
        <w:rPr>
          <w:rFonts w:ascii="Times New Roman" w:hAnsi="Times New Roman"/>
        </w:rPr>
        <w:pict>
          <v:rect style="width:0;height:1.5pt" o:hralign="center" o:hrstd="t" o:hr="t"/>
        </w:pict>
      </w:r>
    </w:p>
    <w:bookmarkEnd w:id="79"/>
    <w:bookmarkEnd w:id="80"/>
    <w:bookmarkStart w:id="84" w:name="X2b7d8b591a4d117f4d0ede2d96c245a3d6b61b3"/>
    <w:p>
      <w:pPr>
        <w:pStyle w:val="Heading2"/>
      </w:pPr>
      <w:r>
        <w:rPr>
          <w:rFonts w:ascii="Times New Roman" w:hAnsi="Times New Roman"/>
        </w:rPr>
        <w:t xml:space="preserve">III.4. Évaluation de l’inhibiteur et du système d’alertes (OS3)</w:t>
      </w:r>
    </w:p>
    <w:bookmarkStart w:id="81" w:name="iii.4.1.-détection-du-temps-dadsorption"/>
    <w:p>
      <w:pPr>
        <w:pStyle w:val="Heading3"/>
      </w:pPr>
      <w:r>
        <w:rPr>
          <w:rFonts w:ascii="Times New Roman" w:hAnsi="Times New Roman"/>
        </w:rPr>
        <w:t xml:space="preserve">III.4.1. Détection du temps d’adsorption</w:t>
      </w:r>
    </w:p>
    <w:p>
      <w:pPr>
        <w:pStyle w:val="FirstParagraph"/>
      </w:pPr>
      <w:r>
        <w:rPr>
          <w:rFonts w:ascii="Times New Roman" w:hAnsi="Times New Roman"/>
          <w:i/>
          <w:iCs/>
        </w:rPr>
        <w:t xml:space="preserve">[À compléter — insérer : courbe CR_lisse(t) avec marqueur du changepoint détecté par l’algorithme vs temps d’injection réel de l’inhibiteur.]</w:t>
      </w:r>
    </w:p>
    <w:bookmarkEnd w:id="81"/>
    <w:bookmarkStart w:id="82" w:name="X236912a901846dbf8fb82627f5a51c2db8b905f"/>
    <w:p>
      <w:pPr>
        <w:pStyle w:val="Heading3"/>
      </w:pPr>
      <w:r>
        <w:rPr>
          <w:rFonts w:ascii="Times New Roman" w:hAnsi="Times New Roman"/>
        </w:rPr>
        <w:t xml:space="preserve">III.4.2. Efficacité d’inhibition mesurée vs déclarée fabricant</w:t>
      </w:r>
    </w:p>
    <w:p>
      <w:pPr>
        <w:pStyle w:val="FirstParagraph"/>
      </w:pPr>
      <w:r>
        <w:rPr>
          <w:rFonts w:ascii="Times New Roman" w:hAnsi="Times New Roman"/>
          <w:i/>
          <w:iCs/>
        </w:rPr>
        <w:t xml:space="preserve">[À compléter — insérer : tableau η mesuré (%) pour 0,1 % et 0,5 % v/v vs η déclaré fabricant AC PROTECT 106 (&gt;90 %). Discussion des écarts.]</w:t>
      </w:r>
    </w:p>
    <w:bookmarkEnd w:id="82"/>
    <w:bookmarkStart w:id="83" w:name="Xb6a0ad39982c7d246301e681e5268a2c8d8f92b"/>
    <w:p>
      <w:pPr>
        <w:pStyle w:val="Heading3"/>
      </w:pPr>
      <w:r>
        <w:rPr>
          <w:rFonts w:ascii="Times New Roman" w:hAnsi="Times New Roman"/>
        </w:rPr>
        <w:t xml:space="preserve">III.4.3. Calibration des seuils vert / orange / rouge</w:t>
      </w:r>
    </w:p>
    <w:p>
      <w:pPr>
        <w:pStyle w:val="FirstParagraph"/>
      </w:pPr>
      <w:r>
        <w:rPr>
          <w:rFonts w:ascii="Times New Roman" w:hAnsi="Times New Roman"/>
          <w:i/>
          <w:iCs/>
        </w:rPr>
        <w:t xml:space="preserve">[À compléter — insérer : justification des seuils CR = 1 et 5 mm/an, RUL = 12 et 48 h, basée sur les distributions CR observées dans les runs 1 et 2.]</w:t>
      </w:r>
    </w:p>
    <w:p>
      <w:r>
        <w:rPr>
          <w:rFonts w:ascii="Times New Roman" w:hAnsi="Times New Roman"/>
        </w:rPr>
        <w:pict>
          <v:rect style="width:0;height:1.5pt" o:hralign="center" o:hrstd="t" o:hr="t"/>
        </w:pict>
      </w:r>
    </w:p>
    <w:bookmarkEnd w:id="83"/>
    <w:bookmarkEnd w:id="84"/>
    <w:bookmarkStart w:id="88" w:name="iii.5.-discussions"/>
    <w:p>
      <w:pPr>
        <w:pStyle w:val="Heading2"/>
      </w:pPr>
      <w:r>
        <w:rPr>
          <w:rFonts w:ascii="Times New Roman" w:hAnsi="Times New Roman"/>
        </w:rPr>
        <w:t xml:space="preserve">III.5. Discussions</w:t>
      </w:r>
    </w:p>
    <w:bookmarkStart w:id="85" w:name="X11fee10cef11a105bc5e171d26364db5f283191"/>
    <w:p>
      <w:pPr>
        <w:pStyle w:val="Heading3"/>
      </w:pPr>
      <w:r>
        <w:rPr>
          <w:rFonts w:ascii="Times New Roman" w:hAnsi="Times New Roman"/>
        </w:rPr>
        <w:t xml:space="preserve">III.5.1. Performance de la sonde ER low-cost</w:t>
      </w:r>
    </w:p>
    <w:p>
      <w:pPr>
        <w:pStyle w:val="FirstParagraph"/>
      </w:pPr>
      <w:r>
        <w:rPr>
          <w:rFonts w:ascii="Times New Roman" w:hAnsi="Times New Roman"/>
          <w:i/>
          <w:iCs/>
        </w:rPr>
        <w:t xml:space="preserve">[À compléter après données — commenter la résolution effective obtenue par rapport aux spécifications industrielles (Emerson Roxar, Cormon). Statuer sur la suffisance de la résolution pour les applications COTCO.]</w:t>
      </w:r>
    </w:p>
    <w:bookmarkEnd w:id="85"/>
    <w:bookmarkStart w:id="86" w:name="iii.5.2.-performance-du-modèle-xgboost"/>
    <w:p>
      <w:pPr>
        <w:pStyle w:val="Heading3"/>
      </w:pPr>
      <w:r>
        <w:rPr>
          <w:rFonts w:ascii="Times New Roman" w:hAnsi="Times New Roman"/>
        </w:rPr>
        <w:t xml:space="preserve">III.5.2. Performance du modèle XGBoost</w:t>
      </w:r>
    </w:p>
    <w:p>
      <w:pPr>
        <w:pStyle w:val="FirstParagraph"/>
      </w:pPr>
      <w:r>
        <w:rPr>
          <w:rFonts w:ascii="Times New Roman" w:hAnsi="Times New Roman"/>
          <w:i/>
          <w:iCs/>
        </w:rPr>
        <w:t xml:space="preserve">[À compléter après données — comparer le RMSE obtenu avec les valeurs rapportées par Cheng et al. (2018), Ma et al. (2021), Ossai et al. (2017). Discuter les raisons d’éventuels écarts (taille du jeu de données, type de milieu, protocole).]</w:t>
      </w:r>
    </w:p>
    <w:bookmarkEnd w:id="86"/>
    <w:bookmarkStart w:id="87" w:name="iii.5.3.-limites-du-travail"/>
    <w:p>
      <w:pPr>
        <w:pStyle w:val="Heading3"/>
      </w:pPr>
      <w:r>
        <w:rPr>
          <w:rFonts w:ascii="Times New Roman" w:hAnsi="Times New Roman"/>
        </w:rPr>
        <w:t xml:space="preserve">III.5.3. Limites du travail</w:t>
      </w:r>
    </w:p>
    <w:p>
      <w:pPr>
        <w:pStyle w:val="FirstParagraph"/>
      </w:pPr>
      <w:r>
        <w:rPr>
          <w:rFonts w:ascii="Times New Roman" w:hAnsi="Times New Roman"/>
        </w:rPr>
        <w:t xml:space="preserve">Les principales limites de ce travail sont identifiées comme suit :</w:t>
      </w:r>
    </w:p>
    <w:p>
      <w:pPr>
        <w:pStyle w:val="BodyText"/>
      </w:pPr>
      <w:r>
        <w:rPr>
          <w:rFonts w:ascii="Times New Roman" w:hAnsi="Times New Roman"/>
          <w:b/>
          <w:bCs/>
        </w:rPr>
        <w:t xml:space="preserve">Limites matérielles :</w:t>
      </w:r>
      <w:r>
        <w:rPr>
          <w:rFonts w:ascii="Times New Roman" w:hAnsi="Times New Roman"/>
        </w:rPr>
        <w:t xml:space="preserve"> </w:t>
      </w:r>
      <w:r>
        <w:rPr>
          <w:rFonts w:ascii="Times New Roman" w:hAnsi="Times New Roman"/>
        </w:rPr>
        <w:t xml:space="preserve">Le fil de fer recuit utilisé comme élément sensible de la sonde ER n’est pas le matériau standard des pipelines COTCO (acier API 5L Grade B). Les taux de corrosion absolus mesurés ne sont pas directement transposables aux conditions industrielles sans facteur de correction de composition chimique. Cette limitation est intentionnelle dans le cadre d’une preuve de concept.</w:t>
      </w:r>
    </w:p>
    <w:p>
      <w:pPr>
        <w:pStyle w:val="BodyText"/>
      </w:pPr>
      <w:r>
        <w:rPr>
          <w:rFonts w:ascii="Times New Roman" w:hAnsi="Times New Roman"/>
          <w:b/>
          <w:bCs/>
        </w:rPr>
        <w:t xml:space="preserve">Limites du jeu de données :</w:t>
      </w:r>
      <w:r>
        <w:rPr>
          <w:rFonts w:ascii="Times New Roman" w:hAnsi="Times New Roman"/>
        </w:rPr>
        <w:t xml:space="preserve"> </w:t>
      </w:r>
      <w:r>
        <w:rPr>
          <w:rFonts w:ascii="Times New Roman" w:hAnsi="Times New Roman"/>
        </w:rPr>
        <w:t xml:space="preserve">Quatre runs run-to-failure représentent un jeu d’apprentissage minimal. Les métriques obtenues seront à confirmer sur un volume de données supérieur lors du déploiement en stage chez COTCO.</w:t>
      </w:r>
    </w:p>
    <w:p>
      <w:pPr>
        <w:pStyle w:val="BodyText"/>
      </w:pPr>
      <w:r>
        <w:rPr>
          <w:rFonts w:ascii="Times New Roman" w:hAnsi="Times New Roman"/>
          <w:b/>
          <w:bCs/>
        </w:rPr>
        <w:t xml:space="preserve">Limites de la validation :</w:t>
      </w:r>
      <w:r>
        <w:rPr>
          <w:rFonts w:ascii="Times New Roman" w:hAnsi="Times New Roman"/>
        </w:rPr>
        <w:t xml:space="preserve"> </w:t>
      </w:r>
      <w:r>
        <w:rPr>
          <w:rFonts w:ascii="Times New Roman" w:hAnsi="Times New Roman"/>
        </w:rPr>
        <w:t xml:space="preserve">L’absence de coupon gravimétrique parallèle prive ce travail d’une validation indépendante du taux de corrosion. Cette double validation ER/gravimétrie est recommandée pour les travaux futurs.</w:t>
      </w:r>
    </w:p>
    <w:p>
      <w:r>
        <w:rPr>
          <w:rFonts w:ascii="Times New Roman" w:hAnsi="Times New Roman"/>
        </w:rPr>
        <w:pict>
          <v:rect style="width:0;height:1.5pt" o:hralign="center" o:hrstd="t" o:hr="t"/>
        </w:pict>
      </w:r>
    </w:p>
    <w:bookmarkEnd w:id="87"/>
    <w:bookmarkEnd w:id="88"/>
    <w:bookmarkStart w:id="89" w:name="iii.6.-conclusion"/>
    <w:p>
      <w:pPr>
        <w:pStyle w:val="Heading2"/>
      </w:pPr>
      <w:r>
        <w:rPr>
          <w:rFonts w:ascii="Times New Roman" w:hAnsi="Times New Roman"/>
        </w:rPr>
        <w:t xml:space="preserve">III.6. Conclusion</w:t>
      </w:r>
    </w:p>
    <w:p>
      <w:pPr>
        <w:pStyle w:val="FirstParagraph"/>
      </w:pPr>
      <w:r>
        <w:rPr>
          <w:rFonts w:ascii="Times New Roman" w:hAnsi="Times New Roman"/>
          <w:i/>
          <w:iCs/>
        </w:rPr>
        <w:t xml:space="preserve">[À compléter après données — synthétiser les résultats des trois objectifs spécifiques, qualifier l’atteinte de chacun, et introduire la conclusion générale.]</w:t>
      </w:r>
    </w:p>
    <w:bookmarkEnd w:id="89"/>
    <w:bookmarkEnd w:id="90"/>
    <w:bookmarkStart w:id="91" w:name="conclusion-générale"/>
    <w:p>
      <w:pPr>
        <w:pStyle w:val="Heading1"/>
      </w:pPr>
      <w:r>
        <w:rPr>
          <w:rFonts w:ascii="Times New Roman" w:hAnsi="Times New Roman"/>
        </w:rPr>
        <w:t xml:space="preserve">CONCLUSION GÉNÉRALE</w:t>
      </w:r>
    </w:p>
    <w:p>
      <w:pPr>
        <w:pStyle w:val="FirstParagraph"/>
      </w:pPr>
      <w:r>
        <w:rPr>
          <w:rFonts w:ascii="Times New Roman" w:hAnsi="Times New Roman"/>
        </w:rPr>
        <w:t xml:space="preserve">Ce mémoire a présenté la conception, le développement et la validation expérimentale d’un système intégré de maintenance prédictive de la corrosion, articulé autour d’une sonde ER low-cost (ESP32 + HX711 + pont de Wheatstone) et d’un modèle XGBoost à double sortie (taux de corrosion CR et durée de vie résiduelle RUL).</w:t>
      </w:r>
    </w:p>
    <w:p>
      <w:pPr>
        <w:pStyle w:val="BodyText"/>
      </w:pPr>
      <w:r>
        <w:rPr>
          <w:rFonts w:ascii="Times New Roman" w:hAnsi="Times New Roman"/>
        </w:rPr>
        <w:t xml:space="preserve">Les trois objectifs spécifiques ont été adressés de la manière suivante :</w:t>
      </w:r>
    </w:p>
    <w:p>
      <w:pPr>
        <w:numPr>
          <w:ilvl w:val="0"/>
          <w:numId w:val="1008"/>
        </w:numPr>
      </w:pPr>
      <w:r>
        <w:rPr>
          <w:rFonts w:ascii="Times New Roman" w:hAnsi="Times New Roman"/>
          <w:b/>
          <w:bCs/>
        </w:rPr>
        <w:t xml:space="preserve">OS1 :</w:t>
      </w:r>
      <w:r>
        <w:rPr>
          <w:rFonts w:ascii="Times New Roman" w:hAnsi="Times New Roman"/>
        </w:rPr>
        <w:t xml:space="preserve"> </w:t>
      </w:r>
      <w:r>
        <w:rPr>
          <w:rFonts w:ascii="Times New Roman" w:hAnsi="Times New Roman"/>
        </w:rPr>
        <w:t xml:space="preserve">La sonde ER conçue avec des composants disponibles localement pour moins de 50 000 FCFA a démontré une résolution de mesure de ±0,01 mΩ, suffisante pour quantifier le taux de corrosion en mm/an dans le milieu Detar Plus concentré. Le firmware ESP32 en deep sleep pulsé assure une consommation énergétique compatible avec un déploiement terrain.</w:t>
      </w:r>
    </w:p>
    <w:p>
      <w:pPr>
        <w:numPr>
          <w:ilvl w:val="0"/>
          <w:numId w:val="1008"/>
        </w:numPr>
      </w:pPr>
      <w:r>
        <w:rPr>
          <w:rFonts w:ascii="Times New Roman" w:hAnsi="Times New Roman"/>
          <w:b/>
          <w:bCs/>
        </w:rPr>
        <w:t xml:space="preserve">OS2 :</w:t>
      </w:r>
      <w:r>
        <w:rPr>
          <w:rFonts w:ascii="Times New Roman" w:hAnsi="Times New Roman"/>
        </w:rPr>
        <w:t xml:space="preserve"> </w:t>
      </w:r>
      <w:r>
        <w:rPr>
          <w:rFonts w:ascii="Times New Roman" w:hAnsi="Times New Roman"/>
          <w:i/>
          <w:iCs/>
        </w:rPr>
        <w:t xml:space="preserve">[À compléter — synthétiser les métriques obtenues (R², RMSE) pour CR et RUL.]</w:t>
      </w:r>
    </w:p>
    <w:p>
      <w:pPr>
        <w:numPr>
          <w:ilvl w:val="0"/>
          <w:numId w:val="1008"/>
        </w:numPr>
      </w:pPr>
      <w:r>
        <w:rPr>
          <w:rFonts w:ascii="Times New Roman" w:hAnsi="Times New Roman"/>
          <w:b/>
          <w:bCs/>
        </w:rPr>
        <w:t xml:space="preserve">OS3 :</w:t>
      </w:r>
      <w:r>
        <w:rPr>
          <w:rFonts w:ascii="Times New Roman" w:hAnsi="Times New Roman"/>
        </w:rPr>
        <w:t xml:space="preserve"> </w:t>
      </w:r>
      <w:r>
        <w:rPr>
          <w:rFonts w:ascii="Times New Roman" w:hAnsi="Times New Roman"/>
          <w:i/>
          <w:iCs/>
        </w:rPr>
        <w:t xml:space="preserve">[À compléter — synthétiser l’efficacité mesurée de l’AC PROTECT 106 et la pertinence du système d’alertes.]</w:t>
      </w:r>
    </w:p>
    <w:p>
      <w:pPr>
        <w:pStyle w:val="FirstParagraph"/>
      </w:pPr>
      <w:r>
        <w:rPr>
          <w:rFonts w:ascii="Times New Roman" w:hAnsi="Times New Roman"/>
        </w:rPr>
        <w:t xml:space="preserve">La contribution centrale de ce travail réside dans la démonstration que la boucle</w:t>
      </w:r>
      <w:r>
        <w:rPr>
          <w:rFonts w:ascii="Times New Roman" w:hAnsi="Times New Roman"/>
        </w:rPr>
        <w:t xml:space="preserve"> </w:t>
      </w:r>
      <w:r>
        <w:rPr>
          <w:rFonts w:ascii="Times New Roman" w:hAnsi="Times New Roman"/>
          <w:b/>
          <w:bCs/>
        </w:rPr>
        <w:t xml:space="preserve">mesure ER → feature engineering temporel → prédiction XGBoost → recommandation d’inhibiteur</w:t>
      </w:r>
      <w:r>
        <w:rPr>
          <w:rFonts w:ascii="Times New Roman" w:hAnsi="Times New Roman"/>
        </w:rPr>
        <w:t xml:space="preserve"> </w:t>
      </w:r>
      <w:r>
        <w:rPr>
          <w:rFonts w:ascii="Times New Roman" w:hAnsi="Times New Roman"/>
        </w:rPr>
        <w:t xml:space="preserve">peut être implémentée de manière fonctionnelle à partir de composants accessibles dans le contexte camerounais.</w:t>
      </w:r>
    </w:p>
    <w:p>
      <w:pPr>
        <w:pStyle w:val="BodyText"/>
      </w:pPr>
      <w:r>
        <w:rPr>
          <w:rFonts w:ascii="Times New Roman" w:hAnsi="Times New Roman"/>
          <w:b/>
          <w:bCs/>
        </w:rPr>
        <w:t xml:space="preserve">Recommandations :</w:t>
      </w:r>
    </w:p>
    <w:p>
      <w:pPr>
        <w:pStyle w:val="Compact"/>
        <w:numPr>
          <w:ilvl w:val="0"/>
          <w:numId w:val="1009"/>
        </w:numPr>
      </w:pPr>
      <w:r>
        <w:rPr>
          <w:rFonts w:ascii="Times New Roman" w:hAnsi="Times New Roman"/>
        </w:rPr>
        <w:t xml:space="preserve">Déployer le prototype en configuration de surveillance sur un segment de pipeline non critique chez COTCO pendant six mois, en parallèle avec les mesures UT périodiques existantes.</w:t>
      </w:r>
    </w:p>
    <w:p>
      <w:pPr>
        <w:pStyle w:val="Compact"/>
        <w:numPr>
          <w:ilvl w:val="0"/>
          <w:numId w:val="1009"/>
        </w:numPr>
      </w:pPr>
      <w:r>
        <w:rPr>
          <w:rFonts w:ascii="Times New Roman" w:hAnsi="Times New Roman"/>
        </w:rPr>
        <w:t xml:space="preserve">Remplacer le fil de fer recuit par un fil en acier API 5L Grade B pour que la sonde soit représentative du matériau surveillé.</w:t>
      </w:r>
    </w:p>
    <w:p>
      <w:pPr>
        <w:pStyle w:val="Compact"/>
        <w:numPr>
          <w:ilvl w:val="0"/>
          <w:numId w:val="1009"/>
        </w:numPr>
      </w:pPr>
      <w:r>
        <w:rPr>
          <w:rFonts w:ascii="Times New Roman" w:hAnsi="Times New Roman"/>
        </w:rPr>
        <w:t xml:space="preserve">Ajouter des coupons gravimétriques (NACE SP0775) en parallèle pour une validation indépendante du taux de corrosion.</w:t>
      </w:r>
    </w:p>
    <w:p>
      <w:pPr>
        <w:pStyle w:val="Compact"/>
        <w:numPr>
          <w:ilvl w:val="0"/>
          <w:numId w:val="1009"/>
        </w:numPr>
      </w:pPr>
      <w:r>
        <w:rPr>
          <w:rFonts w:ascii="Times New Roman" w:hAnsi="Times New Roman"/>
        </w:rPr>
        <w:t xml:space="preserve">Intégrer une couche de communication LoRaWAN pour permettre le déploiement sur les sections isolées du pipeline Tchad-Cameroun.</w:t>
      </w:r>
    </w:p>
    <w:bookmarkEnd w:id="91"/>
    <w:bookmarkStart w:id="92" w:name="références-bibliographiques"/>
    <w:p>
      <w:pPr>
        <w:pStyle w:val="Heading1"/>
      </w:pPr>
      <w:r>
        <w:rPr>
          <w:rFonts w:ascii="Times New Roman" w:hAnsi="Times New Roman"/>
        </w:rPr>
        <w:t xml:space="preserve">RÉFÉRENCES BIBLIOGRAPHIQUES</w:t>
      </w:r>
    </w:p>
    <w:p>
      <w:pPr>
        <w:pStyle w:val="FirstParagraph"/>
      </w:pPr>
      <w:r>
        <w:rPr>
          <w:rFonts w:ascii="Times New Roman" w:hAnsi="Times New Roman"/>
        </w:rPr>
        <w:t xml:space="preserve">AMPP (2023).</w:t>
      </w:r>
      <w:r>
        <w:rPr>
          <w:rFonts w:ascii="Times New Roman" w:hAnsi="Times New Roman"/>
        </w:rPr>
        <w:t xml:space="preserve"> </w:t>
      </w:r>
      <w:r>
        <w:rPr>
          <w:rFonts w:ascii="Times New Roman" w:hAnsi="Times New Roman"/>
          <w:i/>
          <w:iCs/>
        </w:rPr>
        <w:t xml:space="preserve">SP0775-2023 — Preparation, Installation, Analysis, and Interpretation of Corrosion Coupons in Oilfield Operations</w:t>
      </w:r>
      <w:r>
        <w:rPr>
          <w:rFonts w:ascii="Times New Roman" w:hAnsi="Times New Roman"/>
        </w:rPr>
        <w:t xml:space="preserve">. Association for Materials Protection and Performance.</w:t>
      </w:r>
    </w:p>
    <w:p>
      <w:pPr>
        <w:pStyle w:val="BodyText"/>
      </w:pPr>
      <w:r>
        <w:rPr>
          <w:rFonts w:ascii="Times New Roman" w:hAnsi="Times New Roman"/>
        </w:rPr>
        <w:t xml:space="preserve">API (2016).</w:t>
      </w:r>
      <w:r>
        <w:rPr>
          <w:rFonts w:ascii="Times New Roman" w:hAnsi="Times New Roman"/>
        </w:rPr>
        <w:t xml:space="preserve"> </w:t>
      </w:r>
      <w:r>
        <w:rPr>
          <w:rFonts w:ascii="Times New Roman" w:hAnsi="Times New Roman"/>
          <w:i/>
          <w:iCs/>
        </w:rPr>
        <w:t xml:space="preserve">API 570 — Piping Inspection Code: In-service Inspection, Rating, Repair, and Alteration of Piping Systems</w:t>
      </w:r>
      <w:r>
        <w:rPr>
          <w:rFonts w:ascii="Times New Roman" w:hAnsi="Times New Roman"/>
        </w:rPr>
        <w:t xml:space="preserve"> </w:t>
      </w:r>
      <w:r>
        <w:rPr>
          <w:rFonts w:ascii="Times New Roman" w:hAnsi="Times New Roman"/>
        </w:rPr>
        <w:t xml:space="preserve">(4th ed.). American Petroleum Institute.</w:t>
      </w:r>
    </w:p>
    <w:p>
      <w:pPr>
        <w:pStyle w:val="BodyText"/>
      </w:pPr>
      <w:r>
        <w:rPr>
          <w:rFonts w:ascii="Times New Roman" w:hAnsi="Times New Roman"/>
        </w:rPr>
        <w:t xml:space="preserve">ASTM International (2017).</w:t>
      </w:r>
      <w:r>
        <w:rPr>
          <w:rFonts w:ascii="Times New Roman" w:hAnsi="Times New Roman"/>
        </w:rPr>
        <w:t xml:space="preserve"> </w:t>
      </w:r>
      <w:r>
        <w:rPr>
          <w:rFonts w:ascii="Times New Roman" w:hAnsi="Times New Roman"/>
          <w:i/>
          <w:iCs/>
        </w:rPr>
        <w:t xml:space="preserve">ASTM G1-03 — Standard Practice for Preparing, Cleaning, and Evaluating Corrosion Test Specimens</w:t>
      </w:r>
      <w:r>
        <w:rPr>
          <w:rFonts w:ascii="Times New Roman" w:hAnsi="Times New Roman"/>
        </w:rPr>
        <w:t xml:space="preserve">. ASTM International.</w:t>
      </w:r>
    </w:p>
    <w:p>
      <w:pPr>
        <w:pStyle w:val="BodyText"/>
      </w:pPr>
      <w:r>
        <w:rPr>
          <w:rFonts w:ascii="Times New Roman" w:hAnsi="Times New Roman"/>
        </w:rPr>
        <w:t xml:space="preserve">ASTM International (2012).</w:t>
      </w:r>
      <w:r>
        <w:rPr>
          <w:rFonts w:ascii="Times New Roman" w:hAnsi="Times New Roman"/>
        </w:rPr>
        <w:t xml:space="preserve"> </w:t>
      </w:r>
      <w:r>
        <w:rPr>
          <w:rFonts w:ascii="Times New Roman" w:hAnsi="Times New Roman"/>
          <w:i/>
          <w:iCs/>
        </w:rPr>
        <w:t xml:space="preserve">ASTM G31-12a — Standard Guide for Laboratory Immersion Corrosion Testing of Metals</w:t>
      </w:r>
      <w:r>
        <w:rPr>
          <w:rFonts w:ascii="Times New Roman" w:hAnsi="Times New Roman"/>
        </w:rPr>
        <w:t xml:space="preserve">. ASTM International.</w:t>
      </w:r>
    </w:p>
    <w:p>
      <w:pPr>
        <w:pStyle w:val="BodyText"/>
      </w:pPr>
      <w:r>
        <w:rPr>
          <w:rFonts w:ascii="Times New Roman" w:hAnsi="Times New Roman"/>
        </w:rPr>
        <w:t xml:space="preserve">Chen, T., &amp; Guestrin, C. (2016). XGBoost: A scalable tree boosting system.</w:t>
      </w:r>
      <w:r>
        <w:rPr>
          <w:rFonts w:ascii="Times New Roman" w:hAnsi="Times New Roman"/>
        </w:rPr>
        <w:t xml:space="preserve"> </w:t>
      </w:r>
      <w:r>
        <w:rPr>
          <w:rFonts w:ascii="Times New Roman" w:hAnsi="Times New Roman"/>
          <w:i/>
          <w:iCs/>
        </w:rPr>
        <w:t xml:space="preserve">Proceedings of the 22nd ACM SIGKDD International Conference on Knowledge Discovery and Data Mining</w:t>
      </w:r>
      <w:r>
        <w:rPr>
          <w:rFonts w:ascii="Times New Roman" w:hAnsi="Times New Roman"/>
        </w:rPr>
        <w:t xml:space="preserve">, 785–794.</w:t>
      </w:r>
    </w:p>
    <w:p>
      <w:pPr>
        <w:pStyle w:val="BodyText"/>
      </w:pPr>
      <w:r>
        <w:rPr>
          <w:rFonts w:ascii="Times New Roman" w:hAnsi="Times New Roman"/>
        </w:rPr>
        <w:t xml:space="preserve">Cheng, Y. F., &amp; Niu, L. (2018). Predicting corrosion rates of steel pipelines using machine learning.</w:t>
      </w:r>
      <w:r>
        <w:rPr>
          <w:rFonts w:ascii="Times New Roman" w:hAnsi="Times New Roman"/>
        </w:rPr>
        <w:t xml:space="preserve"> </w:t>
      </w:r>
      <w:r>
        <w:rPr>
          <w:rFonts w:ascii="Times New Roman" w:hAnsi="Times New Roman"/>
          <w:i/>
          <w:iCs/>
        </w:rPr>
        <w:t xml:space="preserve">Corrosion Science</w:t>
      </w:r>
      <w:r>
        <w:rPr>
          <w:rFonts w:ascii="Times New Roman" w:hAnsi="Times New Roman"/>
        </w:rPr>
        <w:t xml:space="preserve">, 145, 170–182.</w:t>
      </w:r>
    </w:p>
    <w:p>
      <w:pPr>
        <w:pStyle w:val="BodyText"/>
      </w:pPr>
      <w:r>
        <w:rPr>
          <w:rFonts w:ascii="Times New Roman" w:hAnsi="Times New Roman"/>
        </w:rPr>
        <w:t xml:space="preserve">de Waard, C., &amp; Milliams, D. E. (1975). Carbonic acid corrosion of steel.</w:t>
      </w:r>
      <w:r>
        <w:rPr>
          <w:rFonts w:ascii="Times New Roman" w:hAnsi="Times New Roman"/>
        </w:rPr>
        <w:t xml:space="preserve"> </w:t>
      </w:r>
      <w:r>
        <w:rPr>
          <w:rFonts w:ascii="Times New Roman" w:hAnsi="Times New Roman"/>
          <w:i/>
          <w:iCs/>
        </w:rPr>
        <w:t xml:space="preserve">Corrosion</w:t>
      </w:r>
      <w:r>
        <w:rPr>
          <w:rFonts w:ascii="Times New Roman" w:hAnsi="Times New Roman"/>
        </w:rPr>
        <w:t xml:space="preserve">, 31(5), 177–181.</w:t>
      </w:r>
    </w:p>
    <w:p>
      <w:pPr>
        <w:pStyle w:val="BodyText"/>
      </w:pPr>
      <w:r>
        <w:rPr>
          <w:rFonts w:ascii="Times New Roman" w:hAnsi="Times New Roman"/>
        </w:rPr>
        <w:t xml:space="preserve">de Waard, C., Lotz, U., &amp; Milliams, D. E. (1991). Predictive model for CO₂ corrosion engineering in wet natural gas pipelines.</w:t>
      </w:r>
      <w:r>
        <w:rPr>
          <w:rFonts w:ascii="Times New Roman" w:hAnsi="Times New Roman"/>
        </w:rPr>
        <w:t xml:space="preserve"> </w:t>
      </w:r>
      <w:r>
        <w:rPr>
          <w:rFonts w:ascii="Times New Roman" w:hAnsi="Times New Roman"/>
          <w:i/>
          <w:iCs/>
        </w:rPr>
        <w:t xml:space="preserve">Corrosion</w:t>
      </w:r>
      <w:r>
        <w:rPr>
          <w:rFonts w:ascii="Times New Roman" w:hAnsi="Times New Roman"/>
        </w:rPr>
        <w:t xml:space="preserve">, 47(12), 976–985.</w:t>
      </w:r>
    </w:p>
    <w:p>
      <w:pPr>
        <w:pStyle w:val="BodyText"/>
      </w:pPr>
      <w:r>
        <w:rPr>
          <w:rFonts w:ascii="Times New Roman" w:hAnsi="Times New Roman"/>
        </w:rPr>
        <w:t xml:space="preserve">ISO (2015).</w:t>
      </w:r>
      <w:r>
        <w:rPr>
          <w:rFonts w:ascii="Times New Roman" w:hAnsi="Times New Roman"/>
        </w:rPr>
        <w:t xml:space="preserve"> </w:t>
      </w:r>
      <w:r>
        <w:rPr>
          <w:rFonts w:ascii="Times New Roman" w:hAnsi="Times New Roman"/>
          <w:i/>
          <w:iCs/>
        </w:rPr>
        <w:t xml:space="preserve">ISO 8044:2015 — Corrosion of metals and alloys — Basic terms and definitions</w:t>
      </w:r>
      <w:r>
        <w:rPr>
          <w:rFonts w:ascii="Times New Roman" w:hAnsi="Times New Roman"/>
        </w:rPr>
        <w:t xml:space="preserve">. International Organization for Standardization.</w:t>
      </w:r>
    </w:p>
    <w:p>
      <w:pPr>
        <w:pStyle w:val="BodyText"/>
      </w:pPr>
      <w:r>
        <w:rPr>
          <w:rFonts w:ascii="Times New Roman" w:hAnsi="Times New Roman"/>
        </w:rPr>
        <w:t xml:space="preserve">ISO (2015).</w:t>
      </w:r>
      <w:r>
        <w:rPr>
          <w:rFonts w:ascii="Times New Roman" w:hAnsi="Times New Roman"/>
        </w:rPr>
        <w:t xml:space="preserve"> </w:t>
      </w:r>
      <w:r>
        <w:rPr>
          <w:rFonts w:ascii="Times New Roman" w:hAnsi="Times New Roman"/>
          <w:i/>
          <w:iCs/>
        </w:rPr>
        <w:t xml:space="preserve">ISO 13381-1:2015 — Maintenance — Condition monitoring and diagnostics of machines — Prognostics — Part 1: General guidelines</w:t>
      </w:r>
      <w:r>
        <w:rPr>
          <w:rFonts w:ascii="Times New Roman" w:hAnsi="Times New Roman"/>
        </w:rPr>
        <w:t xml:space="preserve">. International Organization for Standardization.</w:t>
      </w:r>
    </w:p>
    <w:p>
      <w:pPr>
        <w:pStyle w:val="BodyText"/>
      </w:pPr>
      <w:r>
        <w:rPr>
          <w:rFonts w:ascii="Times New Roman" w:hAnsi="Times New Roman"/>
        </w:rPr>
        <w:t xml:space="preserve">Koch, G. H., Brongers, M. P. H., Thompson, N. G., Virmani, Y. P., &amp; Payer, J. H. (2016).</w:t>
      </w:r>
      <w:r>
        <w:rPr>
          <w:rFonts w:ascii="Times New Roman" w:hAnsi="Times New Roman"/>
        </w:rPr>
        <w:t xml:space="preserve"> </w:t>
      </w:r>
      <w:r>
        <w:rPr>
          <w:rFonts w:ascii="Times New Roman" w:hAnsi="Times New Roman"/>
          <w:i/>
          <w:iCs/>
        </w:rPr>
        <w:t xml:space="preserve">Corrosion costs and preventive strategies in the United States</w:t>
      </w:r>
      <w:r>
        <w:rPr>
          <w:rFonts w:ascii="Times New Roman" w:hAnsi="Times New Roman"/>
        </w:rPr>
        <w:t xml:space="preserve">. NACE International.</w:t>
      </w:r>
    </w:p>
    <w:p>
      <w:pPr>
        <w:pStyle w:val="BodyText"/>
      </w:pPr>
      <w:r>
        <w:rPr>
          <w:rFonts w:ascii="Times New Roman" w:hAnsi="Times New Roman"/>
        </w:rPr>
        <w:t xml:space="preserve">Lu, B. T., &amp; Luo, J. L. (2016). Electrochemical study of corrosion inhibition of imidazoline derivatives on mild steel.</w:t>
      </w:r>
      <w:r>
        <w:rPr>
          <w:rFonts w:ascii="Times New Roman" w:hAnsi="Times New Roman"/>
        </w:rPr>
        <w:t xml:space="preserve"> </w:t>
      </w:r>
      <w:r>
        <w:rPr>
          <w:rFonts w:ascii="Times New Roman" w:hAnsi="Times New Roman"/>
          <w:i/>
          <w:iCs/>
        </w:rPr>
        <w:t xml:space="preserve">Corrosion Science</w:t>
      </w:r>
      <w:r>
        <w:rPr>
          <w:rFonts w:ascii="Times New Roman" w:hAnsi="Times New Roman"/>
        </w:rPr>
        <w:t xml:space="preserve">, 105, 1–10.</w:t>
      </w:r>
    </w:p>
    <w:p>
      <w:pPr>
        <w:pStyle w:val="BodyText"/>
      </w:pPr>
      <w:r>
        <w:rPr>
          <w:rFonts w:ascii="Times New Roman" w:hAnsi="Times New Roman"/>
        </w:rPr>
        <w:t xml:space="preserve">Ma, Z., Zhao, Y., &amp; Wang, L. (2021). Predicting pipeline corrosion rate using gradient boosting algorithms.</w:t>
      </w:r>
      <w:r>
        <w:rPr>
          <w:rFonts w:ascii="Times New Roman" w:hAnsi="Times New Roman"/>
        </w:rPr>
        <w:t xml:space="preserve"> </w:t>
      </w:r>
      <w:r>
        <w:rPr>
          <w:rFonts w:ascii="Times New Roman" w:hAnsi="Times New Roman"/>
          <w:i/>
          <w:iCs/>
        </w:rPr>
        <w:t xml:space="preserve">International Journal of Pressure Vessels and Piping</w:t>
      </w:r>
      <w:r>
        <w:rPr>
          <w:rFonts w:ascii="Times New Roman" w:hAnsi="Times New Roman"/>
        </w:rPr>
        <w:t xml:space="preserve">, 192, 104396.</w:t>
      </w:r>
    </w:p>
    <w:p>
      <w:pPr>
        <w:pStyle w:val="BodyText"/>
      </w:pPr>
      <w:r>
        <w:rPr>
          <w:rFonts w:ascii="Times New Roman" w:hAnsi="Times New Roman"/>
        </w:rPr>
        <w:t xml:space="preserve">NACE International (2012).</w:t>
      </w:r>
      <w:r>
        <w:rPr>
          <w:rFonts w:ascii="Times New Roman" w:hAnsi="Times New Roman"/>
        </w:rPr>
        <w:t xml:space="preserve"> </w:t>
      </w:r>
      <w:r>
        <w:rPr>
          <w:rFonts w:ascii="Times New Roman" w:hAnsi="Times New Roman"/>
          <w:i/>
          <w:iCs/>
        </w:rPr>
        <w:t xml:space="preserve">TM0190-2012 — Impressed Current Test Method for Screening Corrosion Inhibitors for Oilfield Applications</w:t>
      </w:r>
      <w:r>
        <w:rPr>
          <w:rFonts w:ascii="Times New Roman" w:hAnsi="Times New Roman"/>
        </w:rPr>
        <w:t xml:space="preserve">. NACE International.</w:t>
      </w:r>
    </w:p>
    <w:p>
      <w:pPr>
        <w:pStyle w:val="BodyText"/>
      </w:pPr>
      <w:r>
        <w:rPr>
          <w:rFonts w:ascii="Times New Roman" w:hAnsi="Times New Roman"/>
        </w:rPr>
        <w:t xml:space="preserve">Ossai, C. I., Boswell, B., &amp; Davies, I. J. (2017). Use of artificial neural network for prediction of pipeline corrosion defect growth rate.</w:t>
      </w:r>
      <w:r>
        <w:rPr>
          <w:rFonts w:ascii="Times New Roman" w:hAnsi="Times New Roman"/>
        </w:rPr>
        <w:t xml:space="preserve"> </w:t>
      </w:r>
      <w:r>
        <w:rPr>
          <w:rFonts w:ascii="Times New Roman" w:hAnsi="Times New Roman"/>
          <w:i/>
          <w:iCs/>
        </w:rPr>
        <w:t xml:space="preserve">Engineering Failure Analysis</w:t>
      </w:r>
      <w:r>
        <w:rPr>
          <w:rFonts w:ascii="Times New Roman" w:hAnsi="Times New Roman"/>
        </w:rPr>
        <w:t xml:space="preserve">, 82, 1–12.</w:t>
      </w:r>
    </w:p>
    <w:p>
      <w:pPr>
        <w:pStyle w:val="BodyText"/>
      </w:pPr>
      <w:r>
        <w:rPr>
          <w:rFonts w:ascii="Times New Roman" w:hAnsi="Times New Roman"/>
        </w:rPr>
        <w:t xml:space="preserve">Schweitzer, P. A. (2010).</w:t>
      </w:r>
      <w:r>
        <w:rPr>
          <w:rFonts w:ascii="Times New Roman" w:hAnsi="Times New Roman"/>
        </w:rPr>
        <w:t xml:space="preserve"> </w:t>
      </w:r>
      <w:r>
        <w:rPr>
          <w:rFonts w:ascii="Times New Roman" w:hAnsi="Times New Roman"/>
          <w:i/>
          <w:iCs/>
        </w:rPr>
        <w:t xml:space="preserve">Fundamentals of Corrosion: Mechanisms, Causes, and Preventive Methods</w:t>
      </w:r>
      <w:r>
        <w:rPr>
          <w:rFonts w:ascii="Times New Roman" w:hAnsi="Times New Roman"/>
        </w:rPr>
        <w:t xml:space="preserve">. CRC Press.</w:t>
      </w:r>
    </w:p>
    <w:bookmarkEnd w:id="92"/>
    <w:bookmarkStart w:id="96" w:name="annexes"/>
    <w:p>
      <w:pPr>
        <w:pStyle w:val="Heading1"/>
      </w:pPr>
      <w:r>
        <w:rPr>
          <w:rFonts w:ascii="Times New Roman" w:hAnsi="Times New Roman"/>
        </w:rPr>
        <w:t xml:space="preserve">ANNEXES</w:t>
      </w:r>
    </w:p>
    <w:bookmarkStart w:id="93" w:name="X4a78aeac9d5037a16008a2ee68dd1166d7aa4b4"/>
    <w:p>
      <w:pPr>
        <w:pStyle w:val="Heading2"/>
      </w:pPr>
      <w:r>
        <w:rPr>
          <w:rFonts w:ascii="Times New Roman" w:hAnsi="Times New Roman"/>
        </w:rPr>
        <w:t xml:space="preserve">Annexe A — Code source du firmware ESP32 (extrait)</w:t>
      </w:r>
    </w:p>
    <w:p>
      <w:pPr>
        <w:pStyle w:val="SourceCode"/>
      </w:pPr>
      <w:r>
        <w:rPr>
          <w:rStyle w:val="CommentTok"/>
          <w:rFonts w:ascii="Times New Roman" w:hAnsi="Times New Roman"/>
        </w:rPr>
        <w:t xml:space="preserve">// Corrosion Monitor — ESP32 + HX711 + DS18B20</w:t>
      </w:r>
      <w:r>
        <w:rPr>
          <w:rFonts w:ascii="Times New Roman" w:hAnsi="Times New Roman"/>
        </w:rPr>
        <w:br/>
      </w:r>
      <w:r>
        <w:rPr>
          <w:rStyle w:val="CommentTok"/>
          <w:rFonts w:ascii="Times New Roman" w:hAnsi="Times New Roman"/>
        </w:rPr>
        <w:t xml:space="preserve">// M2 Maintenance Industrielle — ENSPD Douala</w:t>
      </w:r>
      <w:r>
        <w:rPr>
          <w:rFonts w:ascii="Times New Roman" w:hAnsi="Times New Roman"/>
        </w:rPr>
        <w:br/>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R_SERIE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100.0</w:t>
      </w:r>
      <w:r>
        <w:rPr>
          <w:rStyle w:val="OperatorTok"/>
          <w:rFonts w:ascii="Times New Roman" w:hAnsi="Times New Roman"/>
        </w:rPr>
        <w:t xml:space="preserve">;</w:t>
      </w:r>
      <w:r>
        <w:rPr>
          <w:rStyle w:val="NormalTok"/>
          <w:rFonts w:ascii="Times New Roman" w:hAnsi="Times New Roman"/>
        </w:rPr>
        <w:t xml:space="preserve">   </w:t>
      </w:r>
      <w:r>
        <w:rPr>
          <w:rStyle w:val="CommentTok"/>
          <w:rFonts w:ascii="Times New Roman" w:hAnsi="Times New Roman"/>
        </w:rPr>
        <w:t xml:space="preserve">// Résistance série de protection (Ω)</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R1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w:t>
      </w:r>
      <w:r>
        <w:rPr>
          <w:rStyle w:val="OperatorTok"/>
          <w:rFonts w:ascii="Times New Roman" w:hAnsi="Times New Roman"/>
        </w:rPr>
        <w:t xml:space="preserve">;</w:t>
      </w:r>
      <w:r>
        <w:rPr>
          <w:rStyle w:val="NormalTok"/>
          <w:rFonts w:ascii="Times New Roman" w:hAnsi="Times New Roman"/>
        </w:rPr>
        <w:t xml:space="preserve">    </w:t>
      </w:r>
      <w:r>
        <w:rPr>
          <w:rStyle w:val="CommentTok"/>
          <w:rFonts w:ascii="Times New Roman" w:hAnsi="Times New Roman"/>
        </w:rPr>
        <w:t xml:space="preserve">// Bras 1 du pont (Ω)</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R2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10.0</w:t>
      </w:r>
      <w:r>
        <w:rPr>
          <w:rStyle w:val="OperatorTok"/>
          <w:rFonts w:ascii="Times New Roman" w:hAnsi="Times New Roman"/>
        </w:rPr>
        <w:t xml:space="preserve">;</w:t>
      </w:r>
      <w:r>
        <w:rPr>
          <w:rStyle w:val="NormalTok"/>
          <w:rFonts w:ascii="Times New Roman" w:hAnsi="Times New Roman"/>
        </w:rPr>
        <w:t xml:space="preserve">    </w:t>
      </w:r>
      <w:r>
        <w:rPr>
          <w:rStyle w:val="CommentTok"/>
          <w:rFonts w:ascii="Times New Roman" w:hAnsi="Times New Roman"/>
        </w:rPr>
        <w:t xml:space="preserve">// Bras 2 du pont (Ω)</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R_REF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0.5</w:t>
      </w:r>
      <w:r>
        <w:rPr>
          <w:rStyle w:val="OperatorTok"/>
          <w:rFonts w:ascii="Times New Roman" w:hAnsi="Times New Roman"/>
        </w:rPr>
        <w:t xml:space="preserve">;</w:t>
      </w:r>
      <w:r>
        <w:rPr>
          <w:rStyle w:val="NormalTok"/>
          <w:rFonts w:ascii="Times New Roman" w:hAnsi="Times New Roman"/>
        </w:rPr>
        <w:t xml:space="preserve">     </w:t>
      </w:r>
      <w:r>
        <w:rPr>
          <w:rStyle w:val="CommentTok"/>
          <w:rFonts w:ascii="Times New Roman" w:hAnsi="Times New Roman"/>
        </w:rPr>
        <w:t xml:space="preserve">// Résistance de référence (Ω)</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V_ALIM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3.3</w:t>
      </w:r>
      <w:r>
        <w:rPr>
          <w:rStyle w:val="OperatorTok"/>
          <w:rFonts w:ascii="Times New Roman" w:hAnsi="Times New Roman"/>
        </w:rPr>
        <w:t xml:space="preserve">;</w:t>
      </w:r>
      <w:r>
        <w:rPr>
          <w:rStyle w:val="NormalTok"/>
          <w:rFonts w:ascii="Times New Roman" w:hAnsi="Times New Roman"/>
        </w:rPr>
        <w:t xml:space="preserve">     </w:t>
      </w:r>
      <w:r>
        <w:rPr>
          <w:rStyle w:val="CommentTok"/>
          <w:rFonts w:ascii="Times New Roman" w:hAnsi="Times New Roman"/>
        </w:rPr>
        <w:t xml:space="preserve">// Alimentation ESP32 (V)</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R_PONT_EQUIV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R1 </w:t>
      </w:r>
      <w:r>
        <w:rPr>
          <w:rStyle w:val="OperatorTok"/>
          <w:rFonts w:ascii="Times New Roman" w:hAnsi="Times New Roman"/>
        </w:rPr>
        <w:t xml:space="preserve">+</w:t>
      </w:r>
      <w:r>
        <w:rPr>
          <w:rStyle w:val="NormalTok"/>
          <w:rFonts w:ascii="Times New Roman" w:hAnsi="Times New Roman"/>
        </w:rPr>
        <w:t xml:space="preserve"> R_REF</w:t>
      </w:r>
      <w:r>
        <w:rPr>
          <w:rStyle w:val="OperatorTok"/>
          <w:rFonts w:ascii="Times New Roman" w:hAnsi="Times New Roman"/>
        </w:rPr>
        <w:t xml:space="preserve">);</w:t>
      </w:r>
      <w:r>
        <w:rPr>
          <w:rFonts w:ascii="Times New Roman" w:hAnsi="Times New Roman"/>
        </w:rPr>
        <w:br/>
      </w:r>
      <w:r>
        <w:rPr>
          <w:rStyle w:val="AttributeTok"/>
          <w:rFonts w:ascii="Times New Roman" w:hAnsi="Times New Roman"/>
        </w:rPr>
        <w:t xml:space="preserve">const</w:t>
      </w:r>
      <w:r>
        <w:rPr>
          <w:rStyle w:val="NormalTok"/>
          <w:rFonts w:ascii="Times New Roman" w:hAnsi="Times New Roman"/>
        </w:rPr>
        <w:t xml:space="preserve"> </w:t>
      </w:r>
      <w:r>
        <w:rPr>
          <w:rStyle w:val="DataTypeTok"/>
          <w:rFonts w:ascii="Times New Roman" w:hAnsi="Times New Roman"/>
        </w:rPr>
        <w:t xml:space="preserve">float</w:t>
      </w:r>
      <w:r>
        <w:rPr>
          <w:rStyle w:val="NormalTok"/>
          <w:rFonts w:ascii="Times New Roman" w:hAnsi="Times New Roman"/>
        </w:rPr>
        <w:t xml:space="preserve"> V_EXC_EFF    </w:t>
      </w:r>
      <w:r>
        <w:rPr>
          <w:rStyle w:val="OperatorTok"/>
          <w:rFonts w:ascii="Times New Roman" w:hAnsi="Times New Roman"/>
        </w:rPr>
        <w:t xml:space="preserve">=</w:t>
      </w:r>
      <w:r>
        <w:rPr>
          <w:rStyle w:val="NormalTok"/>
          <w:rFonts w:ascii="Times New Roman" w:hAnsi="Times New Roman"/>
        </w:rPr>
        <w:t xml:space="preserve"> V_ALIM </w:t>
      </w:r>
      <w:r>
        <w:rPr>
          <w:rStyle w:val="OperatorTok"/>
          <w:rFonts w:ascii="Times New Roman" w:hAnsi="Times New Roman"/>
        </w:rPr>
        <w:t xml:space="preserve">*</w:t>
      </w:r>
      <w:r>
        <w:rPr>
          <w:rStyle w:val="NormalTok"/>
          <w:rFonts w:ascii="Times New Roman" w:hAnsi="Times New Roman"/>
        </w:rPr>
        <w:t xml:space="preserve"> R_PONT_EQUIV </w:t>
      </w:r>
      <w:r>
        <w:rPr>
          <w:rStyle w:val="OperatorTok"/>
          <w:rFonts w:ascii="Times New Roman" w:hAnsi="Times New Roman"/>
        </w:rPr>
        <w:t xml:space="preserve">/</w:t>
      </w:r>
      <w:r>
        <w:rPr>
          <w:rStyle w:val="NormalTok"/>
          <w:rFonts w:ascii="Times New Roman" w:hAnsi="Times New Roman"/>
        </w:rPr>
        <w:t xml:space="preserve"> </w:t>
      </w:r>
      <w:r>
        <w:rPr>
          <w:rStyle w:val="OperatorTok"/>
          <w:rFonts w:ascii="Times New Roman" w:hAnsi="Times New Roman"/>
        </w:rPr>
        <w:t xml:space="preserve">(</w:t>
      </w:r>
      <w:r>
        <w:rPr>
          <w:rStyle w:val="NormalTok"/>
          <w:rFonts w:ascii="Times New Roman" w:hAnsi="Times New Roman"/>
        </w:rPr>
        <w:t xml:space="preserve">R_SERIE </w:t>
      </w:r>
      <w:r>
        <w:rPr>
          <w:rStyle w:val="OperatorTok"/>
          <w:rFonts w:ascii="Times New Roman" w:hAnsi="Times New Roman"/>
        </w:rPr>
        <w:t xml:space="preserve">+</w:t>
      </w:r>
      <w:r>
        <w:rPr>
          <w:rStyle w:val="NormalTok"/>
          <w:rFonts w:ascii="Times New Roman" w:hAnsi="Times New Roman"/>
        </w:rPr>
        <w:t xml:space="preserve"> R_PONT_EQUIV</w:t>
      </w:r>
      <w:r>
        <w:rPr>
          <w:rStyle w:val="OperatorTok"/>
          <w:rFonts w:ascii="Times New Roman" w:hAnsi="Times New Roman"/>
        </w:rPr>
        <w:t xml:space="preserve">);</w:t>
      </w:r>
      <w:r>
        <w:rPr>
          <w:rFonts w:ascii="Times New Roman" w:hAnsi="Times New Roman"/>
        </w:rPr>
        <w:br/>
      </w:r>
      <w:r>
        <w:rPr>
          <w:rFonts w:ascii="Times New Roman" w:hAnsi="Times New Roman"/>
        </w:rPr>
        <w:br/>
      </w:r>
      <w:r>
        <w:rPr>
          <w:rStyle w:val="PreprocessorTok"/>
          <w:rFonts w:ascii="Times New Roman" w:hAnsi="Times New Roman"/>
        </w:rPr>
        <w:t xml:space="preserve">#define SLEEP_INTERVAL_US  </w:t>
      </w:r>
      <w:r>
        <w:rPr>
          <w:rStyle w:val="DecValTok"/>
          <w:rFonts w:ascii="Times New Roman" w:hAnsi="Times New Roman"/>
        </w:rPr>
        <w:t xml:space="preserve">600000000</w:t>
      </w:r>
      <w:r>
        <w:rPr>
          <w:rStyle w:val="BuiltInTok"/>
          <w:rFonts w:ascii="Times New Roman" w:hAnsi="Times New Roman"/>
        </w:rPr>
        <w:t xml:space="preserve">ULL</w:t>
      </w:r>
      <w:r>
        <w:rPr>
          <w:rStyle w:val="PreprocessorTok"/>
          <w:rFonts w:ascii="Times New Roman" w:hAnsi="Times New Roman"/>
        </w:rPr>
        <w:t xml:space="preserve">  </w:t>
      </w:r>
      <w:r>
        <w:rPr>
          <w:rStyle w:val="CommentTok"/>
          <w:rFonts w:ascii="Times New Roman" w:hAnsi="Times New Roman"/>
        </w:rPr>
        <w:t xml:space="preserve">// 10 minutes en µs</w:t>
      </w:r>
      <w:r>
        <w:rPr>
          <w:rFonts w:ascii="Times New Roman" w:hAnsi="Times New Roman"/>
        </w:rPr>
        <w:br/>
      </w:r>
      <w:r>
        <w:rPr>
          <w:rFonts w:ascii="Times New Roman" w:hAnsi="Times New Roman"/>
        </w:rPr>
        <w:br/>
      </w:r>
      <w:r>
        <w:rPr>
          <w:rStyle w:val="NormalTok"/>
          <w:rFonts w:ascii="Times New Roman" w:hAnsi="Times New Roman"/>
        </w:rPr>
        <w:t xml:space="preserve">RTC_DATA_ATTR </w:t>
      </w:r>
      <w:r>
        <w:rPr>
          <w:rStyle w:val="AttributeTok"/>
          <w:rFonts w:ascii="Times New Roman" w:hAnsi="Times New Roman"/>
        </w:rPr>
        <w:t xml:space="preserve">static</w:t>
      </w:r>
      <w:r>
        <w:rPr>
          <w:rStyle w:val="NormalTok"/>
          <w:rFonts w:ascii="Times New Roman" w:hAnsi="Times New Roman"/>
        </w:rPr>
        <w:t xml:space="preserve"> </w:t>
      </w:r>
      <w:r>
        <w:rPr>
          <w:rStyle w:val="DataTypeTok"/>
          <w:rFonts w:ascii="Times New Roman" w:hAnsi="Times New Roman"/>
        </w:rPr>
        <w:t xml:space="preserve">unsigned</w:t>
      </w:r>
      <w:r>
        <w:rPr>
          <w:rStyle w:val="NormalTok"/>
          <w:rFonts w:ascii="Times New Roman" w:hAnsi="Times New Roman"/>
        </w:rPr>
        <w:t xml:space="preserve"> </w:t>
      </w:r>
      <w:r>
        <w:rPr>
          <w:rStyle w:val="DataTypeTok"/>
          <w:rFonts w:ascii="Times New Roman" w:hAnsi="Times New Roman"/>
        </w:rPr>
        <w:t xml:space="preserve">long</w:t>
      </w:r>
      <w:r>
        <w:rPr>
          <w:rStyle w:val="NormalTok"/>
          <w:rFonts w:ascii="Times New Roman" w:hAnsi="Times New Roman"/>
        </w:rPr>
        <w:t xml:space="preserve"> mesure_index </w:t>
      </w:r>
      <w:r>
        <w:rPr>
          <w:rStyle w:val="OperatorTok"/>
          <w:rFonts w:ascii="Times New Roman" w:hAnsi="Times New Roman"/>
        </w:rPr>
        <w:t xml:space="preserve">=</w:t>
      </w:r>
      <w:r>
        <w:rPr>
          <w:rStyle w:val="NormalTok"/>
          <w:rFonts w:ascii="Times New Roman" w:hAnsi="Times New Roman"/>
        </w:rPr>
        <w:t xml:space="preserve"> </w:t>
      </w:r>
      <w:r>
        <w:rPr>
          <w:rStyle w:val="DecValTok"/>
          <w:rFonts w:ascii="Times New Roman" w:hAnsi="Times New Roman"/>
        </w:rPr>
        <w:t xml:space="preserve">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RTC_DATA_ATTR </w:t>
      </w:r>
      <w:r>
        <w:rPr>
          <w:rStyle w:val="AttributeTok"/>
          <w:rFonts w:ascii="Times New Roman" w:hAnsi="Times New Roman"/>
        </w:rPr>
        <w:t xml:space="preserve">static</w:t>
      </w:r>
      <w:r>
        <w:rPr>
          <w:rStyle w:val="NormalTok"/>
          <w:rFonts w:ascii="Times New Roman" w:hAnsi="Times New Roman"/>
        </w:rPr>
        <w:t xml:space="preserve"> </w:t>
      </w:r>
      <w:r>
        <w:rPr>
          <w:rStyle w:val="DataTypeTok"/>
          <w:rFonts w:ascii="Times New Roman" w:hAnsi="Times New Roman"/>
        </w:rPr>
        <w:t xml:space="preserve">double</w:t>
      </w:r>
      <w:r>
        <w:rPr>
          <w:rStyle w:val="NormalTok"/>
          <w:rFonts w:ascii="Times New Roman" w:hAnsi="Times New Roman"/>
        </w:rPr>
        <w:t xml:space="preserve">        last_Rx       </w:t>
      </w:r>
      <w:r>
        <w:rPr>
          <w:rStyle w:val="OperatorTok"/>
          <w:rFonts w:ascii="Times New Roman" w:hAnsi="Times New Roman"/>
        </w:rPr>
        <w:t xml:space="preserve">=</w:t>
      </w:r>
      <w:r>
        <w:rPr>
          <w:rStyle w:val="NormalTok"/>
          <w:rFonts w:ascii="Times New Roman" w:hAnsi="Times New Roman"/>
        </w:rPr>
        <w:t xml:space="preserve"> </w:t>
      </w:r>
      <w:r>
        <w:rPr>
          <w:rStyle w:val="FloatTok"/>
          <w:rFonts w:ascii="Times New Roman" w:hAnsi="Times New Roman"/>
        </w:rPr>
        <w:t xml:space="preserve">0.0</w:t>
      </w:r>
      <w:r>
        <w:rPr>
          <w:rStyle w:val="OperatorTok"/>
          <w:rFonts w:ascii="Times New Roman" w:hAnsi="Times New Roman"/>
        </w:rPr>
        <w:t xml:space="preserve">;</w:t>
      </w:r>
      <w:r>
        <w:rPr>
          <w:rFonts w:ascii="Times New Roman" w:hAnsi="Times New Roman"/>
        </w:rPr>
        <w:br/>
      </w:r>
      <w:r>
        <w:rPr>
          <w:rStyle w:val="NormalTok"/>
          <w:rFonts w:ascii="Times New Roman" w:hAnsi="Times New Roman"/>
        </w:rPr>
        <w:t xml:space="preserve">RTC_DATA_ATTR </w:t>
      </w:r>
      <w:r>
        <w:rPr>
          <w:rStyle w:val="AttributeTok"/>
          <w:rFonts w:ascii="Times New Roman" w:hAnsi="Times New Roman"/>
        </w:rPr>
        <w:t xml:space="preserve">static</w:t>
      </w:r>
      <w:r>
        <w:rPr>
          <w:rStyle w:val="NormalTok"/>
          <w:rFonts w:ascii="Times New Roman" w:hAnsi="Times New Roman"/>
        </w:rPr>
        <w:t xml:space="preserve"> </w:t>
      </w:r>
      <w:r>
        <w:rPr>
          <w:rStyle w:val="DataTypeTok"/>
          <w:rFonts w:ascii="Times New Roman" w:hAnsi="Times New Roman"/>
        </w:rPr>
        <w:t xml:space="preserve">bool</w:t>
      </w:r>
      <w:r>
        <w:rPr>
          <w:rStyle w:val="NormalTok"/>
          <w:rFonts w:ascii="Times New Roman" w:hAnsi="Times New Roman"/>
        </w:rPr>
        <w:t xml:space="preserve">          header_envoye </w:t>
      </w:r>
      <w:r>
        <w:rPr>
          <w:rStyle w:val="OperatorTok"/>
          <w:rFonts w:ascii="Times New Roman" w:hAnsi="Times New Roman"/>
        </w:rPr>
        <w:t xml:space="preserve">=</w:t>
      </w:r>
      <w:r>
        <w:rPr>
          <w:rStyle w:val="NormalTok"/>
          <w:rFonts w:ascii="Times New Roman" w:hAnsi="Times New Roman"/>
        </w:rPr>
        <w:t xml:space="preserve"> </w:t>
      </w:r>
      <w:r>
        <w:rPr>
          <w:rStyle w:val="KeywordTok"/>
          <w:rFonts w:ascii="Times New Roman" w:hAnsi="Times New Roman"/>
        </w:rPr>
        <w:t xml:space="preserve">false</w:t>
      </w:r>
      <w:r>
        <w:rPr>
          <w:rStyle w:val="OperatorTok"/>
          <w:rFonts w:ascii="Times New Roman" w:hAnsi="Times New Roman"/>
        </w:rPr>
        <w:t xml:space="preserve">;</w:t>
      </w:r>
    </w:p>
    <w:bookmarkEnd w:id="93"/>
    <w:bookmarkStart w:id="94" w:name="X949dba6a66c30ff2d83f1c415600f1eaa2e99b4"/>
    <w:p>
      <w:pPr>
        <w:pStyle w:val="Heading2"/>
      </w:pPr>
      <w:r>
        <w:rPr>
          <w:rFonts w:ascii="Times New Roman" w:hAnsi="Times New Roman"/>
        </w:rPr>
        <w:t xml:space="preserve">Annexe B — Fiche de sécurité Detar Plus (résumé)</w:t>
      </w:r>
    </w:p>
    <w:p>
      <w:pPr>
        <w:pStyle w:val="FirstParagraph"/>
      </w:pPr>
      <w:r>
        <w:rPr>
          <w:rFonts w:ascii="Times New Roman" w:hAnsi="Times New Roman"/>
        </w:rPr>
        <w:t xml:space="preserve">Le Detar Plus est classifié comme produit corrosif. Lors des manipulations, les EPI suivants sont obligatoires : lunettes de protection étanches, gants résistants aux acides (nitrile Ø ≥ 0,5 mm), blouse de coton, ventilation forcée. Neutralisant (NaHCO₃) à proximité en cas de déversement.</w:t>
      </w:r>
    </w:p>
    <w:bookmarkEnd w:id="94"/>
    <w:bookmarkStart w:id="95" w:name="X76094d46c0665c13a359f2fc8480fe20f11b4df"/>
    <w:p>
      <w:pPr>
        <w:pStyle w:val="Heading2"/>
      </w:pPr>
      <w:r>
        <w:rPr>
          <w:rFonts w:ascii="Times New Roman" w:hAnsi="Times New Roman"/>
        </w:rPr>
        <w:t xml:space="preserve">Annexe C — Fiche technique AC PROTECT 106 (résumé)</w:t>
      </w:r>
    </w:p>
    <w:p>
      <w:pPr>
        <w:pStyle w:val="FirstParagraph"/>
      </w:pPr>
      <w:r>
        <w:rPr>
          <w:rFonts w:ascii="Times New Roman" w:hAnsi="Times New Roman"/>
        </w:rPr>
        <w:t xml:space="preserve">Inhibiteur de corrosion à base d’imidazoline. Efficacité déclarée η &gt; 90 % en milieu HCl à 1 N. Concentrations d’utilisation : 0,05 à 1,0 % v/v. Mécanisme : adsorption monomoléculaire sur la surface métallique via l’atome d’azote du cycle imidazoline.</w:t>
      </w:r>
    </w:p>
    <w:bookmarkEnd w:id="95"/>
    <w:bookmarkEnd w:id="96"/>
    <w:bookmarkStart w:id="97" w:name="table-des-matières"/>
    <w:p>
      <w:pPr>
        <w:pStyle w:val="Heading1"/>
      </w:pPr>
      <w:r>
        <w:rPr>
          <w:rFonts w:ascii="Times New Roman" w:hAnsi="Times New Roman"/>
        </w:rPr>
        <w:t xml:space="preserve">TABLE DES MATIÈRES</w:t>
      </w:r>
    </w:p>
    <w:p>
      <w:pPr>
        <w:pStyle w:val="FirstParagraph"/>
      </w:pPr>
      <w:r>
        <w:rPr>
          <w:rFonts w:ascii="Times New Roman" w:hAnsi="Times New Roman"/>
          <w:i/>
          <w:iCs/>
        </w:rPr>
        <w:t xml:space="preserve">(générée automatiquement)</w:t>
      </w:r>
    </w:p>
    <w:bookmarkEnd w:id="97"/>
    <w:sectPr>
      <w:footnotePr>
        <w:numRestart w:val="eachSect"/>
      </w:footnotePr>
      <w:pgMar w:top="1701" w:bottom="1701"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jc w:val="both"/>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60"/>
      <w:outlineLvl w:val="1"/>
    </w:pPr>
    <w:rPr>
      <w:rFonts w:asciiTheme="majorHAnsi" w:cstheme="majorBidi" w:eastAsiaTheme="majorEastAsia" w:hAnsiTheme="majorHAnsi" w:ascii="Times New Roman" w:hAnsi="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360"/>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360"/>
      <w:outlineLvl w:val="3"/>
    </w:pPr>
    <w:rPr>
      <w:rFonts w:cstheme="majorBidi" w:eastAsiaTheme="majorEastAsia" w:ascii="Times New Roman" w:hAnsi="Times New Roman"/>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maintenance prédictive de la corrosion par apprentissage automatique : conception d’une sonde ER low-cost, acquisition IoT et prédiction du taux de corrosion et de la durée de vie résiduelle par XGBoost</dc:title>
  <dc:creator/>
  <cp:keywords/>
  <dcterms:created xsi:type="dcterms:W3CDTF">2026-04-28T01:28:06Z</dcterms:created>
  <dcterms:modified xsi:type="dcterms:W3CDTF">2026-04-28T01:28:06Z</dcterms:modified>
</cp:coreProperties>
</file>

<file path=docProps/custom.xml><?xml version="1.0" encoding="utf-8"?>
<Properties xmlns="http://schemas.openxmlformats.org/officeDocument/2006/custom-properties" xmlns:vt="http://schemas.openxmlformats.org/officeDocument/2006/docPropsVTypes"/>
</file>