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t xml:space="preserve">RÉPUBLIQUE DU CAMEROUN</w:t>
      </w:r>
      <w:r>
        <w:br/>
      </w:r>
      <w:r>
        <w:rPr>
          <w:i/>
          <w:iCs/>
        </w:rPr>
        <w:t xml:space="preserve">Paix, Travail, Patrie</w:t>
      </w:r>
    </w:p>
    <w:p>
      <w:pPr>
        <w:pStyle w:val="BodyText"/>
        <w:jc w:val="center"/>
      </w:pPr>
      <w:r>
        <w:t xml:space="preserve">REPUBLIC OF CAMEROON</w:t>
      </w:r>
      <w:r>
        <w:br/>
      </w:r>
      <w:r>
        <w:rPr>
          <w:i/>
          <w:iCs/>
        </w:rPr>
        <w:t xml:space="preserve">Peace, Work, Fatherland</w:t>
      </w:r>
    </w:p>
    <w:p>
      <w:pPr>
        <w:jc w:val="center"/>
      </w:pPr>
      <w:r>
        <w:pict>
          <v:rect style="width:0;height:1.5pt" o:hralign="center" o:hrstd="t" o:hr="t"/>
        </w:pict>
      </w:r>
    </w:p>
    <w:p>
      <w:pPr>
        <w:pStyle w:val="FirstParagraph"/>
        <w:jc w:val="center"/>
      </w:pPr>
      <w:r>
        <w:t xml:space="preserve">MINISTÈRE DE L’ENSEIGNEMENT SUPÉRIEUR</w:t>
      </w:r>
    </w:p>
    <w:p>
      <w:pPr>
        <w:pStyle w:val="BodyText"/>
        <w:jc w:val="center"/>
      </w:pPr>
      <w:r>
        <w:t xml:space="preserve">ÉCOLE SUPÉRIEURE TECHNIQUE LASALLE</w:t>
      </w:r>
      <w:r>
        <w:br/>
      </w:r>
      <w:r>
        <w:rPr>
          <w:i/>
          <w:iCs/>
        </w:rPr>
        <w:t xml:space="preserve">(ESTL)</w:t>
      </w:r>
    </w:p>
    <w:p>
      <w:pPr>
        <w:pStyle w:val="BodyText"/>
        <w:jc w:val="center"/>
      </w:pPr>
      <w:r>
        <w:t xml:space="preserve">Département de Génie Industriel et Maintenance</w:t>
      </w:r>
    </w:p>
    <w:p>
      <w:pPr>
        <w:jc w:val="center"/>
      </w:pPr>
      <w:r>
        <w:pict>
          <v:rect style="width:0;height:1.5pt" o:hralign="center" o:hrstd="t" o:hr="t"/>
        </w:pict>
      </w:r>
    </w:p>
    <w:p>
      <w:pPr>
        <w:pStyle w:val="FirstParagraph"/>
        <w:jc w:val="center"/>
      </w:pPr>
      <w:r>
        <w:t xml:space="preserve">Mémoire rédigé en vue de l’obtention d’un Master Professionnel</w:t>
      </w:r>
    </w:p>
    <w:p>
      <w:pPr>
        <w:pStyle w:val="BodyText"/>
        <w:jc w:val="center"/>
      </w:pPr>
      <w:r>
        <w:t xml:space="preserve">OPTION : MAINTENANCE INDUSTRIELLE ET PRODUCTIQUE</w:t>
      </w:r>
    </w:p>
    <w:p>
      <w:pPr>
        <w:jc w:val="center"/>
      </w:pPr>
      <w:r>
        <w:pict>
          <v:rect style="width:0;height:1.5pt" o:hralign="center" o:hrstd="t" o:hr="t"/>
        </w:pict>
      </w:r>
    </w:p>
    <w:p>
      <w:pPr>
        <w:pStyle w:val="FirstParagraph"/>
        <w:jc w:val="center"/>
      </w:pPr>
      <w:r>
        <w:t xml:space="preserve">Thème :</w:t>
      </w:r>
    </w:p>
    <w:p>
      <w:pPr>
        <w:pStyle w:val="BodyText"/>
        <w:jc w:val="center"/>
      </w:pPr>
      <w:r>
        <w:t xml:space="preserve">MAINTENANCE PRÉDICTIVE DE LA CORROSION : UNE TRANSITION INDUSTRIE 3.0 → 4.0 PAR SONDE CONNECTÉE ET APPRENTISSAGE AUTOMATIQUE</w:t>
      </w:r>
    </w:p>
    <w:p>
      <w:pPr>
        <w:jc w:val="center"/>
      </w:pPr>
      <w:r>
        <w:pict>
          <v:rect style="width:0;height:1.5pt" o:hralign="center" o:hrstd="t" o:hr="t"/>
        </w:pict>
      </w:r>
    </w:p>
    <w:p>
      <w:pPr>
        <w:pStyle w:val="FirstParagraph"/>
        <w:jc w:val="center"/>
      </w:pPr>
      <w:r>
        <w:t xml:space="preserve">Rédigé par : BATOUMBI IKOND Ricky Parfait</w:t>
      </w:r>
      <w:r>
        <w:br/>
      </w:r>
      <w:r>
        <w:t xml:space="preserve">Matricule : 0111 II17</w:t>
      </w:r>
      <w:r>
        <w:br/>
      </w:r>
      <w:r>
        <w:t xml:space="preserve">Sous encadrement académique de : M. FEZEU</w:t>
      </w:r>
      <w:r>
        <w:br/>
      </w:r>
      <w:r>
        <w:t xml:space="preserve">Sous la supervision de : Dr. TCHAWE</w:t>
      </w:r>
      <w:r>
        <w:br/>
      </w:r>
      <w:r>
        <w:t xml:space="preserve">Année académique : 2025 — 2026</w:t>
      </w:r>
    </w:p>
    <w:p>
      <w:r>
        <w:br w:type="page"/>
      </w:r>
    </w:p>
    <w:bookmarkStart w:id="18" w:name="dédicace"/>
    <w:p>
      <w:pPr>
        <w:pStyle w:val="Heading1"/>
      </w:pPr>
      <w:r>
        <w:t xml:space="preserve">DÉDICACE</w:t>
      </w:r>
    </w:p>
    <w:p>
      <w:pPr>
        <w:pStyle w:val="FirstParagraph"/>
      </w:pPr>
      <w:r>
        <w:rPr>
          <w:i/>
          <w:iCs/>
        </w:rPr>
        <w:t xml:space="preserve">À mes chers parents,</w:t>
      </w:r>
    </w:p>
    <w:p>
      <w:pPr>
        <w:pStyle w:val="BodyText"/>
      </w:pPr>
      <w:r>
        <w:rPr>
          <w:i/>
          <w:iCs/>
        </w:rPr>
        <w:t xml:space="preserve">pour leur soutien sans faille tout au long de ce parcours.</w:t>
      </w:r>
    </w:p>
    <w:p>
      <w:r>
        <w:br w:type="page"/>
      </w:r>
    </w:p>
    <w:bookmarkEnd w:id="18"/>
    <w:bookmarkStart w:id="19" w:name="remerciements"/>
    <w:p>
      <w:pPr>
        <w:pStyle w:val="Heading1"/>
      </w:pPr>
      <w:r>
        <w:t xml:space="preserve">REMERCIEMENTS</w:t>
      </w:r>
    </w:p>
    <w:p>
      <w:pPr>
        <w:pStyle w:val="FirstParagraph"/>
      </w:pPr>
      <w:r>
        <w:t xml:space="preserve">Au terme de notre formation pour l’obtention du Master II en Maintenance Industrielle, nous tenons à exprimer notre sincère reconnaissance à l’ensemble du corps professoral de l’École Supérieure Technique La Salle, qui par la qualité de leur enseignement et de leur encadrement, nous a permis de terminer avec succès cette formation en ingénierie. En l’occurrence :</w:t>
      </w:r>
    </w:p>
    <w:p>
      <w:pPr>
        <w:pStyle w:val="Compact"/>
        <w:numPr>
          <w:ilvl w:val="0"/>
          <w:numId w:val="1001"/>
        </w:numPr>
      </w:pPr>
      <w:r>
        <w:t xml:space="preserve">À notre encadreur académique, pour ses conseils éclairés, sa rigueur scientifique et sa disponibilité tout au long de la rédaction de ce mémoire ;</w:t>
      </w:r>
    </w:p>
    <w:p>
      <w:pPr>
        <w:pStyle w:val="Compact"/>
        <w:numPr>
          <w:ilvl w:val="0"/>
          <w:numId w:val="1001"/>
        </w:numPr>
      </w:pPr>
      <w:r>
        <w:t xml:space="preserve">À notre superviseur, pour son approche méthodologique et la qualité de ses remarques structurantes ;</w:t>
      </w:r>
    </w:p>
    <w:p>
      <w:pPr>
        <w:pStyle w:val="Compact"/>
        <w:numPr>
          <w:ilvl w:val="0"/>
          <w:numId w:val="1001"/>
        </w:numPr>
      </w:pPr>
      <w:r>
        <w:t xml:space="preserve">À l’ensemble du corps enseignant du Département de Génie Industriel et Maintenance pour la formation théorique et pratique de qualité ;</w:t>
      </w:r>
    </w:p>
    <w:p>
      <w:pPr>
        <w:pStyle w:val="Compact"/>
        <w:numPr>
          <w:ilvl w:val="0"/>
          <w:numId w:val="1001"/>
        </w:numPr>
      </w:pPr>
      <w:r>
        <w:t xml:space="preserve">À mes camarades de promotion pour les échanges intellectuels stimulants ;</w:t>
      </w:r>
    </w:p>
    <w:p>
      <w:pPr>
        <w:pStyle w:val="Compact"/>
        <w:numPr>
          <w:ilvl w:val="0"/>
          <w:numId w:val="1001"/>
        </w:numPr>
      </w:pPr>
      <w:r>
        <w:t xml:space="preserve">À mes parents pour leur soutien moral et matériel constant.</w:t>
      </w:r>
    </w:p>
    <w:p>
      <w:pPr>
        <w:pStyle w:val="FirstParagraph"/>
      </w:pPr>
      <w:r>
        <w:t xml:space="preserve">Que tous ceux qui, de près ou de loin, ont contribué à la réussite de ce mémoire et dont les noms n’ont pu être cités, trouvent ici l’expression de mes sincères remerciements.</w:t>
      </w:r>
    </w:p>
    <w:p>
      <w:r>
        <w:br w:type="page"/>
      </w:r>
    </w:p>
    <w:bookmarkEnd w:id="19"/>
    <w:bookmarkStart w:id="20" w:name="avant-propos"/>
    <w:p>
      <w:pPr>
        <w:pStyle w:val="Heading1"/>
      </w:pPr>
      <w:r>
        <w:t xml:space="preserve">AVANT-PROPOS</w:t>
      </w:r>
    </w:p>
    <w:p>
      <w:pPr>
        <w:pStyle w:val="FirstParagraph"/>
      </w:pPr>
      <w:r>
        <w:t xml:space="preserve">L’École Supérieure Technique La Salle (ESTL) de Douala est un établissement d’enseignement supérieur privé catholique de la Fondation La Salle. Sa vocation est de former des ingénieurs et des techniciens supérieurs ancrés dans les réalités industrielles de l’Afrique centrale. Au niveau Master II, son département de Génie Industriel et Maintenance propose l’option Maintenance Industrielle et Productique. Cette formation prépare des ingénieurs aptes à assurer la fiabilité des systèmes de production, à mettre en œuvre des stratégies de maintenance conditionnelle et prédictive et à intégrer les outils numériques à la performance industrielle.</w:t>
      </w:r>
    </w:p>
    <w:p>
      <w:pPr>
        <w:pStyle w:val="BodyText"/>
      </w:pPr>
      <w:r>
        <w:t xml:space="preserve">La formation de Master II s’achève par un mémoire de fin d’études. Le cas d’étude retenu est celui de la Cameroon Oil Transportation Company (COTCO), opérateur du pipeline Tchad-Cameroun, une infrastructure de 1 070 km qui compte parmi les défis de maintenance les plus exigeants du pays. La corrosion, première cause de dégradation des pipelines dans le monde, en forme le cœur, dans un contexte où les outils de maintenance prédictive demeurent peu exploités.</w:t>
      </w:r>
    </w:p>
    <w:p>
      <w:pPr>
        <w:pStyle w:val="BodyText"/>
      </w:pPr>
      <w:r>
        <w:t xml:space="preserve">De cette observation de terrain, jointe aux enseignements reçus à l’ESTL, est né le projet présenté ici : un système intégré de prédiction du taux de corrosion par apprentissage automatique, qui couvre toute la chaîne, depuis la mesure par sonde à résistance électrique (ER) jusqu’à la création automatique d’ordres de travail dans un CMMS open-source. La démarche relève d’une transition Industrie 3.0 vers 4.0 adaptée aux contraintes des entreprises industrielles africaines : budget limité, dépendance aux solutions propriétaires, besoin de maîtrise locale de la chaîne de données.</w:t>
      </w:r>
    </w:p>
    <w:p>
      <w:pPr>
        <w:pStyle w:val="BodyText"/>
      </w:pPr>
      <w:r>
        <w:t xml:space="preserve">Le mémoire est le fruit d’un travail pluridisciplinaire, à la croisée de l’électronique embarquée, du traitement du signal, de l’apprentissage automatique et de l’intégration système. Il entend montrer, sans prétention, que les outils de l’Industrie 4.0 restent accessibles aux acteurs industriels africains pourvu qu’on les adapte à leur contexte.</w:t>
      </w:r>
    </w:p>
    <w:p>
      <w:r>
        <w:br w:type="page"/>
      </w:r>
    </w:p>
    <w:bookmarkEnd w:id="20"/>
    <w:bookmarkStart w:id="21" w:name="résumé"/>
    <w:p>
      <w:pPr>
        <w:pStyle w:val="Heading1"/>
      </w:pPr>
      <w:r>
        <w:t xml:space="preserve">RÉSUMÉ</w:t>
      </w:r>
    </w:p>
    <w:p>
      <w:pPr>
        <w:pStyle w:val="FirstParagraph"/>
      </w:pPr>
      <w:r>
        <w:t xml:space="preserve">La corrosion est le premier poste de coût de dégradation dans le secteur Oil &amp; Gas et la première menace pour les pipelines. Le pipeline exploité par la COTCO (Tchad-Cameroun) en offre un cas représentatif : il est déjà surveillé par des sondes à résistance électrique (ER), mais à un niveau Industrie 3.0, c’est-à-dire avec des seuils fixes et sans pronostic.</w:t>
      </w:r>
    </w:p>
    <w:p>
      <w:pPr>
        <w:pStyle w:val="BodyText"/>
      </w:pPr>
      <w:r>
        <w:t xml:space="preserve">Le présent travail propose un système intégré de maintenance prédictive de la corrosion qui opère la transition Industrie 3.0 vers 4.0 sur toute la chaîne définie par la norme ISO 13381-1 (détection, diagnostic, pronostic, décision, action). Ce système repose sur quatre composants. Une sonde ER instrumentée (ESP32, HX711 24 bits, DS18B20) assure l’acquisition (OS1). Un modèle XGBoost prédit le taux de corrosion (CR) ; il est interprété par analyse SHAP et validé par une procédure inter-essais, le leave-one-run-out ou LORO (OS2). Un module de diagnostic classe les régimes de corrosion et identifie les facteurs de variabilité (OS3). Enfin, une application Streamlit héberge un module GMAO maison, transposable par API REST à un CMMS open-source (OS4). Le modèle a été alimenté par une campagne d’essais accélérés run-to-failure, sur fil de fer en milieu HCl.</w:t>
      </w:r>
    </w:p>
    <w:p>
      <w:pPr>
        <w:pStyle w:val="BodyText"/>
      </w:pPr>
      <w:r>
        <w:t xml:space="preserve">Les résultats sont les suivants. La chaîne d’acquisition suit la dégradation jusqu’à la rupture (OS1). Le modèle XGBoost dépasse les méthodes de référence et atteint un R² LORO moyen positif de +0,29, à la condition que les conditions de l’essai testé aient été couvertes et répétées à l’entraînement ; à défaut, la performance s’effondre (R² ≈ −1,77) (OS2). La température ressort comme variable dominante, et la répétabilité des conditions gouverne la fiabilité, ce que deux contre-exemples établissent expérimentalement (OS3). L’écran de supervision et le module GMAO, qui génère automatiquement les ordres de travail et calcule les KPI, sont opérationnels (OS4).</w:t>
      </w:r>
    </w:p>
    <w:p>
      <w:pPr>
        <w:pStyle w:val="BodyText"/>
      </w:pPr>
      <w:r>
        <w:t xml:space="preserve">L’apport méthodologique tient moins à la valeur du R² qu’à sa structure : il est positif là où les conditions sont couvertes et répétées, négatif ailleurs. Cette lecture reste rarement explicitée dans la littérature. Le travail montre aussi qu’une couche Industrie 4.0 demeure accessible, pour un coût marginal, aux opérateurs comme aux PME industrielles africaines. À ce stade, les objectifs sont partiellement atteints et en cours de consolidation, la campagne expérimentale se poursuivant.</w:t>
      </w:r>
    </w:p>
    <w:p>
      <w:pPr>
        <w:pStyle w:val="BodyText"/>
      </w:pPr>
      <w:r>
        <w:t xml:space="preserve">Mots-clés : maintenance prédictive, corrosion, sonde à résistance électrique (ER), apprentissage automatique, XGBoost, durée de vie résiduelle (RUL), Industrie 4.0, GMAO, pipeline, COTCO.</w:t>
      </w:r>
    </w:p>
    <w:p>
      <w:r>
        <w:br w:type="page"/>
      </w:r>
    </w:p>
    <w:bookmarkEnd w:id="21"/>
    <w:bookmarkStart w:id="22" w:name="abstract"/>
    <w:p>
      <w:pPr>
        <w:pStyle w:val="Heading1"/>
      </w:pPr>
      <w:r>
        <w:t xml:space="preserve">ABSTRACT</w:t>
      </w:r>
    </w:p>
    <w:p>
      <w:pPr>
        <w:pStyle w:val="FirstParagraph"/>
      </w:pPr>
      <w:r>
        <w:t xml:space="preserve">Corrosion is the leading degradation-cost driver in the Oil &amp; Gas sector and the foremost threat to pipelines. The pipeline operated by COTCO (Chad-Cameroon) is a representative case: it is already monitored with electrical-resistance (ER) probes, but at an Industry 3.0 level, that is, with fixed thresholds and no prognosis.</w:t>
      </w:r>
    </w:p>
    <w:p>
      <w:pPr>
        <w:pStyle w:val="BodyText"/>
      </w:pPr>
      <w:r>
        <w:t xml:space="preserve">This work proposes an integrated predictive-maintenance system for corrosion that carries out the Industry 3.0-to-4.0 transition across the full chain defined by ISO 13381-1 (detection, diagnosis, prognosis, decision, action). The system rests on four components. An instrumented ER probe (ESP32, 24-bit HX711, DS18B20) handles acquisition (SO1). An XGBoost model predicts the corrosion rate (CR); it is interpreted with SHAP and validated through a cross-run procedure, the leave-one-run-out or LORO (SO2). A diagnostic module classifies corrosion regimes and identifies variability factors (SO3). Finally, a Streamlit web application hosts an in-house CMMS module, portable through a REST API to an open-source CMMS (SO4). The model was fed by an accelerated run-to-failure test campaign, on iron wire in HCl.</w:t>
      </w:r>
    </w:p>
    <w:p>
      <w:pPr>
        <w:pStyle w:val="BodyText"/>
      </w:pPr>
      <w:r>
        <w:t xml:space="preserve">The results are as follows. The acquisition chain tracks degradation up to rupture (SO1). The XGBoost model outperforms the baselines and reaches a positive mean LORO R² of +0.29, provided the tested run’s conditions were covered and repeated in training; otherwise the performance collapses (R² ≈ −1.77) (SO2). Temperature emerges as the dominant variable, and condition repeatability governs reliability, as two counter-examples establish experimentally (SO3). The supervision dashboard and the CMMS module, which generates work orders automatically and computes the KPIs, are operational (SO4).</w:t>
      </w:r>
    </w:p>
    <w:p>
      <w:pPr>
        <w:pStyle w:val="BodyText"/>
      </w:pPr>
      <w:r>
        <w:t xml:space="preserve">The methodological contribution lies less in the value of R² than in its structure: it is positive where conditions are covered and repeated, negative elsewhere. This reading is rarely made explicit in the literature. The work also shows that an Industry 4.0 layer remains affordable, at marginal cost, for operators and African industrial SMEs alike. At this stage the objectives are partly met and under consolidation, the experimental campaign being ongoing.</w:t>
      </w:r>
    </w:p>
    <w:p>
      <w:pPr>
        <w:pStyle w:val="BodyText"/>
      </w:pPr>
      <w:r>
        <w:t xml:space="preserve">Keywords: predictive maintenance, corrosion, electrical-resistance (ER) probe, machine learning, XGBoost, remaining useful life (RUL), Industry 4.0, CMMS, pipeline, COTCO.</w:t>
      </w:r>
    </w:p>
    <w:p>
      <w:r>
        <w:br w:type="page"/>
      </w:r>
    </w:p>
    <w:bookmarkEnd w:id="22"/>
    <w:bookmarkStart w:id="23" w:name="liste-des-abréviations"/>
    <w:p>
      <w:pPr>
        <w:pStyle w:val="Heading1"/>
      </w:pPr>
      <w:r>
        <w:t xml:space="preserve">LISTE DES ABRÉVIATIONS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shd w:val="clear" w:color="auto" w:fill="EFEFEF"/>
          </w:tcPr>
          <w:p>
            <w:pPr>
              <w:pStyle w:val="Compact"/>
            </w:pPr>
            <w:r>
              <w:t xml:space="preserve">Abréviation</w:t>
            </w:r>
          </w:p>
        </w:tc>
        <w:tc>
          <w:tcPr>
            <w:shd w:val="clear" w:color="auto" w:fill="EFEFEF"/>
          </w:tcPr>
          <w:p>
            <w:pPr>
              <w:pStyle w:val="Compact"/>
            </w:pPr>
            <w:r>
              <w:t xml:space="preserve">Signification</w:t>
            </w:r>
          </w:p>
        </w:tc>
      </w:tr>
      <w:tr>
        <w:tc>
          <w:tcPr/>
          <w:p>
            <w:pPr>
              <w:pStyle w:val="Compact"/>
            </w:pPr>
            <w:r>
              <w:t xml:space="preserve">ADC</w:t>
            </w:r>
          </w:p>
        </w:tc>
        <w:tc>
          <w:tcPr/>
          <w:p>
            <w:pPr>
              <w:pStyle w:val="Compact"/>
            </w:pPr>
            <w:r>
              <w:t xml:space="preserve">Analog-to-Digital Converter (Convertisseur Analogique-Numérique)</w:t>
            </w:r>
          </w:p>
        </w:tc>
      </w:tr>
      <w:tr>
        <w:tc>
          <w:tcPr/>
          <w:p>
            <w:pPr>
              <w:pStyle w:val="Compact"/>
            </w:pPr>
            <w:r>
              <w:t xml:space="preserve">AI</w:t>
            </w:r>
          </w:p>
        </w:tc>
        <w:tc>
          <w:tcPr/>
          <w:p>
            <w:pPr>
              <w:pStyle w:val="Compact"/>
            </w:pPr>
            <w:r>
              <w:t xml:space="preserve">Artificial Intelligence (Intelligence Artificielle)</w:t>
            </w:r>
          </w:p>
        </w:tc>
      </w:tr>
      <w:tr>
        <w:tc>
          <w:tcPr/>
          <w:p>
            <w:pPr>
              <w:pStyle w:val="Compact"/>
            </w:pPr>
            <w:r>
              <w:t xml:space="preserve">AMPP</w:t>
            </w:r>
          </w:p>
        </w:tc>
        <w:tc>
          <w:tcPr/>
          <w:p>
            <w:pPr>
              <w:pStyle w:val="Compact"/>
            </w:pPr>
            <w:r>
              <w:t xml:space="preserve">Association for Materials Protection and Performance (ex-NACE)</w:t>
            </w:r>
          </w:p>
        </w:tc>
      </w:tr>
      <w:tr>
        <w:tc>
          <w:tcPr/>
          <w:p>
            <w:pPr>
              <w:pStyle w:val="Compact"/>
            </w:pPr>
            <w:r>
              <w:t xml:space="preserve">API</w:t>
            </w:r>
          </w:p>
        </w:tc>
        <w:tc>
          <w:tcPr/>
          <w:p>
            <w:pPr>
              <w:pStyle w:val="Compact"/>
            </w:pPr>
            <w:r>
              <w:t xml:space="preserve">American Petroleum Institute / Application Programming Interface</w:t>
            </w:r>
          </w:p>
        </w:tc>
      </w:tr>
      <w:tr>
        <w:tc>
          <w:tcPr/>
          <w:p>
            <w:pPr>
              <w:pStyle w:val="Compact"/>
            </w:pPr>
            <w:r>
              <w:t xml:space="preserve">ASTM</w:t>
            </w:r>
          </w:p>
        </w:tc>
        <w:tc>
          <w:tcPr/>
          <w:p>
            <w:pPr>
              <w:pStyle w:val="Compact"/>
            </w:pPr>
            <w:r>
              <w:t xml:space="preserve">American Society for Testing and Materials</w:t>
            </w:r>
          </w:p>
        </w:tc>
      </w:tr>
      <w:tr>
        <w:tc>
          <w:tcPr/>
          <w:p>
            <w:pPr>
              <w:pStyle w:val="Compact"/>
            </w:pPr>
            <w:r>
              <w:t xml:space="preserve">CMMS</w:t>
            </w:r>
          </w:p>
        </w:tc>
        <w:tc>
          <w:tcPr/>
          <w:p>
            <w:pPr>
              <w:pStyle w:val="Compact"/>
            </w:pPr>
            <w:r>
              <w:t xml:space="preserve">Computerized Maintenance Management System (équivalent anglais de GMAO)</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CMRR</w:t>
            </w:r>
          </w:p>
        </w:tc>
        <w:tc>
          <w:tcPr/>
          <w:p>
            <w:pPr>
              <w:pStyle w:val="Compact"/>
            </w:pPr>
            <w:r>
              <w:t xml:space="preserve">Common-Mode Rejection Ratio</w:t>
            </w:r>
          </w:p>
        </w:tc>
      </w:tr>
      <w:tr>
        <w:tc>
          <w:tcPr/>
          <w:p>
            <w:pPr>
              <w:pStyle w:val="Compact"/>
            </w:pPr>
            <w:r>
              <w:t xml:space="preserve">COTCO</w:t>
            </w:r>
          </w:p>
        </w:tc>
        <w:tc>
          <w:tcPr/>
          <w:p>
            <w:pPr>
              <w:pStyle w:val="Compact"/>
            </w:pPr>
            <w:r>
              <w:t xml:space="preserve">Cameroon Oil Transportation Company</w:t>
            </w:r>
          </w:p>
        </w:tc>
      </w:tr>
      <w:tr>
        <w:tc>
          <w:tcPr/>
          <w:p>
            <w:pPr>
              <w:pStyle w:val="Compact"/>
            </w:pPr>
            <w:r>
              <w:t xml:space="preserve">CR</w:t>
            </w:r>
          </w:p>
        </w:tc>
        <w:tc>
          <w:tcPr/>
          <w:p>
            <w:pPr>
              <w:pStyle w:val="Compact"/>
            </w:pPr>
            <w:r>
              <w:t xml:space="preserve">Corrosion Rate (Taux de corrosion, mm/an)</w:t>
            </w:r>
          </w:p>
        </w:tc>
      </w:tr>
      <w:tr>
        <w:tc>
          <w:tcPr/>
          <w:p>
            <w:pPr>
              <w:pStyle w:val="Compact"/>
            </w:pPr>
            <w:r>
              <w:t xml:space="preserve">CV</w:t>
            </w:r>
          </w:p>
        </w:tc>
        <w:tc>
          <w:tcPr/>
          <w:p>
            <w:pPr>
              <w:pStyle w:val="Compact"/>
            </w:pPr>
            <w:r>
              <w:t xml:space="preserve">Cross-Validation (validation croisée)</w:t>
            </w:r>
          </w:p>
        </w:tc>
      </w:tr>
      <w:tr>
        <w:tc>
          <w:tcPr/>
          <w:p>
            <w:pPr>
              <w:pStyle w:val="Compact"/>
            </w:pPr>
            <w:r>
              <w:t xml:space="preserve">DS18B20</w:t>
            </w:r>
          </w:p>
        </w:tc>
        <w:tc>
          <w:tcPr/>
          <w:p>
            <w:pPr>
              <w:pStyle w:val="Compact"/>
            </w:pPr>
            <w:r>
              <w:t xml:space="preserve">Capteur numérique de température, bus 1-Wire</w:t>
            </w:r>
          </w:p>
        </w:tc>
      </w:tr>
      <w:tr>
        <w:tc>
          <w:tcPr/>
          <w:p>
            <w:pPr>
              <w:pStyle w:val="Compact"/>
            </w:pPr>
            <w:r>
              <w:t xml:space="preserve">EIS</w:t>
            </w:r>
          </w:p>
        </w:tc>
        <w:tc>
          <w:tcPr/>
          <w:p>
            <w:pPr>
              <w:pStyle w:val="Compact"/>
            </w:pPr>
            <w:r>
              <w:t xml:space="preserve">Electrochemical Impedance Spectroscopy</w:t>
            </w:r>
          </w:p>
        </w:tc>
      </w:tr>
      <w:tr>
        <w:tc>
          <w:tcPr/>
          <w:p>
            <w:pPr>
              <w:pStyle w:val="Compact"/>
            </w:pPr>
            <w:r>
              <w:t xml:space="preserve">EN</w:t>
            </w:r>
          </w:p>
        </w:tc>
        <w:tc>
          <w:tcPr/>
          <w:p>
            <w:pPr>
              <w:pStyle w:val="Compact"/>
            </w:pPr>
            <w:r>
              <w:t xml:space="preserve">Norme Européenne</w:t>
            </w:r>
          </w:p>
        </w:tc>
      </w:tr>
      <w:tr>
        <w:tc>
          <w:tcPr/>
          <w:p>
            <w:pPr>
              <w:pStyle w:val="Compact"/>
            </w:pPr>
            <w:r>
              <w:t xml:space="preserve">ER</w:t>
            </w:r>
          </w:p>
        </w:tc>
        <w:tc>
          <w:tcPr/>
          <w:p>
            <w:pPr>
              <w:pStyle w:val="Compact"/>
            </w:pPr>
            <w:r>
              <w:t xml:space="preserve">Electrical Resistance (Résistance Électrique)</w:t>
            </w:r>
          </w:p>
        </w:tc>
      </w:tr>
      <w:tr>
        <w:tc>
          <w:tcPr/>
          <w:p>
            <w:pPr>
              <w:pStyle w:val="Compact"/>
            </w:pPr>
            <w:r>
              <w:t xml:space="preserve">ESTL</w:t>
            </w:r>
          </w:p>
        </w:tc>
        <w:tc>
          <w:tcPr/>
          <w:p>
            <w:pPr>
              <w:pStyle w:val="Compact"/>
            </w:pPr>
            <w:r>
              <w:t xml:space="preserve">École Supérieure Technique La Salle</w:t>
            </w:r>
          </w:p>
        </w:tc>
      </w:tr>
      <w:tr>
        <w:tc>
          <w:tcPr/>
          <w:p>
            <w:pPr>
              <w:pStyle w:val="Compact"/>
            </w:pPr>
            <w:r>
              <w:t xml:space="preserve">ESP32</w:t>
            </w:r>
          </w:p>
        </w:tc>
        <w:tc>
          <w:tcPr/>
          <w:p>
            <w:pPr>
              <w:pStyle w:val="Compact"/>
            </w:pPr>
            <w:r>
              <w:t xml:space="preserve">Microcontrôleur bi-cœur Wi-Fi + Bluetooth (Espressif)</w:t>
            </w:r>
          </w:p>
        </w:tc>
      </w:tr>
      <w:tr>
        <w:tc>
          <w:tcPr/>
          <w:p>
            <w:pPr>
              <w:pStyle w:val="Compact"/>
            </w:pPr>
            <w:r>
              <w:t xml:space="preserve">FBE</w:t>
            </w:r>
          </w:p>
        </w:tc>
        <w:tc>
          <w:tcPr/>
          <w:p>
            <w:pPr>
              <w:pStyle w:val="Compact"/>
            </w:pPr>
            <w:r>
              <w:t xml:space="preserve">Fusion-Bonded Epoxy (revêtement pipeline)</w:t>
            </w:r>
          </w:p>
        </w:tc>
      </w:tr>
      <w:tr>
        <w:tc>
          <w:tcPr/>
          <w:p>
            <w:pPr>
              <w:pStyle w:val="Compact"/>
            </w:pPr>
            <w:r>
              <w:t xml:space="preserve">FSO</w:t>
            </w:r>
          </w:p>
        </w:tc>
        <w:tc>
          <w:tcPr/>
          <w:p>
            <w:pPr>
              <w:pStyle w:val="Compact"/>
            </w:pPr>
            <w:r>
              <w:t xml:space="preserve">Floating Storage and Offloading unit</w:t>
            </w:r>
          </w:p>
        </w:tc>
      </w:tr>
      <w:tr>
        <w:tc>
          <w:tcPr/>
          <w:p>
            <w:pPr>
              <w:pStyle w:val="Compact"/>
            </w:pPr>
            <w:r>
              <w:t xml:space="preserve">GMAO</w:t>
            </w:r>
          </w:p>
        </w:tc>
        <w:tc>
          <w:tcPr/>
          <w:p>
            <w:pPr>
              <w:pStyle w:val="Compact"/>
            </w:pPr>
            <w:r>
              <w:t xml:space="preserve">Gestion de Maintenance Assistée par Ordinateur</w:t>
            </w:r>
          </w:p>
        </w:tc>
      </w:tr>
      <w:tr>
        <w:tc>
          <w:tcPr/>
          <w:p>
            <w:pPr>
              <w:pStyle w:val="Compact"/>
            </w:pPr>
            <w:r>
              <w:t xml:space="preserve">GPIO</w:t>
            </w:r>
          </w:p>
        </w:tc>
        <w:tc>
          <w:tcPr/>
          <w:p>
            <w:pPr>
              <w:pStyle w:val="Compact"/>
            </w:pPr>
            <w:r>
              <w:t xml:space="preserve">General-Purpose Input/Output</w:t>
            </w:r>
          </w:p>
        </w:tc>
      </w:tr>
      <w:tr>
        <w:tc>
          <w:tcPr/>
          <w:p>
            <w:pPr>
              <w:pStyle w:val="Compact"/>
            </w:pPr>
            <w:r>
              <w:t xml:space="preserve">HCl</w:t>
            </w:r>
          </w:p>
        </w:tc>
        <w:tc>
          <w:tcPr/>
          <w:p>
            <w:pPr>
              <w:pStyle w:val="Compact"/>
            </w:pPr>
            <w:r>
              <w:t xml:space="preserve">Acide chlorhydrique</w:t>
            </w:r>
          </w:p>
        </w:tc>
      </w:tr>
      <w:tr>
        <w:tc>
          <w:tcPr/>
          <w:p>
            <w:pPr>
              <w:pStyle w:val="Compact"/>
            </w:pPr>
            <w:r>
              <w:t xml:space="preserve">HX711</w:t>
            </w:r>
          </w:p>
        </w:tc>
        <w:tc>
          <w:tcPr/>
          <w:p>
            <w:pPr>
              <w:pStyle w:val="Compact"/>
            </w:pPr>
            <w:r>
              <w:t xml:space="preserve">Amplificateur d’instrumentation et ADC 24 bits</w:t>
            </w:r>
          </w:p>
        </w:tc>
      </w:tr>
      <w:tr>
        <w:tc>
          <w:tcPr/>
          <w:p>
            <w:pPr>
              <w:pStyle w:val="Compact"/>
            </w:pPr>
            <w:r>
              <w:t xml:space="preserve">IMPACT</w:t>
            </w:r>
          </w:p>
        </w:tc>
        <w:tc>
          <w:tcPr/>
          <w:p>
            <w:pPr>
              <w:pStyle w:val="Compact"/>
            </w:pPr>
            <w:r>
              <w:t xml:space="preserve">International Measures of Prevention, Application and Economics of Corrosion Technology</w:t>
            </w:r>
          </w:p>
        </w:tc>
      </w:tr>
      <w:tr>
        <w:tc>
          <w:tcPr/>
          <w:p>
            <w:pPr>
              <w:pStyle w:val="Compact"/>
            </w:pPr>
            <w:r>
              <w:t xml:space="preserve">IoT</w:t>
            </w:r>
          </w:p>
        </w:tc>
        <w:tc>
          <w:tcPr/>
          <w:p>
            <w:pPr>
              <w:pStyle w:val="Compact"/>
            </w:pPr>
            <w:r>
              <w:t xml:space="preserve">Internet of Things (Internet des Objets)</w:t>
            </w:r>
          </w:p>
        </w:tc>
      </w:tr>
      <w:tr>
        <w:tc>
          <w:tcPr/>
          <w:p>
            <w:pPr>
              <w:pStyle w:val="Compact"/>
            </w:pPr>
            <w:r>
              <w:t xml:space="preserve">IQR</w:t>
            </w:r>
          </w:p>
        </w:tc>
        <w:tc>
          <w:tcPr/>
          <w:p>
            <w:pPr>
              <w:pStyle w:val="Compact"/>
            </w:pPr>
            <w:r>
              <w:t xml:space="preserve">Interquartile Range</w:t>
            </w:r>
          </w:p>
        </w:tc>
      </w:tr>
      <w:tr>
        <w:tc>
          <w:tcPr/>
          <w:p>
            <w:pPr>
              <w:pStyle w:val="Compact"/>
            </w:pPr>
            <w:r>
              <w:t xml:space="preserve">KPI</w:t>
            </w:r>
          </w:p>
        </w:tc>
        <w:tc>
          <w:tcPr/>
          <w:p>
            <w:pPr>
              <w:pStyle w:val="Compact"/>
            </w:pPr>
            <w:r>
              <w:t xml:space="preserve">Key Performance Indicator</w:t>
            </w:r>
          </w:p>
        </w:tc>
      </w:tr>
      <w:tr>
        <w:tc>
          <w:tcPr/>
          <w:p>
            <w:pPr>
              <w:pStyle w:val="Compact"/>
            </w:pPr>
            <w:r>
              <w:t xml:space="preserve">ISO</w:t>
            </w:r>
          </w:p>
        </w:tc>
        <w:tc>
          <w:tcPr/>
          <w:p>
            <w:pPr>
              <w:pStyle w:val="Compact"/>
            </w:pPr>
            <w:r>
              <w:t xml:space="preserve">International Organization for Standardization</w:t>
            </w:r>
          </w:p>
        </w:tc>
      </w:tr>
      <w:tr>
        <w:tc>
          <w:tcPr/>
          <w:p>
            <w:pPr>
              <w:pStyle w:val="Compact"/>
            </w:pPr>
            <w:r>
              <w:t xml:space="preserve">LPR</w:t>
            </w:r>
          </w:p>
        </w:tc>
        <w:tc>
          <w:tcPr/>
          <w:p>
            <w:pPr>
              <w:pStyle w:val="Compact"/>
            </w:pPr>
            <w:r>
              <w:t xml:space="preserve">Linear Polarization Resistance</w:t>
            </w:r>
          </w:p>
        </w:tc>
      </w:tr>
      <w:tr>
        <w:tc>
          <w:tcPr/>
          <w:p>
            <w:pPr>
              <w:pStyle w:val="Compact"/>
            </w:pPr>
            <w:r>
              <w:t xml:space="preserve">MAE</w:t>
            </w:r>
          </w:p>
        </w:tc>
        <w:tc>
          <w:tcPr/>
          <w:p>
            <w:pPr>
              <w:pStyle w:val="Compact"/>
            </w:pPr>
            <w:r>
              <w:t xml:space="preserve">Mean Absolute Error</w:t>
            </w:r>
          </w:p>
        </w:tc>
      </w:tr>
      <w:tr>
        <w:tc>
          <w:tcPr/>
          <w:p>
            <w:pPr>
              <w:pStyle w:val="Compact"/>
            </w:pPr>
            <w:r>
              <w:t xml:space="preserve">MIC</w:t>
            </w:r>
          </w:p>
        </w:tc>
        <w:tc>
          <w:tcPr/>
          <w:p>
            <w:pPr>
              <w:pStyle w:val="Compact"/>
            </w:pPr>
            <w:r>
              <w:t xml:space="preserve">Microbiologically Influenced Corrosion</w:t>
            </w:r>
          </w:p>
        </w:tc>
      </w:tr>
      <w:tr>
        <w:tc>
          <w:tcPr/>
          <w:p>
            <w:pPr>
              <w:pStyle w:val="Compact"/>
            </w:pPr>
            <w:r>
              <w:t xml:space="preserve">ML</w:t>
            </w:r>
          </w:p>
        </w:tc>
        <w:tc>
          <w:tcPr/>
          <w:p>
            <w:pPr>
              <w:pStyle w:val="Compact"/>
            </w:pPr>
            <w:r>
              <w:t xml:space="preserve">Machine Learning (apprentissage automatique)</w:t>
            </w:r>
          </w:p>
        </w:tc>
      </w:tr>
      <w:tr>
        <w:tc>
          <w:tcPr/>
          <w:p>
            <w:pPr>
              <w:pStyle w:val="Compact"/>
            </w:pPr>
            <w:r>
              <w:t xml:space="preserve">MTBF</w:t>
            </w:r>
          </w:p>
        </w:tc>
        <w:tc>
          <w:tcPr/>
          <w:p>
            <w:pPr>
              <w:pStyle w:val="Compact"/>
            </w:pPr>
            <w:r>
              <w:t xml:space="preserve">Mean Time Between Failures</w:t>
            </w:r>
          </w:p>
        </w:tc>
      </w:tr>
      <w:tr>
        <w:tc>
          <w:tcPr/>
          <w:p>
            <w:pPr>
              <w:pStyle w:val="Compact"/>
            </w:pPr>
            <w:r>
              <w:t xml:space="preserve">MTTR</w:t>
            </w:r>
          </w:p>
        </w:tc>
        <w:tc>
          <w:tcPr/>
          <w:p>
            <w:pPr>
              <w:pStyle w:val="Compact"/>
            </w:pPr>
            <w:r>
              <w:t xml:space="preserve">Mean Time To Repair</w:t>
            </w:r>
          </w:p>
        </w:tc>
      </w:tr>
      <w:tr>
        <w:tc>
          <w:tcPr/>
          <w:p>
            <w:pPr>
              <w:pStyle w:val="Compact"/>
            </w:pPr>
            <w:r>
              <w:t xml:space="preserve">NACE</w:t>
            </w:r>
          </w:p>
        </w:tc>
        <w:tc>
          <w:tcPr/>
          <w:p>
            <w:pPr>
              <w:pStyle w:val="Compact"/>
            </w:pPr>
            <w:r>
              <w:t xml:space="preserve">National Association of Corrosion Engineers</w:t>
            </w:r>
          </w:p>
        </w:tc>
      </w:tr>
      <w:tr>
        <w:tc>
          <w:tcPr/>
          <w:p>
            <w:pPr>
              <w:pStyle w:val="Compact"/>
            </w:pPr>
            <w:r>
              <w:t xml:space="preserve">NDT</w:t>
            </w:r>
          </w:p>
        </w:tc>
        <w:tc>
          <w:tcPr/>
          <w:p>
            <w:pPr>
              <w:pStyle w:val="Compact"/>
            </w:pPr>
            <w:r>
              <w:t xml:space="preserve">Non-Destructive Testing</w:t>
            </w:r>
          </w:p>
        </w:tc>
      </w:tr>
      <w:tr>
        <w:tc>
          <w:tcPr/>
          <w:p>
            <w:pPr>
              <w:pStyle w:val="Compact"/>
            </w:pPr>
            <w:r>
              <w:t xml:space="preserve">OS</w:t>
            </w:r>
          </w:p>
        </w:tc>
        <w:tc>
          <w:tcPr/>
          <w:p>
            <w:pPr>
              <w:pStyle w:val="Compact"/>
            </w:pPr>
            <w:r>
              <w:t xml:space="preserve">Objectif Spécifique</w:t>
            </w:r>
          </w:p>
        </w:tc>
      </w:tr>
      <w:tr>
        <w:tc>
          <w:tcPr/>
          <w:p>
            <w:pPr>
              <w:pStyle w:val="Compact"/>
            </w:pPr>
            <w:r>
              <w:t xml:space="preserve">OT</w:t>
            </w:r>
          </w:p>
        </w:tc>
        <w:tc>
          <w:tcPr/>
          <w:p>
            <w:pPr>
              <w:pStyle w:val="Compact"/>
            </w:pPr>
            <w:r>
              <w:t xml:space="preserve">Ordre de Travail (work order)</w:t>
            </w:r>
          </w:p>
        </w:tc>
      </w:tr>
      <w:tr>
        <w:tc>
          <w:tcPr/>
          <w:p>
            <w:pPr>
              <w:pStyle w:val="Compact"/>
            </w:pPr>
            <w:r>
              <w:t xml:space="preserve">PHMSA</w:t>
            </w:r>
          </w:p>
        </w:tc>
        <w:tc>
          <w:tcPr/>
          <w:p>
            <w:pPr>
              <w:pStyle w:val="Compact"/>
            </w:pPr>
            <w:r>
              <w:t xml:space="preserve">Pipeline and Hazardous Materials Safety Administration</w:t>
            </w:r>
          </w:p>
        </w:tc>
      </w:tr>
      <w:tr>
        <w:tc>
          <w:tcPr/>
          <w:p>
            <w:pPr>
              <w:pStyle w:val="Compact"/>
            </w:pPr>
            <w:r>
              <w:t xml:space="preserve">PME</w:t>
            </w:r>
          </w:p>
        </w:tc>
        <w:tc>
          <w:tcPr/>
          <w:p>
            <w:pPr>
              <w:pStyle w:val="Compact"/>
            </w:pPr>
            <w:r>
              <w:t xml:space="preserve">Petite et Moyenne Entreprise</w:t>
            </w:r>
          </w:p>
        </w:tc>
      </w:tr>
      <w:tr>
        <w:tc>
          <w:tcPr/>
          <w:p>
            <w:pPr>
              <w:pStyle w:val="Compact"/>
            </w:pPr>
            <w:r>
              <w:t xml:space="preserve">PIB</w:t>
            </w:r>
          </w:p>
        </w:tc>
        <w:tc>
          <w:tcPr/>
          <w:p>
            <w:pPr>
              <w:pStyle w:val="Compact"/>
            </w:pPr>
            <w:r>
              <w:t xml:space="preserve">Produit Intérieur Brut</w:t>
            </w:r>
          </w:p>
        </w:tc>
      </w:tr>
      <w:tr>
        <w:tc>
          <w:tcPr/>
          <w:p>
            <w:pPr>
              <w:pStyle w:val="Compact"/>
            </w:pPr>
            <w:r>
              <w:t xml:space="preserve">QR</w:t>
            </w:r>
          </w:p>
        </w:tc>
        <w:tc>
          <w:tcPr/>
          <w:p>
            <w:pPr>
              <w:pStyle w:val="Compact"/>
            </w:pPr>
            <w:r>
              <w:t xml:space="preserve">Question de Recherche</w:t>
            </w:r>
          </w:p>
        </w:tc>
      </w:tr>
      <w:tr>
        <w:tc>
          <w:tcPr/>
          <w:p>
            <w:pPr>
              <w:pStyle w:val="Compact"/>
            </w:pPr>
            <w:r>
              <w:t xml:space="preserve">R²</w:t>
            </w:r>
          </w:p>
        </w:tc>
        <w:tc>
          <w:tcPr/>
          <w:p>
            <w:pPr>
              <w:pStyle w:val="Compact"/>
            </w:pPr>
            <w:r>
              <w:t xml:space="preserve">Coefficient de détermination</w:t>
            </w:r>
          </w:p>
        </w:tc>
      </w:tr>
      <w:tr>
        <w:tc>
          <w:tcPr/>
          <w:p>
            <w:pPr>
              <w:pStyle w:val="Compact"/>
            </w:pPr>
            <w:r>
              <w:t xml:space="preserve">RBI</w:t>
            </w:r>
          </w:p>
        </w:tc>
        <w:tc>
          <w:tcPr/>
          <w:p>
            <w:pPr>
              <w:pStyle w:val="Compact"/>
            </w:pPr>
            <w:r>
              <w:t xml:space="preserve">Risk-Based Inspection</w:t>
            </w:r>
          </w:p>
        </w:tc>
      </w:tr>
      <w:tr>
        <w:tc>
          <w:tcPr/>
          <w:p>
            <w:pPr>
              <w:pStyle w:val="Compact"/>
            </w:pPr>
            <w:r>
              <w:t xml:space="preserve">RMSE</w:t>
            </w:r>
          </w:p>
        </w:tc>
        <w:tc>
          <w:tcPr/>
          <w:p>
            <w:pPr>
              <w:pStyle w:val="Compact"/>
            </w:pPr>
            <w:r>
              <w:t xml:space="preserve">Root Mean Square Error</w:t>
            </w:r>
          </w:p>
        </w:tc>
      </w:tr>
      <w:tr>
        <w:tc>
          <w:tcPr/>
          <w:p>
            <w:pPr>
              <w:pStyle w:val="Compact"/>
            </w:pPr>
            <w:r>
              <w:t xml:space="preserve">RTC</w:t>
            </w:r>
          </w:p>
        </w:tc>
        <w:tc>
          <w:tcPr/>
          <w:p>
            <w:pPr>
              <w:pStyle w:val="Compact"/>
            </w:pPr>
            <w:r>
              <w:t xml:space="preserve">Real-Time Clock</w:t>
            </w:r>
          </w:p>
        </w:tc>
      </w:tr>
      <w:tr>
        <w:tc>
          <w:tcPr/>
          <w:p>
            <w:pPr>
              <w:pStyle w:val="Compact"/>
            </w:pPr>
            <w:r>
              <w:t xml:space="preserve">RTF</w:t>
            </w:r>
          </w:p>
        </w:tc>
        <w:tc>
          <w:tcPr/>
          <w:p>
            <w:pPr>
              <w:pStyle w:val="Compact"/>
            </w:pPr>
            <w:r>
              <w:t xml:space="preserve">Run-To-Failure</w:t>
            </w:r>
          </w:p>
        </w:tc>
      </w:tr>
      <w:tr>
        <w:tc>
          <w:tcPr/>
          <w:p>
            <w:pPr>
              <w:pStyle w:val="Compact"/>
            </w:pPr>
            <w:r>
              <w:t xml:space="preserve">RUL</w:t>
            </w:r>
          </w:p>
        </w:tc>
        <w:tc>
          <w:tcPr/>
          <w:p>
            <w:pPr>
              <w:pStyle w:val="Compact"/>
            </w:pPr>
            <w:r>
              <w:t xml:space="preserve">Remaining Useful Life (Durée de Vie Résiduelle)</w:t>
            </w:r>
          </w:p>
        </w:tc>
      </w:tr>
      <w:tr>
        <w:tc>
          <w:tcPr/>
          <w:p>
            <w:pPr>
              <w:pStyle w:val="Compact"/>
            </w:pPr>
            <w:r>
              <w:t xml:space="preserve">SHAP</w:t>
            </w:r>
          </w:p>
        </w:tc>
        <w:tc>
          <w:tcPr/>
          <w:p>
            <w:pPr>
              <w:pStyle w:val="Compact"/>
            </w:pPr>
            <w:r>
              <w:t xml:space="preserve">SHapley Additive exPlanations</w:t>
            </w:r>
          </w:p>
        </w:tc>
      </w:tr>
      <w:tr>
        <w:tc>
          <w:tcPr/>
          <w:p>
            <w:pPr>
              <w:pStyle w:val="Compact"/>
            </w:pPr>
            <w:r>
              <w:t xml:space="preserve">SRB</w:t>
            </w:r>
          </w:p>
        </w:tc>
        <w:tc>
          <w:tcPr/>
          <w:p>
            <w:pPr>
              <w:pStyle w:val="Compact"/>
            </w:pPr>
            <w:r>
              <w:t xml:space="preserve">Sulfate-Reducing Bacteria</w:t>
            </w:r>
          </w:p>
        </w:tc>
      </w:tr>
      <w:tr>
        <w:tc>
          <w:tcPr/>
          <w:p>
            <w:pPr>
              <w:pStyle w:val="Compact"/>
            </w:pPr>
            <w:r>
              <w:t xml:space="preserve">SSC</w:t>
            </w:r>
          </w:p>
        </w:tc>
        <w:tc>
          <w:tcPr/>
          <w:p>
            <w:pPr>
              <w:pStyle w:val="Compact"/>
            </w:pPr>
            <w:r>
              <w:t xml:space="preserve">Sulfide Stress Cracking</w:t>
            </w:r>
          </w:p>
        </w:tc>
      </w:tr>
      <w:tr>
        <w:tc>
          <w:tcPr/>
          <w:p>
            <w:pPr>
              <w:pStyle w:val="Compact"/>
            </w:pPr>
            <w:r>
              <w:t xml:space="preserve">UT</w:t>
            </w:r>
          </w:p>
        </w:tc>
        <w:tc>
          <w:tcPr/>
          <w:p>
            <w:pPr>
              <w:pStyle w:val="Compact"/>
            </w:pPr>
            <w:r>
              <w:t xml:space="preserve">Ultrasonic Testing</w:t>
            </w:r>
          </w:p>
        </w:tc>
      </w:tr>
      <w:tr>
        <w:tc>
          <w:tcPr/>
          <w:p>
            <w:pPr>
              <w:pStyle w:val="Compact"/>
            </w:pPr>
            <w:r>
              <w:t xml:space="preserve">XGBoost</w:t>
            </w:r>
          </w:p>
        </w:tc>
        <w:tc>
          <w:tcPr/>
          <w:p>
            <w:pPr>
              <w:pStyle w:val="Compact"/>
            </w:pPr>
            <w:r>
              <w:t xml:space="preserve">eXtreme Gradient Boosting</w:t>
            </w:r>
          </w:p>
        </w:tc>
      </w:tr>
    </w:tbl>
    <w:p>
      <w:r>
        <w:br w:type="page"/>
      </w:r>
    </w:p>
    <w:bookmarkEnd w:id="23"/>
    <w:bookmarkStart w:id="24" w:name="liste-des-figures"/>
    <w:p>
      <w:pPr>
        <w:pStyle w:val="Heading1"/>
      </w:pPr>
      <w:r>
        <w:t xml:space="preserve">LISTE DES FIGURES</w:t>
      </w:r>
    </w:p>
    <w:p>
      <w:r>
        <w:fldChar w:fldCharType="begin" w:dirty="true"/>
      </w:r>
      <w:r>
        <w:instrText xml:space="preserve"> TOC \h \z \t "Image Caption;1" </w:instrText>
      </w:r>
      <w:r>
        <w:fldChar w:fldCharType="separate"/>
      </w:r>
      <w:r>
        <w:t>Liste générée par Word — sélectionner puis F9 pour mettre à jour.</w:t>
      </w:r>
      <w:r>
        <w:fldChar w:fldCharType="end"/>
      </w:r>
    </w:p>
    <w:p>
      <w:r>
        <w:br w:type="page"/>
      </w:r>
    </w:p>
    <w:bookmarkEnd w:id="24"/>
    <w:bookmarkStart w:id="25" w:name="liste-des-tableaux"/>
    <w:p>
      <w:pPr>
        <w:pStyle w:val="Heading1"/>
      </w:pPr>
      <w:r>
        <w:t xml:space="preserve">LISTE DES TABLEAUX</w:t>
      </w:r>
    </w:p>
    <w:p>
      <w:r>
        <w:fldChar w:fldCharType="begin" w:dirty="true"/>
      </w:r>
      <w:r>
        <w:instrText xml:space="preserve"> TOC \h \z \t "Table Caption;1" </w:instrText>
      </w:r>
      <w:r>
        <w:fldChar w:fldCharType="separate"/>
      </w:r>
      <w:r>
        <w:t>Liste générée par Word — sélectionner puis F9 pour mettre à jour.</w:t>
      </w:r>
      <w:r>
        <w:fldChar w:fldCharType="end"/>
      </w:r>
    </w:p>
    <w:p>
      <w:r>
        <w:br w:type="page"/>
      </w:r>
    </w:p>
    <w:bookmarkEnd w:id="25"/>
    <w:bookmarkStart w:id="26" w:name="sommaire"/>
    <w:p>
      <w:pPr>
        <w:pStyle w:val="Heading1"/>
      </w:pPr>
      <w:r>
        <w:t xml:space="preserve">SOMMAIRE</w:t>
      </w:r>
    </w:p>
    <w:p>
      <w:pPr>
        <w:pStyle w:val="FirstParagraph"/>
        <w:jc w:val="left"/>
      </w:pPr>
      <w:r>
        <w:t xml:space="preserve">DÉDICACE</w:t>
      </w:r>
      <w:r>
        <w:br/>
      </w:r>
      <w:r>
        <w:t xml:space="preserve">REMERCIEMENTS</w:t>
      </w:r>
      <w:r>
        <w:br/>
      </w:r>
      <w:r>
        <w:t xml:space="preserve">AVANT-PROPOS</w:t>
      </w:r>
      <w:r>
        <w:br/>
      </w:r>
      <w:r>
        <w:t xml:space="preserve">RÉSUMÉ</w:t>
      </w:r>
      <w:r>
        <w:br/>
      </w:r>
      <w:r>
        <w:t xml:space="preserve">ABSTRACT</w:t>
      </w:r>
      <w:r>
        <w:br/>
      </w:r>
      <w:r>
        <w:t xml:space="preserve">LISTE DES ABRÉVIATIONS</w:t>
      </w:r>
      <w:r>
        <w:br/>
      </w:r>
      <w:r>
        <w:t xml:space="preserve">LISTE DES FIGURES</w:t>
      </w:r>
      <w:r>
        <w:br/>
      </w:r>
      <w:r>
        <w:t xml:space="preserve">LISTE DES TABLEAUX</w:t>
      </w:r>
      <w:r>
        <w:br/>
      </w:r>
      <w:r>
        <w:t xml:space="preserve">SOMMAIRE</w:t>
      </w:r>
      <w:r>
        <w:br/>
      </w:r>
      <w:r>
        <w:t xml:space="preserve">INTRODUCTION GÉNÉRALE</w:t>
      </w:r>
      <w:r>
        <w:br/>
      </w:r>
      <w:r>
        <w:t xml:space="preserve">CHAPITRE I : CONTEXTE ET PROBLÉMATIQUE</w:t>
      </w:r>
      <w:r>
        <w:br/>
      </w:r>
      <w:r>
        <w:t xml:space="preserve">CHAPITRE II : OUTILS ET MÉTHODES</w:t>
      </w:r>
      <w:r>
        <w:br/>
      </w:r>
      <w:r>
        <w:t xml:space="preserve">CHAPITRE III : RÉSULTATS ET DISCUSSIONS</w:t>
      </w:r>
      <w:r>
        <w:br/>
      </w:r>
      <w:r>
        <w:t xml:space="preserve">CONCLUSION GÉNÉRALE</w:t>
      </w:r>
      <w:r>
        <w:br/>
      </w:r>
      <w:r>
        <w:t xml:space="preserve">RÉFÉRENCES BIBLIOGRAPHIQUES</w:t>
      </w:r>
      <w:r>
        <w:br/>
      </w:r>
      <w:r>
        <w:t xml:space="preserve">ANNEXES</w:t>
      </w:r>
      <w:r>
        <w:br/>
      </w:r>
      <w:r>
        <w:t xml:space="preserve">TABLE DES MATIÈRES</w:t>
      </w:r>
    </w:p>
    <w:p>
      <w:pPr>
        <w:jc w:val="left"/>
      </w:pPr>
      <w:r>
        <w:br w:type="page"/>
      </w:r>
    </w:p>
    <w:bookmarkEnd w:id="26"/>
    <w:bookmarkStart w:id="27" w:name="introduction-générale"/>
    <w:p>
      <w:pPr>
        <w:pStyle w:val="Heading1"/>
      </w:pPr>
      <w:r>
        <w:t xml:space="preserve">INTRODUCTION GÉNÉRALE</w:t>
      </w:r>
    </w:p>
    <w:p>
      <w:pPr>
        <w:pStyle w:val="FirstParagraph"/>
      </w:pPr>
      <w:r>
        <w:t xml:space="preserve">La maîtrise de la dégradation des équipements conditionne la compétitivité, la sécurité et la durabilité d’une activité industrielle. Les stratégies de maintenance se déplacent peu à peu de l’approche corrective ou préventive systématique vers la maintenance prédictive, qui anticipe la défaillance à partir des données de surveillance (EN 13306 ; ISO 13381-1). La corrosion occupe une place à part parmi les modes de dégradation. Dans le secteur Oil &amp; Gas, elle représente le premier poste de coût mondial, 2,5 billions USD par an, soit environ 3,4 % du PIB (Koch et al., 2016). Elle frappe en priorité les pipelines, exposés à des milieux agressifs et difficiles à inspecter en continu.</w:t>
      </w:r>
    </w:p>
    <w:p>
      <w:pPr>
        <w:pStyle w:val="BodyText"/>
      </w:pPr>
      <w:r>
        <w:t xml:space="preserve">Au Cameroun, la COTCO (pipeline Tchad-Cameroun) surveille déjà la corrosion à l’aide de sondes ER commerciales reliées au DCS. Ces données restent toutefois exploitées à un niveau Industrie 3.0 : seuils fixes, analyse cloisonnée, aucun pronostic. L’hypothèse retenue ici est qu’à partir de ces mesures déjà disponibles, le passage à une couche Industrie 4.0 devient possible. Le prototype proposé se veut doublement transposable, branché sur l’instrumentation existante ou déployé de façon autonome pour une PME. Il couvre la chaîne détection, diagnostic, pronostic, décision, action de la norme ISO 13381-1 au moyen de quatre composants : une sonde ER instrumentée (OS1), un modèle XGBoost prédisant le taux de corrosion et la durée de vie résiduelle (OS2), un module de diagnostic des régimes et des facteurs de variabilité (OS3), enfin l’intégration à un CMMS open-source (OS4).</w:t>
      </w:r>
    </w:p>
    <w:p>
      <w:pPr>
        <w:pStyle w:val="BodyText"/>
      </w:pPr>
      <w:r>
        <w:t xml:space="preserve">Le document s’organise en trois chapitres : contexte, problématique et revue de littérature (Chapitre I) ; outils, choix technologiques et méthodologie (Chapitre II) ; résultats et discussion (Chapitre III).</w:t>
      </w:r>
    </w:p>
    <w:p>
      <w:r>
        <w:br w:type="page"/>
      </w:r>
    </w:p>
    <w:bookmarkEnd w:id="27"/>
    <w:bookmarkStart w:id="55" w:name="chapitre-i-contexte-et-problématique"/>
    <w:p>
      <w:pPr>
        <w:pStyle w:val="Heading1"/>
      </w:pPr>
      <w:r>
        <w:t xml:space="preserve">CHAPITRE I : CONTEXTE ET PROBLÉMATIQUE</w:t>
      </w:r>
    </w:p>
    <w:p>
      <w:pPr>
        <w:pStyle w:val="FirstParagraph"/>
      </w:pPr>
      <w:r>
        <w:t xml:space="preserve">Sommaire du Chapitre I</w:t>
      </w:r>
    </w:p>
    <w:p>
      <w:pPr>
        <w:pStyle w:val="Compact"/>
        <w:numPr>
          <w:ilvl w:val="0"/>
          <w:numId w:val="1002"/>
        </w:numPr>
      </w:pPr>
      <w:r>
        <w:t xml:space="preserve">I.0. Introduction</w:t>
      </w:r>
    </w:p>
    <w:p>
      <w:pPr>
        <w:pStyle w:val="Compact"/>
        <w:numPr>
          <w:ilvl w:val="0"/>
          <w:numId w:val="1002"/>
        </w:numPr>
      </w:pPr>
      <w:r>
        <w:t xml:space="preserve">I.1. Contexte et justification (suivant les six approches du protocole de recherche)</w:t>
      </w:r>
    </w:p>
    <w:p>
      <w:pPr>
        <w:pStyle w:val="Compact"/>
        <w:numPr>
          <w:ilvl w:val="0"/>
          <w:numId w:val="1002"/>
        </w:numPr>
      </w:pPr>
      <w:r>
        <w:t xml:space="preserve">I.2. Problématique</w:t>
      </w:r>
    </w:p>
    <w:p>
      <w:pPr>
        <w:pStyle w:val="Compact"/>
        <w:numPr>
          <w:ilvl w:val="0"/>
          <w:numId w:val="1002"/>
        </w:numPr>
      </w:pPr>
      <w:r>
        <w:t xml:space="preserve">I.3. Objectifs de l’étude</w:t>
      </w:r>
    </w:p>
    <w:p>
      <w:pPr>
        <w:pStyle w:val="Compact"/>
        <w:numPr>
          <w:ilvl w:val="0"/>
          <w:numId w:val="1002"/>
        </w:numPr>
      </w:pPr>
      <w:r>
        <w:t xml:space="preserve">I.4. Questions de recherche</w:t>
      </w:r>
    </w:p>
    <w:p>
      <w:pPr>
        <w:pStyle w:val="Compact"/>
        <w:numPr>
          <w:ilvl w:val="0"/>
          <w:numId w:val="1002"/>
        </w:numPr>
      </w:pPr>
      <w:r>
        <w:t xml:space="preserve">I.5. Importance de cette étude</w:t>
      </w:r>
    </w:p>
    <w:p>
      <w:pPr>
        <w:pStyle w:val="Compact"/>
        <w:numPr>
          <w:ilvl w:val="0"/>
          <w:numId w:val="1002"/>
        </w:numPr>
      </w:pPr>
      <w:r>
        <w:t xml:space="preserve">I.6. Organisation du travail</w:t>
      </w:r>
    </w:p>
    <w:p>
      <w:pPr>
        <w:pStyle w:val="Compact"/>
        <w:numPr>
          <w:ilvl w:val="0"/>
          <w:numId w:val="1002"/>
        </w:numPr>
      </w:pPr>
      <w:r>
        <w:t xml:space="preserve">I.7. Revue de la littérature</w:t>
      </w:r>
    </w:p>
    <w:p>
      <w:pPr>
        <w:pStyle w:val="Compact"/>
        <w:numPr>
          <w:ilvl w:val="0"/>
          <w:numId w:val="1002"/>
        </w:numPr>
      </w:pPr>
      <w:r>
        <w:t xml:space="preserve">I.8. Conclusion</w:t>
      </w:r>
    </w:p>
    <w:p>
      <w:r>
        <w:pict>
          <v:rect style="width:0;height:1.5pt" o:hralign="center" o:hrstd="t" o:hr="t"/>
        </w:pict>
      </w:r>
    </w:p>
    <w:bookmarkStart w:id="28" w:name="i.0.-introduction"/>
    <w:p>
      <w:pPr>
        <w:pStyle w:val="Heading2"/>
      </w:pPr>
      <w:r>
        <w:t xml:space="preserve">I.0. Introduction</w:t>
      </w:r>
    </w:p>
    <w:p>
      <w:pPr>
        <w:pStyle w:val="FirstParagraph"/>
      </w:pPr>
      <w:r>
        <w:t xml:space="preserve">Ce chapitre cadre d’abord le contexte et la justification de la recherche selon les six approches recommandées par le protocole de recherche (approche définitionnelle, contexte international et national, état des recherches scientifiques et leurs limites, justificatif normatif et réglementaire, concept dans la zone d’étude, énoncé du sujet). Il formule ensuite la problématique, les objectifs et les questions de recherche associées, puis expose l’importance de l’étude pour les différentes parties prenantes. Le chapitre se clôt par une revue détaillée de la littérature couvrant les mécanismes de corrosion, les méthodes de surveillance, les modèles prédictifs classiques et les approches récentes par apprentissage automatique.</w:t>
      </w:r>
    </w:p>
    <w:p>
      <w:r>
        <w:pict>
          <v:rect style="width:0;height:1.5pt" o:hralign="center" o:hrstd="t" o:hr="t"/>
        </w:pict>
      </w:r>
    </w:p>
    <w:bookmarkEnd w:id="28"/>
    <w:bookmarkStart w:id="35" w:name="i.1.-contexte-et-justification"/>
    <w:p>
      <w:pPr>
        <w:pStyle w:val="Heading2"/>
      </w:pPr>
      <w:r>
        <w:t xml:space="preserve">I.1. Contexte et justification</w:t>
      </w:r>
    </w:p>
    <w:bookmarkStart w:id="29" w:name="Xb566ff7b7dac9f29285f67f438c98d9bfec79d1"/>
    <w:p>
      <w:pPr>
        <w:pStyle w:val="Heading3"/>
      </w:pPr>
      <w:r>
        <w:t xml:space="preserve">I.1.1. Approche définitionnelle et historique de la corrosion</w:t>
      </w:r>
    </w:p>
    <w:p>
      <w:pPr>
        <w:pStyle w:val="FirstParagraph"/>
      </w:pPr>
      <w:r>
        <w:t xml:space="preserve">La corrosion est définie par la norme ISO 8044 :2024 comme « une interaction physico-chimique entre un métal et son environnement qui entraîne des modifications des propriétés du métal et qui peut conduire à une dégradation significative de la fonction du métal, de l’environnement ou du système technique dont ils font partie » (ISO, 2024). Ce phénomène naturel et thermodynamiquement spontané traduit la tendance des métaux à retourner à leur état d’oxyde stable, l’état sous lequel ils existent dans la croûte terrestre avant tout traitement métallurgique (Schweitzer, 2010).</w:t>
      </w:r>
    </w:p>
    <w:p>
      <w:pPr>
        <w:pStyle w:val="BodyText"/>
      </w:pPr>
      <w:r>
        <w:t xml:space="preserve">L’étude scientifique de la corrosion remonte aux travaux fondateurs de Michael Faraday (1834), qui établit la relation quantitative entre le courant électrique et la masse de métal dissous, posant ainsi les bases de l’électrochimie de la corrosion (Faraday, 1834). Au XXᵉ siècle, Wagner et Traud (1938) formalisent la théorie des électrodes mixtes et de la cinétique électrochimique, permettant de modéliser quantitativement la vitesse de corrosion à partir des courbes de polarisation. Le modèle semi-empirique de de Waard et Milliams (1975), développé pour la prédiction de la corrosion CO₂ dans les pipelines pétroliers, devient la référence industrielle mondiale (de Waard et Milliams, 1975 ; de Waard, Lotz et Milliams, 1991).</w:t>
      </w:r>
    </w:p>
    <w:p>
      <w:pPr>
        <w:pStyle w:val="BodyText"/>
      </w:pPr>
      <w:r>
        <w:t xml:space="preserve">La maintenance industrielle, quant à elle, a connu une évolution parallèle. La norme EN 13306 :2017 définit la maintenance prédictive comme une « maintenance conditionnelle effectuée en suivant les prévisions extrapolées de l’analyse et de l’évaluation de paramètres significatifs de la dégradation du bien » (CEN, 2017). La norme ISO 13381-1 :2025 précise quant à elle les principes du pronostic et de l’estimation de la durée de vie résiduelle (RUL) à partir des données de surveillance (ISO, 2025). C’est précisément à l’intersection de ces deux normes que se positionne ce travail : instrumenter pour mesurer, mesurer pour prédire, prédire pour intervenir.</w:t>
      </w:r>
    </w:p>
    <w:bookmarkEnd w:id="29"/>
    <w:bookmarkStart w:id="30" w:name="X850f1794fe9a2466780c6232cafb502d515541d"/>
    <w:p>
      <w:pPr>
        <w:pStyle w:val="Heading3"/>
      </w:pPr>
      <w:r>
        <w:t xml:space="preserve">I.1.2. Contexte international et national</w:t>
      </w:r>
    </w:p>
    <w:p>
      <w:pPr>
        <w:pStyle w:val="FirstParagraph"/>
      </w:pPr>
      <w:r>
        <w:t xml:space="preserve">À l’échelle mondiale, l’étude IMPACT (International Measures of Prevention, Application and Economics of Corrosion Technology) publiée par la NACE en 2016 estime le coût annuel global de la corrosion à 2,5 billions USD, soit environ 3,4 % du PIB mondial (Koch et al., 2016 ; NACE, 2016). L’étude conclut également que la mise en œuvre de bonnes pratiques de gestion de la corrosion permettrait d’économiser entre 15 % et 35 % de ce montant, soit 375 à 875 milliards USD par an. Dans le seul secteur Oil &amp; Gas, les pertes annuelles imputables à la corrosion sont estimées entre 1,3 et 1,8 milliard USD (Koch et al., 2016 ; Inspectioneering, 2016). Ces chiffres représentent une opportunité directe d’économies si des stratégies de surveillance et de prédiction efficaces sont déployées.</w:t>
      </w:r>
    </w:p>
    <w:p>
      <w:pPr>
        <w:pStyle w:val="BodyText"/>
      </w:pPr>
      <w:r>
        <w:t xml:space="preserve">En Afrique subsaharienne, la problématique est amplifiée par plusieurs facteurs : (i) des conditions climatiques tropicales (humidité élevée, températures &gt; 28 °C) qui accélèrent la corrosion atmosphérique ; (ii) la difficulté d’accès à certains équipements (forêt équatoriale, zones marécageuses, sections offshore) ; (iii) l’instabilité politique et le vandalisme dans certaines régions (Pumps Africa, 2024). Les opérateurs africains du secteur Oil &amp; Gas doivent ainsi composer avec des budgets contraints et des chaînes d’approvisionnement plus longues que leurs homologues occidentaux pour les pièces de rechange et les équipements d’inspection (Egbule et al., 2018 ; Onyebuchi et al., 2018).</w:t>
      </w:r>
    </w:p>
    <w:p>
      <w:pPr>
        <w:pStyle w:val="BodyText"/>
      </w:pPr>
      <w:r>
        <w:t xml:space="preserve">Au Cameroun, le secteur pétrolier représente une part significative des recettes publiques et du PIB national. La Cameroon Oil Transportation Company (COTCO) exploite depuis 2003 le Système d’Exportation Tchadien (SET), composé d’un pipeline de 1 070 km au total dont 903 km en territoire camerounais, d’une station de tête à Komé, et d’un terminal offshore à Kribi (Kome Kribi 1 FSO) relié à la côte par un pipeline sous-marin de 11 km (COTCO, 2024 ; Chad-Cameroon Pipeline Project, 2024 ; ExxonMobil, 2011). La capacité nominale est de 225 000 barils par jour. Cette infrastructure traverse des zones de forêt équatoriale dense, franchit de nombreux cours d’eau et longe des zones habitées, rendant toute défaillance non anticipée potentiellement catastrophique sur les plans humain, environnemental et économique.</w:t>
      </w:r>
    </w:p>
    <w:bookmarkEnd w:id="30"/>
    <w:bookmarkStart w:id="31" w:name="Xb37e2781a5cd457d8a0a65b4a72a89945dc267b"/>
    <w:p>
      <w:pPr>
        <w:pStyle w:val="Heading3"/>
      </w:pPr>
      <w:r>
        <w:t xml:space="preserve">I.1.3. État de la recherche scientifique et limites identifiées</w:t>
      </w:r>
    </w:p>
    <w:p>
      <w:pPr>
        <w:pStyle w:val="FirstParagraph"/>
      </w:pPr>
      <w:r>
        <w:t xml:space="preserve">La recherche sur la prédiction de la corrosion par apprentissage automatique a connu une accélération significative depuis 2018, avec une production scientifique en croissance exponentielle (Coelho, 2022 ; npj Materials Degradation, 2022). Les approches les plus utilisées dans la littérature récente incluent :</w:t>
      </w:r>
    </w:p>
    <w:p>
      <w:pPr>
        <w:pStyle w:val="Compact"/>
        <w:numPr>
          <w:ilvl w:val="0"/>
          <w:numId w:val="1003"/>
        </w:numPr>
      </w:pPr>
      <w:r>
        <w:t xml:space="preserve">Les méthodes d’ensemble : forêts aléatoires, XGBoost (Chen et Guestrin, 2016), LightGBM, AdaBoost et Gradient Boosting (Kuang et Long, 2024). Ces méthodes obtiennent typiquement des erreurs RMSE comprises entre 0,031 et 0,052 mm/an avec des coefficients de détermination R² supérieurs à 0,95 sur des jeux de données de pipelines (Wei et al., 2024).</w:t>
      </w:r>
    </w:p>
    <w:p>
      <w:pPr>
        <w:pStyle w:val="Compact"/>
        <w:numPr>
          <w:ilvl w:val="0"/>
          <w:numId w:val="1003"/>
        </w:numPr>
      </w:pPr>
      <w:r>
        <w:t xml:space="preserve">Les réseaux de neurones : MLP (Ossai, Boswell et Davies, 2017), réseaux de neurones convolutifs et LSTM pour les séries temporelles, réseaux résiduels (ResNet) avec analyse d’interprétabilité (Zheng et al., 2025), et architectures Transformer pour la prédiction de corrosion interne (Tan et al., 2025).</w:t>
      </w:r>
    </w:p>
    <w:p>
      <w:pPr>
        <w:pStyle w:val="Compact"/>
        <w:numPr>
          <w:ilvl w:val="0"/>
          <w:numId w:val="1003"/>
        </w:numPr>
      </w:pPr>
      <w:r>
        <w:t xml:space="preserve">Les approches interprétables : utilisation de SHAP (SHapley Additive exPlanations) pour quantifier la contribution de chaque variable d’entrée aux prédictions (Hu et al., 2024 ; Kuang et Long, 2024). Ces analyses identifient typiquement la température, la pression partielle de CO₂ et la pression totale comme les trois variables dominantes pour la corrosion interne des pipelines O&amp;G.</w:t>
      </w:r>
    </w:p>
    <w:p>
      <w:pPr>
        <w:pStyle w:val="FirstParagraph"/>
      </w:pPr>
      <w:r>
        <w:t xml:space="preserve">Cependant, plusieurs lacunes critiques persistent dans la littérature :</w:t>
      </w:r>
    </w:p>
    <w:p>
      <w:pPr>
        <w:pStyle w:val="Compact"/>
        <w:numPr>
          <w:ilvl w:val="0"/>
          <w:numId w:val="1004"/>
        </w:numPr>
      </w:pPr>
      <w:r>
        <w:t xml:space="preserve">Absence quasi-totale de données africaines : les jeux de données utilisés proviennent presque exclusivement des États-Unis (PHMSA), de Chine ou d’Europe. Aucune étude publiée n’intègre de données expérimentales issues de pipelines subsahariens (Pumps Africa, 2024 ; Onyebuchi et al., 2018).</w:t>
      </w:r>
    </w:p>
    <w:p>
      <w:pPr>
        <w:pStyle w:val="Compact"/>
        <w:numPr>
          <w:ilvl w:val="0"/>
          <w:numId w:val="1004"/>
        </w:numPr>
      </w:pPr>
      <w:r>
        <w:t xml:space="preserve">Coût prohibitif des sondes commerciales : les sondes ER industrielles (Cosasco, Permasense, Emerson Roxar) ont un coût unitaire de 500 à 5 000 USD, hors installation et maintenance, ce qui est incompatible avec un déploiement étendu sur un réseau de plusieurs milliers de kilomètres (Cosasco, 2024 ; Hassanzadeh et al., 2024).</w:t>
      </w:r>
    </w:p>
    <w:p>
      <w:pPr>
        <w:pStyle w:val="Compact"/>
        <w:numPr>
          <w:ilvl w:val="0"/>
          <w:numId w:val="1004"/>
        </w:numPr>
      </w:pPr>
      <w:r>
        <w:t xml:space="preserve">Circularité des évaluations sur données synthétiques : la majorité des modèles ML sont entraînés et évalués sur des données générées par les modèles physiques eux-mêmes (de Waard et Milliams), ce qui invalide la portée scientifique des métriques rapportées. Un modèle XGBoost entraîné sur des données de Waard apprend à reproduire de Waard, sans capacité démontrée de généralisation (Coelho, 2022).</w:t>
      </w:r>
    </w:p>
    <w:p>
      <w:pPr>
        <w:pStyle w:val="Compact"/>
        <w:numPr>
          <w:ilvl w:val="0"/>
          <w:numId w:val="1004"/>
        </w:numPr>
      </w:pPr>
      <w:r>
        <w:t xml:space="preserve">Absence de prédiction simultanée CR + RUL : la majorité des travaux se limitent à la prédiction du taux de corrosion instantané, sans extrapolation vers le temps avant défaillance, information pourtant décisive pour la planification industrielle (Akash, 2024 ; Liu et al., 2022).</w:t>
      </w:r>
    </w:p>
    <w:p>
      <w:pPr>
        <w:pStyle w:val="Compact"/>
        <w:numPr>
          <w:ilvl w:val="0"/>
          <w:numId w:val="1004"/>
        </w:numPr>
      </w:pPr>
      <w:r>
        <w:t xml:space="preserve">Environnements multi-composants peu modélisés : les milieux industriels réels combinent souvent plusieurs acides ou agents agressifs dont l’interaction n’est pas modélisable analytiquement par les approches classiques (Ma et al., 2024). C’est typiquement le cas des détartrants industriels qui mélangent HCl et H₃PO₄, créant une cinétique multi-mécanismes attaque/passivation difficile à prédire (Persian Utab, 2023 ; Schweitzer, 2010).</w:t>
      </w:r>
    </w:p>
    <w:bookmarkEnd w:id="31"/>
    <w:bookmarkStart w:id="32" w:name="X491ea52497223ba3fe84cc78d68fb0c10996acb"/>
    <w:p>
      <w:pPr>
        <w:pStyle w:val="Heading3"/>
      </w:pPr>
      <w:r>
        <w:t xml:space="preserve">I.1.4. Justificatif normatif et réglementaire</w:t>
      </w:r>
    </w:p>
    <w:p>
      <w:pPr>
        <w:pStyle w:val="FirstParagraph"/>
      </w:pPr>
      <w:r>
        <w:t xml:space="preserve">La gestion de la corrosion dans les infrastructures pétrolières est encadrée par un corpus normatif international et national complet :</w:t>
      </w:r>
    </w:p>
    <w:p>
      <w:pPr>
        <w:pStyle w:val="BodyText"/>
      </w:pPr>
      <w:r>
        <w:t xml:space="preserve">Au niveau international :</w:t>
      </w:r>
    </w:p>
    <w:p>
      <w:pPr>
        <w:pStyle w:val="Compact"/>
        <w:numPr>
          <w:ilvl w:val="0"/>
          <w:numId w:val="1005"/>
        </w:numPr>
      </w:pPr>
      <w:r>
        <w:t xml:space="preserve">ISO 8044 :2024, Corrosion des métaux et alliages, Vocabulaire (ISO, 2024) ;</w:t>
      </w:r>
    </w:p>
    <w:p>
      <w:pPr>
        <w:pStyle w:val="Compact"/>
        <w:numPr>
          <w:ilvl w:val="0"/>
          <w:numId w:val="1005"/>
        </w:numPr>
      </w:pPr>
      <w:r>
        <w:t xml:space="preserve">ASTM G1-03, Préparation, nettoyage et évaluation des éprouvettes de corrosion (ASTM, 2017) ;</w:t>
      </w:r>
    </w:p>
    <w:p>
      <w:pPr>
        <w:pStyle w:val="Compact"/>
        <w:numPr>
          <w:ilvl w:val="0"/>
          <w:numId w:val="1005"/>
        </w:numPr>
      </w:pPr>
      <w:r>
        <w:t xml:space="preserve">ASTM G31-12a, Essais d’immersion en laboratoire (ASTM, 2012) ;</w:t>
      </w:r>
    </w:p>
    <w:p>
      <w:pPr>
        <w:pStyle w:val="Compact"/>
        <w:numPr>
          <w:ilvl w:val="0"/>
          <w:numId w:val="1005"/>
        </w:numPr>
      </w:pPr>
      <w:r>
        <w:t xml:space="preserve">ASTM G96-90(2018), Surveillance en service de la corrosion par méthodes électriques et électrochimiques (ER, LPR) (ASTM, 2018) ;</w:t>
      </w:r>
    </w:p>
    <w:p>
      <w:pPr>
        <w:pStyle w:val="Compact"/>
        <w:numPr>
          <w:ilvl w:val="0"/>
          <w:numId w:val="1005"/>
        </w:numPr>
      </w:pPr>
      <w:r>
        <w:t xml:space="preserve">NACE/AMPP SP0775-2023, Préparation, installation, analyse et interprétation des coupons de corrosion en exploitation des hydrocarbures (AMPP, 2023) ;</w:t>
      </w:r>
    </w:p>
    <w:p>
      <w:pPr>
        <w:pStyle w:val="Compact"/>
        <w:numPr>
          <w:ilvl w:val="0"/>
          <w:numId w:val="1005"/>
        </w:numPr>
      </w:pPr>
      <w:r>
        <w:t xml:space="preserve">NACE MR0175 / ISO 15156, Matériaux résistant à la corrosion sous H₂S (ISO, 2020) ;</w:t>
      </w:r>
    </w:p>
    <w:p>
      <w:pPr>
        <w:pStyle w:val="Compact"/>
        <w:numPr>
          <w:ilvl w:val="0"/>
          <w:numId w:val="1005"/>
        </w:numPr>
      </w:pPr>
      <w:r>
        <w:t xml:space="preserve">API 570, Inspection des systèmes de tuyauteries en service (API, 2024) ;</w:t>
      </w:r>
    </w:p>
    <w:p>
      <w:pPr>
        <w:pStyle w:val="Compact"/>
        <w:numPr>
          <w:ilvl w:val="0"/>
          <w:numId w:val="1005"/>
        </w:numPr>
      </w:pPr>
      <w:r>
        <w:t xml:space="preserve">API 580 / 581, Inspection basée sur le risque (RBI) (API, 2023 ; API, 2025) ;</w:t>
      </w:r>
    </w:p>
    <w:p>
      <w:pPr>
        <w:pStyle w:val="Compact"/>
        <w:numPr>
          <w:ilvl w:val="0"/>
          <w:numId w:val="1005"/>
        </w:numPr>
      </w:pPr>
      <w:r>
        <w:t xml:space="preserve">ISO 13381-1 :2025, Surveillance et diagnostic d’état des systèmes de machines, Pronostic, Partie 1 : Lignes directrices générales et exigences (ISO, 2025) ;</w:t>
      </w:r>
    </w:p>
    <w:p>
      <w:pPr>
        <w:pStyle w:val="Compact"/>
        <w:numPr>
          <w:ilvl w:val="0"/>
          <w:numId w:val="1005"/>
        </w:numPr>
      </w:pPr>
      <w:r>
        <w:t xml:space="preserve">EN 13306 :2017, Terminologie de la maintenance (CEN, 2017) ;</w:t>
      </w:r>
    </w:p>
    <w:p>
      <w:pPr>
        <w:pStyle w:val="Compact"/>
        <w:numPr>
          <w:ilvl w:val="0"/>
          <w:numId w:val="1005"/>
        </w:numPr>
      </w:pPr>
      <w:r>
        <w:t xml:space="preserve">NORSOK M-506, Calcul du taux de corrosion CO₂ (Standards Norway, 2017).</w:t>
      </w:r>
    </w:p>
    <w:p>
      <w:pPr>
        <w:pStyle w:val="FirstParagraph"/>
      </w:pPr>
      <w:r>
        <w:t xml:space="preserve">Au niveau national camerounais :</w:t>
      </w:r>
    </w:p>
    <w:p>
      <w:pPr>
        <w:pStyle w:val="Compact"/>
        <w:numPr>
          <w:ilvl w:val="0"/>
          <w:numId w:val="1006"/>
        </w:numPr>
      </w:pPr>
      <w:r>
        <w:t xml:space="preserve">Loi n° 2019/008 du 25 avril 2019 portant Code Pétrolier (abrogeant la loi n° 99/013 du 22 décembre 1999), qui impose aux opérateurs de maintenir leurs installations dans un état de sécurité conforme aux normes internationales (République du Cameroun, 2019) ;</w:t>
      </w:r>
    </w:p>
    <w:p>
      <w:pPr>
        <w:pStyle w:val="Compact"/>
        <w:numPr>
          <w:ilvl w:val="0"/>
          <w:numId w:val="1006"/>
        </w:numPr>
      </w:pPr>
      <w:r>
        <w:t xml:space="preserve">Décret n° 2023/232 du 4 mai 2023 fixant les modalités d’application de la loi n° 2019/008 portant Code Pétrolier, prévoyant des obligations de surveillance et de contrôle (République du Cameroun, 2023) ;</w:t>
      </w:r>
    </w:p>
    <w:p>
      <w:pPr>
        <w:pStyle w:val="Compact"/>
        <w:numPr>
          <w:ilvl w:val="0"/>
          <w:numId w:val="1006"/>
        </w:numPr>
      </w:pPr>
      <w:r>
        <w:t xml:space="preserve">Loi-cadre sur l’environnement (loi n° 96/12 du 5 août 1996) imposant des études d’impact et des plans de prévention des pollutions (République du Cameroun, 1996).</w:t>
      </w:r>
    </w:p>
    <w:p>
      <w:pPr>
        <w:pStyle w:val="FirstParagraph"/>
      </w:pPr>
      <w:r>
        <w:t xml:space="preserve">L’ensemble de ce corpus normatif établit le cadre dans lequel s’inscrit toute démarche de surveillance de la corrosion sur le territoire camerounais. Le présent travail contribue à ce cadre en proposant un outil aligné sur les principes de l’ASTM G96 (mesure ER continue) et de l’ISO 13381-1 (pronostic et RUL).</w:t>
      </w:r>
    </w:p>
    <w:bookmarkEnd w:id="32"/>
    <w:bookmarkStart w:id="33" w:name="X9bf1001f4477bc1916b5560d2cd248a11b9845b"/>
    <w:p>
      <w:pPr>
        <w:pStyle w:val="Heading3"/>
      </w:pPr>
      <w:r>
        <w:t xml:space="preserve">I.1.5. Le concept dans la zone d’étude — COTCO et le pipeline Tchad-Cameroun</w:t>
      </w:r>
    </w:p>
    <w:p>
      <w:pPr>
        <w:pStyle w:val="FirstParagraph"/>
      </w:pPr>
      <w:r>
        <w:t xml:space="preserve">La Cameroon Oil Transportation Company (COTCO) opère le pipeline Tchad-Cameroun depuis 2003 (COTCO, 2024). Le système comprend les éléments suivants (ExxonMobil, 2011 ; Chad-Cameroon Pipeline Project, 2024) :</w:t>
      </w:r>
    </w:p>
    <w:p>
      <w:pPr>
        <w:pStyle w:val="Compact"/>
        <w:numPr>
          <w:ilvl w:val="0"/>
          <w:numId w:val="1007"/>
        </w:numPr>
      </w:pPr>
      <w:r>
        <w:t xml:space="preserve">Un pipeline enterré de 1 070 km de longueur totale (903 km en territoire camerounais), de diamètre nominal 30 pouces, en acier API 5L Grade B revêtu de FBE (Fusion-Bonded Epoxy) ;</w:t>
      </w:r>
    </w:p>
    <w:p>
      <w:pPr>
        <w:pStyle w:val="Compact"/>
        <w:numPr>
          <w:ilvl w:val="0"/>
          <w:numId w:val="1007"/>
        </w:numPr>
      </w:pPr>
      <w:r>
        <w:t xml:space="preserve">Une station de pompage de tête (PS-1) à Komé (Tchad) ;</w:t>
      </w:r>
    </w:p>
    <w:p>
      <w:pPr>
        <w:pStyle w:val="Compact"/>
        <w:numPr>
          <w:ilvl w:val="0"/>
          <w:numId w:val="1007"/>
        </w:numPr>
      </w:pPr>
      <w:r>
        <w:t xml:space="preserve">Un terminal d’exportation offshore à 18 km au large de Kribi (Cameroun), constitué de l’unité Kome Kribi 1 FSO (Floating Storage and Offloading) reliée à la côte par un pipeline sous-marin de 11 km ;</w:t>
      </w:r>
    </w:p>
    <w:p>
      <w:pPr>
        <w:pStyle w:val="Compact"/>
        <w:numPr>
          <w:ilvl w:val="0"/>
          <w:numId w:val="1007"/>
        </w:numPr>
      </w:pPr>
      <w:r>
        <w:t xml:space="preserve">Une capacité nominale de 225 000 barils par jour.</w:t>
      </w:r>
    </w:p>
    <w:p>
      <w:pPr>
        <w:pStyle w:val="FirstParagraph"/>
      </w:pPr>
      <w:r>
        <w:t xml:space="preserve">Ce réseau est soumis à plusieurs mécanismes de corrosion simultanés (Egbule et al., 2018 ; Aniobi, 2018) :</w:t>
      </w:r>
    </w:p>
    <w:p>
      <w:pPr>
        <w:pStyle w:val="Compact"/>
        <w:numPr>
          <w:ilvl w:val="0"/>
          <w:numId w:val="1008"/>
        </w:numPr>
      </w:pPr>
      <w:r>
        <w:t xml:space="preserve">Corrosion externe atmosphérique et galvanique sur les sections aériennes ou semi-aériennes, accélérée par l’humidité tropicale ;</w:t>
      </w:r>
    </w:p>
    <w:p>
      <w:pPr>
        <w:pStyle w:val="Compact"/>
        <w:numPr>
          <w:ilvl w:val="0"/>
          <w:numId w:val="1008"/>
        </w:numPr>
      </w:pPr>
      <w:r>
        <w:t xml:space="preserve">Corrosion sous revêtement (CUI) dans les zones où le revêtement FBE est endommagé ;</w:t>
      </w:r>
    </w:p>
    <w:p>
      <w:pPr>
        <w:pStyle w:val="Compact"/>
        <w:numPr>
          <w:ilvl w:val="0"/>
          <w:numId w:val="1008"/>
        </w:numPr>
      </w:pPr>
      <w:r>
        <w:t xml:space="preserve">Corrosion interne par les hydrocarbures bruts contenant des traces résiduelles de CO₂, H₂S et eau de formation ;</w:t>
      </w:r>
    </w:p>
    <w:p>
      <w:pPr>
        <w:pStyle w:val="Compact"/>
        <w:numPr>
          <w:ilvl w:val="0"/>
          <w:numId w:val="1008"/>
        </w:numPr>
      </w:pPr>
      <w:r>
        <w:t xml:space="preserve">Corrosion microbienne (MIC) liée à l’activité de bactéries sulfato-réductrices (SRB) dans les fonds de réservoirs et bas de conduites ;</w:t>
      </w:r>
    </w:p>
    <w:p>
      <w:pPr>
        <w:pStyle w:val="Compact"/>
        <w:numPr>
          <w:ilvl w:val="0"/>
          <w:numId w:val="1008"/>
        </w:numPr>
      </w:pPr>
      <w:r>
        <w:t xml:space="preserve">Corrosion par piqûres dans les zones où des chlorures sont présents.</w:t>
      </w:r>
    </w:p>
    <w:p>
      <w:pPr>
        <w:pStyle w:val="FirstParagraph"/>
      </w:pPr>
      <w:r>
        <w:t xml:space="preserve">Important : COTCO dispose déjà d’une surveillance ER active. Sur les sections critiques du SET, des sondes ER commerciales (Cosasco, Emerson Roxar) ainsi que des sondes LPR sont câblées vers le DCS (</w:t>
      </w:r>
      <w:r>
        <w:rPr>
          <w:i/>
          <w:iCs/>
        </w:rPr>
        <w:t xml:space="preserve">Distributed Control System</w:t>
      </w:r>
      <w:r>
        <w:t xml:space="preserve">) de la station de Komé et vers la salle de contrôle de Kribi. Ces sondes produisent un flux continu de mesures de résistance et de variables de procédé associées (température, pression, débit). Cependant, l’exploitation de ces données reste à un niveau Industrie 3.0, dont les caractéristiques sont les suivantes (Lasi et al., 2014 ; Lu, 2017 ; Xu et al., 2018) :</w:t>
      </w:r>
    </w:p>
    <w:p>
      <w:pPr>
        <w:pStyle w:val="Compact"/>
        <w:numPr>
          <w:ilvl w:val="0"/>
          <w:numId w:val="1009"/>
        </w:numPr>
      </w:pPr>
      <w:r>
        <w:t xml:space="preserve">Acquisition : sondes ER + LPR câblées (4-20 mA, HART) vers automates et DCS, données centralisées en salle de contrôle ;</w:t>
      </w:r>
    </w:p>
    <w:p>
      <w:pPr>
        <w:pStyle w:val="Compact"/>
        <w:numPr>
          <w:ilvl w:val="0"/>
          <w:numId w:val="1009"/>
        </w:numPr>
      </w:pPr>
      <w:r>
        <w:t xml:space="preserve">Analyse silotée : l’ingénieur corrosion examine les courbes de chaque sonde de manière isolée, sans corrélation algorithmique avec les variables de procédé ;</w:t>
      </w:r>
    </w:p>
    <w:p>
      <w:pPr>
        <w:pStyle w:val="Compact"/>
        <w:numPr>
          <w:ilvl w:val="0"/>
          <w:numId w:val="1009"/>
        </w:numPr>
      </w:pPr>
      <w:r>
        <w:t xml:space="preserve">Alertes : seuils fixes (alarmes haute / très haute) sans gradation prédictive ; l’opérateur reçoit une notification quand un seuil est franchi mais sans estimation du temps avant défaillance ;</w:t>
      </w:r>
    </w:p>
    <w:p>
      <w:pPr>
        <w:pStyle w:val="Compact"/>
        <w:numPr>
          <w:ilvl w:val="0"/>
          <w:numId w:val="1009"/>
        </w:numPr>
      </w:pPr>
      <w:r>
        <w:t xml:space="preserve">Décision : l’ajustement du débit de la pompe à inhibiteur est manuel, sur jugement d’expert ;</w:t>
      </w:r>
    </w:p>
    <w:p>
      <w:pPr>
        <w:pStyle w:val="Compact"/>
        <w:numPr>
          <w:ilvl w:val="0"/>
          <w:numId w:val="1009"/>
        </w:numPr>
      </w:pPr>
      <w:r>
        <w:t xml:space="preserve">Maintenance des sondes : remplacement préventif selon calendrier ou à la défaillance.</w:t>
      </w:r>
    </w:p>
    <w:p>
      <w:pPr>
        <w:pStyle w:val="FirstParagraph"/>
      </w:pPr>
      <w:r>
        <w:t xml:space="preserve">Au-delà de la surveillance ER continue, la politique actuelle de maintenance chez COTCO comprend également (Pumps Africa, 2024 ; HSPublishing, 2023) :</w:t>
      </w:r>
    </w:p>
    <w:p>
      <w:pPr>
        <w:pStyle w:val="Compact"/>
        <w:numPr>
          <w:ilvl w:val="0"/>
          <w:numId w:val="1010"/>
        </w:numPr>
      </w:pPr>
      <w:r>
        <w:t xml:space="preserve">Des inspections périodiques par ultrasons (UT) à intervalles de 6 à 24 mois selon la criticité de la section, en complément de la surveillance ER ;</w:t>
      </w:r>
    </w:p>
    <w:p>
      <w:pPr>
        <w:pStyle w:val="Compact"/>
        <w:numPr>
          <w:ilvl w:val="0"/>
          <w:numId w:val="1010"/>
        </w:numPr>
      </w:pPr>
      <w:r>
        <w:t xml:space="preserve">Des coupons gravimétriques placés en certains points stratégiques pour validation indépendante ;</w:t>
      </w:r>
    </w:p>
    <w:p>
      <w:pPr>
        <w:pStyle w:val="Compact"/>
        <w:numPr>
          <w:ilvl w:val="0"/>
          <w:numId w:val="1010"/>
        </w:numPr>
      </w:pPr>
      <w:r>
        <w:t xml:space="preserve">Une injection préventive d’inhibiteurs dans le brut (filmants à base d’imidazoline ou d’amines), pilotée manuellement.</w:t>
      </w:r>
    </w:p>
    <w:p>
      <w:pPr>
        <w:pStyle w:val="FirstParagraph"/>
      </w:pPr>
      <w:r>
        <w:t xml:space="preserve">Cette approche I3.0 présente plusieurs limites structurelles que la transition I4.0 vise précisément à lever :</w:t>
      </w:r>
    </w:p>
    <w:p>
      <w:pPr>
        <w:pStyle w:val="Compact"/>
        <w:numPr>
          <w:ilvl w:val="0"/>
          <w:numId w:val="1011"/>
        </w:numPr>
      </w:pPr>
      <w:r>
        <w:t xml:space="preserve">Absence de corrélation algorithmique multi-variables : la dérive du taux de corrosion peut résulter d’une élévation thermique, d’un changement de composition du fluide ou d’une défaillance de l’injection inhibiteur, ces causes ne sont pas distinguées en temps réel ;</w:t>
      </w:r>
    </w:p>
    <w:p>
      <w:pPr>
        <w:pStyle w:val="Compact"/>
        <w:numPr>
          <w:ilvl w:val="0"/>
          <w:numId w:val="1011"/>
        </w:numPr>
      </w:pPr>
      <w:r>
        <w:t xml:space="preserve">Absence d’estimation explicite du RUL (durée de vie résiduelle) : les seuils fixes informent que le système est en alerte, mais pas dans combien d’heures la défaillance est probable ;</w:t>
      </w:r>
    </w:p>
    <w:p>
      <w:pPr>
        <w:pStyle w:val="Compact"/>
        <w:numPr>
          <w:ilvl w:val="0"/>
          <w:numId w:val="1011"/>
        </w:numPr>
      </w:pPr>
      <w:r>
        <w:t xml:space="preserve">Absence de boucle décision → action</w:t>
      </w:r>
      <w:r>
        <w:t xml:space="preserve"> </w:t>
      </w:r>
      <w:r>
        <w:rPr>
          <w:i/>
          <w:iCs/>
        </w:rPr>
        <w:t xml:space="preserve">prédictive</w:t>
      </w:r>
      <w:r>
        <w:t xml:space="preserve"> </w:t>
      </w:r>
      <w:r>
        <w:t xml:space="preserve">structurée : l’opérateur trace certes ses interventions dans une GMAO (chez COTCO, via SAP), mais les sorties prédictives (CR, RUL) n’y sont pas reliées automatiquement, aucun ordre de travail n’est généré directement à partir d’une dérive</w:t>
      </w:r>
      <w:r>
        <w:t xml:space="preserve"> </w:t>
      </w:r>
      <w:r>
        <w:rPr>
          <w:i/>
          <w:iCs/>
        </w:rPr>
        <w:t xml:space="preserve">prédite</w:t>
      </w:r>
      <w:r>
        <w:t xml:space="preserve">, et la chaîne prédiction → intervention demeure manuelle ;</w:t>
      </w:r>
    </w:p>
    <w:p>
      <w:pPr>
        <w:pStyle w:val="Compact"/>
        <w:numPr>
          <w:ilvl w:val="0"/>
          <w:numId w:val="1011"/>
        </w:numPr>
      </w:pPr>
      <w:r>
        <w:t xml:space="preserve">Sous-exploitation du flux de données : les historiques des sondes ER constituent un actif informationnel non valorisé.</w:t>
      </w:r>
    </w:p>
    <w:p>
      <w:pPr>
        <w:pStyle w:val="FirstParagraph"/>
      </w:pPr>
      <w:r>
        <w:t xml:space="preserve">Le verrou n’est donc plus l’instrumentation (déjà en place et performante), mais l’intelligence applicative : ajouter au-dessus du flux ER existant une couche d’apprentissage automatique capable de corréler résistance / température / temps, de prédire CR + RUL, et d’orchestrer les ordres de travail via une GMAO interconnectée. C’est précisément la transition Industrie 3.0 → Industrie 4.0 que ce mémoire propose d’opérer.</w:t>
      </w:r>
    </w:p>
    <w:bookmarkEnd w:id="33"/>
    <w:bookmarkStart w:id="34" w:name="i.1.6.-énoncé-du-sujet"/>
    <w:p>
      <w:pPr>
        <w:pStyle w:val="Heading3"/>
      </w:pPr>
      <w:r>
        <w:t xml:space="preserve">I.1.6. Énoncé du sujet</w:t>
      </w:r>
    </w:p>
    <w:p>
      <w:pPr>
        <w:pStyle w:val="FirstParagraph"/>
      </w:pPr>
      <w:r>
        <w:t xml:space="preserve">Sur la base du contexte exposé, ampleur économique mondiale de la corrosion, lacunes scientifiques persistantes (sous-exploitation des historiques ER, absence de prédiction CR + RUL combinée, absence de chaîne décision → action structurée), maturité numérique limitée à l’Industrie 3.0 chez la plupart des opérateurs subsahariens dont COTCO, cadre normatif et réglementaire, le sujet de ce mémoire est formulé comme suit :</w:t>
      </w:r>
    </w:p>
    <w:p>
      <w:pPr>
        <w:pStyle w:val="BlockText"/>
      </w:pPr>
      <w:r>
        <w:t xml:space="preserve">« Maintenance prédictive de la corrosion : une transition Industrie 3.0 → 4.0 par sonde connectée et apprentissage automatique. »</w:t>
      </w:r>
    </w:p>
    <w:p>
      <w:pPr>
        <w:pStyle w:val="FirstParagraph"/>
      </w:pPr>
      <w:r>
        <w:t xml:space="preserve">Ce sujet articule quatre axes :</w:t>
      </w:r>
      <w:r>
        <w:br/>
      </w:r>
      <w:r>
        <w:t xml:space="preserve">1. Axe instrumental, conception d’une chaîne de mesure ER + IoT autonome (ESP32 + HX711 + DS18B20), démontrant qu’une chaîne d’acquisition I4.0 (déconnectée du DCS, déployable sur points isolés) est réalisable à partir de composants accessibles localement ;</w:t>
      </w:r>
      <w:r>
        <w:br/>
      </w:r>
      <w:r>
        <w:t xml:space="preserve">2. Axe algorithmique, apprentissage automatique XGBoost à double sortie CR + RUL avec interprétabilité SHAP, applicable indifféremment aux flux de données du prototype maison ou aux flux des sondes ER commerciales déjà en place chez COTCO ;</w:t>
      </w:r>
      <w:r>
        <w:br/>
      </w:r>
      <w:r>
        <w:t xml:space="preserve">3. Axe intégration, structuration de la boucle décision → action par un module GMAO maison intégré à l’application Streamlit (persistance Supabase) qui génère automatiquement les ordres de travail, transposable à un CMMS open-source ;</w:t>
      </w:r>
      <w:r>
        <w:br/>
      </w:r>
      <w:r>
        <w:t xml:space="preserve">4. Axe applicatif et de transposabilité, démonstration que l’ensemble de la chaîne est doublement transposable : (a) en industrie chez COTCO, où le saut I3.0 → I4.0 est essentiellement logiciel et n’exige pas le remplacement des sondes ; (b) en autonomie chez les PME industrielles africaines à budget réduit.</w:t>
      </w:r>
    </w:p>
    <w:p>
      <w:r>
        <w:pict>
          <v:rect style="width:0;height:1.5pt" o:hralign="center" o:hrstd="t" o:hr="t"/>
        </w:pict>
      </w:r>
    </w:p>
    <w:bookmarkEnd w:id="34"/>
    <w:bookmarkEnd w:id="35"/>
    <w:bookmarkStart w:id="36" w:name="i.2.-problématique"/>
    <w:p>
      <w:pPr>
        <w:pStyle w:val="Heading2"/>
      </w:pPr>
      <w:r>
        <w:t xml:space="preserve">I.2. Problématique</w:t>
      </w:r>
    </w:p>
    <w:p>
      <w:pPr>
        <w:pStyle w:val="FirstParagraph"/>
      </w:pPr>
      <w:r>
        <w:t xml:space="preserve">La maintenance des infrastructures de transport pétrolier au Cameroun, et plus particulièrement chez COTCO, fait face à un paradoxe fondamental : les opérateurs disposent déjà d’un flux continu de données de surveillance produit par les sondes ER et LPR commerciales câblées au DCS (Cosasco, Emerson Roxar), complété par des inspections UT périodiques, des rapports de laboratoire et des journaux d’injection d’inhibiteurs. Pourtant, ces données, d’une grande richesse informationnelle, ne sont ni corrélées algorithmiquement aux variables de procédé (température, pression, débit), ni exploitées par des modèles prédictifs de durée de vie résiduelle, ni reliées à la GMAO de l’opérateur (SAP chez COTCO) pour déclencher et tracer automatiquement les actions correctives issues d’une prédiction. Le verrou n’est donc plus l’instrumentation, mais bien l’intelligence applicative au-dessus du flux existant. Ce paradoxe correspond exactement à la frontière Industrie 3.0 / Industrie 4.0 identifiée dans la littérature de la transformation numérique industrielle (Lasi et al., 2014 ; Lu, 2017 ; Xu et al., 2018) : les machines mesurent, mais les données ne « parlent » pas entre elles, et la chaîne décision-action reste à dominante humaine.</w:t>
      </w:r>
    </w:p>
    <w:p>
      <w:pPr>
        <w:pStyle w:val="BodyText"/>
      </w:pPr>
      <w:r>
        <w:t xml:space="preserve">Sur le plan scientifique, les modèles physiques classiques de prédiction de la corrosion (modèle de de Waard et Milliams, modèle NORSOK M-506) ont montré des limites importantes en conditions d’exploitation réelle, avec des erreurs systématiques de 40 à 60 % attribuables à la non-prise en compte des interactions complexes entre les multiples composants des fluides de procédé (de Waard et Milliams, 1975 ; Coelho, 2022). Les approches par apprentissage automatique offrent une alternative prometteuse, capable de capturer ces non-linéarités, mais leur déploiement en contexte africain se heurte à plusieurs verrous : (i) l’absence de données d’entraînement locales, (ii) l’absence de protocoles</w:t>
      </w:r>
      <w:r>
        <w:t xml:space="preserve"> </w:t>
      </w:r>
      <w:r>
        <w:rPr>
          <w:i/>
          <w:iCs/>
        </w:rPr>
        <w:t xml:space="preserve">run-to-failure</w:t>
      </w:r>
      <w:r>
        <w:t xml:space="preserve"> </w:t>
      </w:r>
      <w:r>
        <w:t xml:space="preserve">publiés permettant la prédiction conjointe CR + RUL, et (iii) la rareté des plateformes intégrées prouvant la chaîne complète de la mesure jusqu’à l’ordre de travail.</w:t>
      </w:r>
    </w:p>
    <w:p>
      <w:pPr>
        <w:pStyle w:val="BodyText"/>
      </w:pPr>
      <w:r>
        <w:t xml:space="preserve">Sur le plan algorithmique, la grande majorité des travaux ML sur la corrosion se limitent à la prédiction instantanée du taux de corrosion, sans extrapolation explicite vers la durée de vie résiduelle (RUL), pourtant définie de manière claire par la norme ISO 13381-1 (ISO, 2025 ; Akash, 2024). Cette absence de double prédiction CR + RUL prive les opérateurs d’une information essentielle à la planification optimisée des interventions.</w:t>
      </w:r>
    </w:p>
    <w:p>
      <w:pPr>
        <w:pStyle w:val="BodyText"/>
      </w:pPr>
      <w:r>
        <w:t xml:space="preserve">Sur le plan applicatif, l’opérateur COTCO et la plupart des PME industrielles africaines partagent un même besoin : se doter d’une boucle décision → action structurée qui exploite les sorties prédictives pour générer automatiquement les ordres de travail, tracer les interventions et calculer les KPIs maintenance (MTBF, MTTR, disponibilité). Le marché GMAO est dominé par des solutions propriétaires (SAP PM, IBM Maximo, Mainpac) dont les coûts de licence (souvent supérieurs à 10 000 USD par site et par an) sont incompatibles avec les budgets de la plupart des opérateurs subsahariens et de l’ensemble des PME industrielles. Une alternative open-source intégrée est donc à construire.</w:t>
      </w:r>
    </w:p>
    <w:p>
      <w:pPr>
        <w:pStyle w:val="BodyText"/>
      </w:pPr>
      <w:r>
        <w:t xml:space="preserve">Enfin, sur le plan expérimental, peu d’études disposent d’un protocole</w:t>
      </w:r>
      <w:r>
        <w:t xml:space="preserve"> </w:t>
      </w:r>
      <w:r>
        <w:rPr>
          <w:i/>
          <w:iCs/>
        </w:rPr>
        <w:t xml:space="preserve">run-to-failure</w:t>
      </w:r>
      <w:r>
        <w:t xml:space="preserve"> </w:t>
      </w:r>
      <w:r>
        <w:t xml:space="preserve">(RTF) complet permettant de couvrir l’intégralité du cycle de dégradation depuis l’état initial jusqu’à la rupture mécanique. Or seul un protocole RTF permet de constituer un jeu d’apprentissage statistiquement représentatif pour une prédiction RUL fiable.</w:t>
      </w:r>
    </w:p>
    <w:p>
      <w:pPr>
        <w:pStyle w:val="BodyText"/>
      </w:pPr>
      <w:r>
        <w:t xml:space="preserve">La question centrale de ce travail est donc :</w:t>
      </w:r>
    </w:p>
    <w:p>
      <w:pPr>
        <w:pStyle w:val="BlockText"/>
      </w:pPr>
      <w:r>
        <w:t xml:space="preserve">Dans quelle mesure un système intégré associant (i) une sonde ER instrumentée IoT à autonomie d’acquisition (ESP32 + HX711 + DS18B20), (ii) un modèle XGBoost à double sortie CR + RUL entraîné en protocole</w:t>
      </w:r>
      <w:r>
        <w:t xml:space="preserve"> </w:t>
      </w:r>
      <w:r>
        <w:rPr>
          <w:i/>
          <w:iCs/>
        </w:rPr>
        <w:t xml:space="preserve">run-to-failure</w:t>
      </w:r>
      <w:r>
        <w:t xml:space="preserve"> </w:t>
      </w:r>
      <w:r>
        <w:t xml:space="preserve">sur des données expérimentales de corrosion en milieu acide (HCl), et (iii) une chaîne d’intégration via API REST vers un CMMS open-source pour la génération automatique d’ordres de travail, permet-il d’opérer une transition Industrie 3.0 → Industrie 4.0 transposable à la fois (a) aux opérateurs industriels disposant déjà d’une instrumentation ER commerciale (cas COTCO, saut I3.0 → I4.0 essentiellement logiciel) et (b) aux PME industrielles africaines en autonomie complète à budget réduit ?</w:t>
      </w:r>
    </w:p>
    <w:p>
      <w:r>
        <w:pict>
          <v:rect style="width:0;height:1.5pt" o:hralign="center" o:hrstd="t" o:hr="t"/>
        </w:pict>
      </w:r>
    </w:p>
    <w:bookmarkEnd w:id="36"/>
    <w:bookmarkStart w:id="39" w:name="i.3.-objectifs-de-létude"/>
    <w:p>
      <w:pPr>
        <w:pStyle w:val="Heading2"/>
      </w:pPr>
      <w:r>
        <w:t xml:space="preserve">I.3. Objectifs de l’étude</w:t>
      </w:r>
    </w:p>
    <w:bookmarkStart w:id="37" w:name="i.3.1.-objectif-général"/>
    <w:p>
      <w:pPr>
        <w:pStyle w:val="Heading3"/>
      </w:pPr>
      <w:r>
        <w:t xml:space="preserve">I.3.1. Objectif général</w:t>
      </w:r>
    </w:p>
    <w:p>
      <w:pPr>
        <w:pStyle w:val="FirstParagraph"/>
      </w:pPr>
      <w:r>
        <w:t xml:space="preserve">Concevoir, développer et valider expérimentalement un système intégré de maintenance prédictive de la corrosion matérialisant une transition Industrie 3.0 → Industrie 4.0, couvrant la chaîne complète détection → diagnostic → pronostic → décision → action définie par la norme ISO 13381-1, et combinant une sonde ER instrumentée IoT (ESP32 + HX711 + DS18B20), un modèle d’apprentissage automatique XGBoost à double sortie (CR + RUL) avec module de diagnostic des régimes de corrosion, un système d’alertes calibrées sur les régimes de corrosion et les facteurs de variabilité identifiés, et une application web Streamlit dotée d’un module de gestion des ordres de travail (GMAO maison), dont l’architecture est transposable par API REST à un CMMS open-source existant, pour la génération automatique des ordres de travail, le tout doublement transposable (a) aux opérateurs disposant déjà d’une instrumentation ER commerciale (cas COTCO) et (b) aux PME industrielles africaines en déploiement autonome.</w:t>
      </w:r>
    </w:p>
    <w:bookmarkEnd w:id="37"/>
    <w:bookmarkStart w:id="38" w:name="i.3.2.-objectifs-spécifiques"/>
    <w:p>
      <w:pPr>
        <w:pStyle w:val="Heading3"/>
      </w:pPr>
      <w:r>
        <w:t xml:space="preserve">I.3.2. Objectifs spécifiques</w:t>
      </w:r>
    </w:p>
    <w:p>
      <w:pPr>
        <w:pStyle w:val="FirstParagraph"/>
      </w:pPr>
      <w:r>
        <w:t xml:space="preserve">Quatre objectifs spécifiques (OS), chronologiquement ordonnés et logiquement articulés, structurent ce travail. Ils correspondent respectivement aux étapes détection, pronostic, diagnostic + décision et action de la chaîne ISO 13381-1.</w:t>
      </w:r>
    </w:p>
    <w:p>
      <w:pPr>
        <w:numPr>
          <w:ilvl w:val="0"/>
          <w:numId w:val="1012"/>
        </w:numPr>
      </w:pPr>
      <w:r>
        <w:t xml:space="preserve">OS1, Concevoir et valider métrologiquement la chaîne d’acquisition ER instrumentée IoT (étape</w:t>
      </w:r>
      <w:r>
        <w:t xml:space="preserve"> </w:t>
      </w:r>
      <w:r>
        <w:rPr>
          <w:i/>
          <w:iCs/>
        </w:rPr>
        <w:t xml:space="preserve">Détection</w:t>
      </w:r>
      <w:r>
        <w:t xml:space="preserve">). Il s’agit de réaliser un capteur de résistance électrique (ER) basé sur un montage de mesure de résistance, un amplificateur HX711 24 bits et un microcontrôleur ESP32 en acquisition continue, capable de suivre finement les variations de résistance d’un fil de fer dans un milieu acide concentré (pH ≈ 1), avec une période de mesure de 30 secondes adaptée à la cinétique rapide des essais accélérés. Cette chaîne illustre la brique d’acquisition I4.0 (interconnexion IoT, déploiement sans contrainte de câblage DCS) et fournit le format standardisé de données exploitable indifféremment par le pipeline ML maison ou par le flux des sondes ER commerciales déjà en place chez COTCO.</w:t>
      </w:r>
    </w:p>
    <w:p>
      <w:pPr>
        <w:numPr>
          <w:ilvl w:val="0"/>
          <w:numId w:val="1012"/>
        </w:numPr>
      </w:pPr>
      <w:r>
        <w:t xml:space="preserve">OS2, Entraîner et valider un modèle XGBoost à double sortie CR + RUL (étape</w:t>
      </w:r>
      <w:r>
        <w:t xml:space="preserve"> </w:t>
      </w:r>
      <w:r>
        <w:rPr>
          <w:i/>
          <w:iCs/>
        </w:rPr>
        <w:t xml:space="preserve">Pronostic</w:t>
      </w:r>
      <w:r>
        <w:t xml:space="preserve">). Il s’agit, à partir des séries temporelles collectées en protocole</w:t>
      </w:r>
      <w:r>
        <w:t xml:space="preserve"> </w:t>
      </w:r>
      <w:r>
        <w:rPr>
          <w:i/>
          <w:iCs/>
        </w:rPr>
        <w:t xml:space="preserve">run-to-failure</w:t>
      </w:r>
      <w:r>
        <w:t xml:space="preserve"> </w:t>
      </w:r>
      <w:r>
        <w:t xml:space="preserve">sur une série d’essais répétés de corrosion, de construire un modèle d’apprentissage automatique XGBoost prédisant à la fois le taux de corrosion instantané (en mm/an) et la durée de vie résiduelle (en heures), validé par une procédure de validation inter-essais</w:t>
      </w:r>
      <w:r>
        <w:t xml:space="preserve"> </w:t>
      </w:r>
      <w:r>
        <w:rPr>
          <w:i/>
          <w:iCs/>
        </w:rPr>
        <w:t xml:space="preserve">leave-one-run-out</w:t>
      </w:r>
      <w:r>
        <w:t xml:space="preserve"> </w:t>
      </w:r>
      <w:r>
        <w:t xml:space="preserve">(LORO) mesurant la généralisation à un essai nouveau, et interprété par analyse SHAP. Le modèle est conçu pour être agnostique à la source des mesures : il consomme des séries temporelles (résistance, température, temps) qu’elles proviennent du prototype maison ou d’un export DCS de sondes commerciales.</w:t>
      </w:r>
    </w:p>
    <w:p>
      <w:pPr>
        <w:numPr>
          <w:ilvl w:val="0"/>
          <w:numId w:val="1012"/>
        </w:numPr>
      </w:pPr>
      <w:r>
        <w:t xml:space="preserve">OS3, Diagnostiquer les régimes de corrosion, identifier les facteurs de variabilité conditionnant la fiabilité de la prédiction et définir un système d’alertes graduées (étapes</w:t>
      </w:r>
      <w:r>
        <w:t xml:space="preserve"> </w:t>
      </w:r>
      <w:r>
        <w:rPr>
          <w:i/>
          <w:iCs/>
        </w:rPr>
        <w:t xml:space="preserve">Diagnostic</w:t>
      </w:r>
      <w:r>
        <w:t xml:space="preserve"> </w:t>
      </w:r>
      <w:r>
        <w:t xml:space="preserve">et</w:t>
      </w:r>
      <w:r>
        <w:t xml:space="preserve"> </w:t>
      </w:r>
      <w:r>
        <w:rPr>
          <w:i/>
          <w:iCs/>
        </w:rPr>
        <w:t xml:space="preserve">Décision</w:t>
      </w:r>
      <w:r>
        <w:t xml:space="preserve">). Il s’agit (i) de classifier le régime de corrosion observé (induction, croissance, emballement, pré-rupture) à partir des sorties du modèle ; (ii) d’identifier et de quantifier les facteurs expérimentaux qui conditionnent la reproductibilité des essais et donc la fiabilité de la prédiction, au premier rang desquels la température, identifiée comme variable dominante, ainsi que la concentration du milieu ; (iii) de démontrer, par une stratégie de validation inter-essais, que la répétabilité des conditions est la condition d’une prédiction fiable ; et (iv) de définir un système d’alertes à trois niveaux (vert / orange / rouge) fondé sur les seuils de taux de corrosion (CR) et de durée de vie résiduelle (RUL).</w:t>
      </w:r>
    </w:p>
    <w:p>
      <w:pPr>
        <w:numPr>
          <w:ilvl w:val="0"/>
          <w:numId w:val="1012"/>
        </w:numPr>
      </w:pPr>
      <w:r>
        <w:t xml:space="preserve">OS4, Structurer la boucle décision → action par un module GMAO intégré, transposable à un CMMS open-source (étape</w:t>
      </w:r>
      <w:r>
        <w:t xml:space="preserve"> </w:t>
      </w:r>
      <w:r>
        <w:rPr>
          <w:i/>
          <w:iCs/>
        </w:rPr>
        <w:t xml:space="preserve">Action</w:t>
      </w:r>
      <w:r>
        <w:t xml:space="preserve">). Il s’agit (i) de réaliser une application web Streamlit servant de frontend ML et de dashboard temps réel des sondes, hébergée sur Streamlit Community Cloud ; (ii) d’y intégrer un module de gestion des ordres de travail (GMAO maison) générant et traçant automatiquement les OT à partir des alertes prédictives (création, assignation, clôture) ; (iii) de définir le mapping prédiction ML → ordre de travail (asset, sévérité, description, régime diagnostiqué), directement transposable à un CMMS open-source existant via API REST, GLPI étant retenu comme cible de référence après matrice comparative ; (iv) de calculer les KPIs maintenance (MTBF, MTTR, disponibilité, taux de fausses alertes) à partir de l’historique des OT. Cette approche démontre qu’un opérateur ou une PME peut structurer sa boucle décision → action sans licence propriétaire (SAP PM, IBM Maximo), au moyen d’un module léger ou d’un CMMS open-source.</w:t>
      </w:r>
    </w:p>
    <w:p>
      <w:r>
        <w:pict>
          <v:rect style="width:0;height:1.5pt" o:hralign="center" o:hrstd="t" o:hr="t"/>
        </w:pict>
      </w:r>
    </w:p>
    <w:bookmarkEnd w:id="38"/>
    <w:bookmarkEnd w:id="39"/>
    <w:bookmarkStart w:id="40" w:name="i.4.-questions-de-recherche"/>
    <w:p>
      <w:pPr>
        <w:pStyle w:val="Heading2"/>
      </w:pPr>
      <w:r>
        <w:t xml:space="preserve">I.4. Questions de recherche</w:t>
      </w:r>
    </w:p>
    <w:p>
      <w:pPr>
        <w:pStyle w:val="FirstParagraph"/>
      </w:pPr>
      <w:r>
        <w:t xml:space="preserve">À chaque objectif spécifique correspond une question de recherche (QR) :</w:t>
      </w:r>
    </w:p>
    <w:p>
      <w:pPr>
        <w:numPr>
          <w:ilvl w:val="0"/>
          <w:numId w:val="1013"/>
        </w:numPr>
      </w:pPr>
      <w:r>
        <w:t xml:space="preserve">QR1 : Dans quelle mesure une sonde ER à fil de fer, mesurée par injection de courant et instrumentée par un amplificateur HX711 24 bits et un microcontrôleur ESP32, permet-elle de mesurer des variations de résistance au dixième de milliohm, avec une stabilité et une résolution suffisantes pour quantifier le taux de corrosion en mm/an dans un milieu acide concentré ?</w:t>
      </w:r>
    </w:p>
    <w:p>
      <w:pPr>
        <w:numPr>
          <w:ilvl w:val="0"/>
          <w:numId w:val="1013"/>
        </w:numPr>
      </w:pPr>
      <w:r>
        <w:t xml:space="preserve">QR2 : Dans quelle mesure un modèle XGBoost entraîné sur des séries temporelles de résistance et de température collectées en protocole</w:t>
      </w:r>
      <w:r>
        <w:t xml:space="preserve"> </w:t>
      </w:r>
      <w:r>
        <w:rPr>
          <w:i/>
          <w:iCs/>
        </w:rPr>
        <w:t xml:space="preserve">run-to-failure</w:t>
      </w:r>
      <w:r>
        <w:t xml:space="preserve"> </w:t>
      </w:r>
      <w:r>
        <w:t xml:space="preserve">permet-il de prédire simultanément le taux de corrosion (CR) et la durée de vie résiduelle (RUL) avec une erreur relative inférieure à 15 % (RMSE), objectif de conception fixé a priori, non une exigence normative, tout en restant interprétable par analyse SHAP ?</w:t>
      </w:r>
    </w:p>
    <w:p>
      <w:pPr>
        <w:numPr>
          <w:ilvl w:val="0"/>
          <w:numId w:val="1013"/>
        </w:numPr>
      </w:pPr>
      <w:r>
        <w:t xml:space="preserve">QR3 : Dans quelle mesure les sorties du modèle XGBoost permettent-elles de diagnostiquer le régime de corrosion en cours (induction, croissance, emballement, pré-rupture), et dans quelle mesure l’identification des facteurs de variabilité expérimentale, en particulier la température, et la répétabilité des conditions conditionnent-elles la fiabilité de la prédiction et la calibration d’un système d’alertes graduées (vert / orange / rouge) ?</w:t>
      </w:r>
    </w:p>
    <w:p>
      <w:pPr>
        <w:numPr>
          <w:ilvl w:val="0"/>
          <w:numId w:val="1013"/>
        </w:numPr>
      </w:pPr>
      <w:r>
        <w:t xml:space="preserve">QR4 : Dans quelle mesure une application Streamlit dotée d’un module GMAO intégré (transposable par API REST à un CMMS open-source existant, type GLPI) peut-elle exploiter les alertes et les recommandations issues du système prédictif pour générer automatiquement les ordres de travail, tracer les interventions et calculer les KPIs de maintenance (MTBF, MTTR, disponibilité), sans coût de licence propriétaire (SAP PM, IBM Maximo) ?</w:t>
      </w:r>
    </w:p>
    <w:p>
      <w:r>
        <w:pict>
          <v:rect style="width:0;height:1.5pt" o:hralign="center" o:hrstd="t" o:hr="t"/>
        </w:pict>
      </w:r>
    </w:p>
    <w:bookmarkEnd w:id="40"/>
    <w:bookmarkStart w:id="41" w:name="i.5.-importance-de-cette-étude"/>
    <w:p>
      <w:pPr>
        <w:pStyle w:val="Heading2"/>
      </w:pPr>
      <w:r>
        <w:t xml:space="preserve">I.5. Importance de cette étude</w:t>
      </w:r>
    </w:p>
    <w:p>
      <w:pPr>
        <w:pStyle w:val="FirstParagraph"/>
      </w:pPr>
      <w:r>
        <w:t xml:space="preserve">Ce travail revêt un intérêt à plusieurs niveaux et pour plusieurs catégories de parties prenantes :</w:t>
      </w:r>
    </w:p>
    <w:p>
      <w:pPr>
        <w:pStyle w:val="BodyText"/>
      </w:pPr>
      <w:r>
        <w:t xml:space="preserve">Pour le lecteur académique : ce mémoire propose une démarche reproductible combinant instrumentation IoT, protocole expérimental rigoureux</w:t>
      </w:r>
      <w:r>
        <w:t xml:space="preserve"> </w:t>
      </w:r>
      <w:r>
        <w:rPr>
          <w:i/>
          <w:iCs/>
        </w:rPr>
        <w:t xml:space="preserve">run-to-failure</w:t>
      </w:r>
      <w:r>
        <w:t xml:space="preserve">, apprentissage automatique interprétable (SHAP) et structuration de la boucle décision → action par un module GMAO transposable à un CMMS open-source. Il s’inscrit dans le cadre théorique de la transformation numérique industrielle (Industrie 4.0) et comble un vide bibliographique sur la maintenance prédictive de la corrosion en contexte africain.</w:t>
      </w:r>
    </w:p>
    <w:p>
      <w:pPr>
        <w:pStyle w:val="BodyText"/>
      </w:pPr>
      <w:r>
        <w:t xml:space="preserve">Pour l’auteur : ce travail constitue l’aboutissement académique du Master 2 et la matérialisation concrète de l’intégration de compétences pluridisciplinaires (corrosion, électronique embarquée, apprentissage automatique, méthodologie scientifique). Il prépare directement à l’insertion professionnelle dans le secteur industriel, et plus particulièrement dans les métiers de la maintenance prédictive.</w:t>
      </w:r>
    </w:p>
    <w:p>
      <w:pPr>
        <w:pStyle w:val="BodyText"/>
      </w:pPr>
      <w:r>
        <w:t xml:space="preserve">Pour l’École Supérieure Technique La Salle (ESTL) : le mémoire contribue au rayonnement scientifique de l’institution en démontrant la capacité de ses étudiants à produire des prototypes intégrés et fonctionnels mobilisant des outils numériques avancés à partir de composants accessibles localement. Il s’inscrit pleinement dans la mission de formation d’ingénieurs adaptés aux contextes africains.</w:t>
      </w:r>
    </w:p>
    <w:p>
      <w:pPr>
        <w:pStyle w:val="BodyText"/>
      </w:pPr>
      <w:r>
        <w:t xml:space="preserve">Pour la recherche : ce travail constitue l’une des premières études publiées (à ce jour) intégrant explicitement la prédiction CR + RUL par XGBoost avec interprétabilité SHAP, sur des données expérimentales originales collectées en protocole</w:t>
      </w:r>
      <w:r>
        <w:t xml:space="preserve"> </w:t>
      </w:r>
      <w:r>
        <w:rPr>
          <w:i/>
          <w:iCs/>
        </w:rPr>
        <w:t xml:space="preserve">run-to-failure</w:t>
      </w:r>
      <w:r>
        <w:t xml:space="preserve">, avec une validation inter-essais (LORO) mettant en évidence le rôle de la couverture des conditions. Il complète la littérature dominée par les approches mono-cible (CR seul) et les jeux de données nord-américains.</w:t>
      </w:r>
    </w:p>
    <w:p>
      <w:pPr>
        <w:pStyle w:val="BodyText"/>
      </w:pPr>
      <w:r>
        <w:t xml:space="preserve">Pour COTCO et les opérateurs pétroliers camerounais : le mémoire fournit une preuve de concept industriellement transposable dont la valeur principale n’est pas le coût matériel mais la chaîne de valeur logicielle I3.0 → I4.0. Le pipeline ML développé est applicable directement aux flux des sondes ER commerciales déjà en place (Cosasco, Roxar) via export DCS, sans remplacement matériel. La chaîne d’acquisition autonome ESP32 développée constitue par ailleurs une option d’extension pour les sections où le câblage DCS est absent ou indisponible.</w:t>
      </w:r>
    </w:p>
    <w:p>
      <w:pPr>
        <w:pStyle w:val="BodyText"/>
      </w:pPr>
      <w:r>
        <w:t xml:space="preserve">Pour les PME industrielles africaines : au-delà du contexte pétrolier, l’architecture module GMAO ↔ CMMS open-source démontrée dans ce travail est directement transposable à toutes les PME confrontées à des coûts de licence prohibitifs des GMAO industrielles (SAP PM, IBM Maximo, Mainpac), dont les tarifs annuels (souvent supérieurs à 10 000 USD par site) sont incompatibles avec les budgets de la majorité des PME subsahariennes. Un module GMAO léger, ou un CMMS open-source mature (GLPI ou équivalent) vers lequel il est directement transposable, permet une démocratisation effective de la maintenance assistée par ordinateur sans licence propriétaire.</w:t>
      </w:r>
    </w:p>
    <w:p>
      <w:pPr>
        <w:pStyle w:val="BodyText"/>
      </w:pPr>
      <w:r>
        <w:t xml:space="preserve">Pour la société et l’environnement : la prévention des ruptures de pipeline par prédiction précoce de la dégradation réduit le risque de déversement d’hydrocarbures aux conséquences écologiques potentiellement irréversibles dans une zone de forêt équatoriale et de cours d’eau. C’est un apport indirect mais réel à la protection des écosystèmes et des populations riveraines.</w:t>
      </w:r>
    </w:p>
    <w:p>
      <w:r>
        <w:pict>
          <v:rect style="width:0;height:1.5pt" o:hralign="center" o:hrstd="t" o:hr="t"/>
        </w:pict>
      </w:r>
    </w:p>
    <w:bookmarkEnd w:id="41"/>
    <w:bookmarkStart w:id="42" w:name="i.6.-organisation-du-travail"/>
    <w:p>
      <w:pPr>
        <w:pStyle w:val="Heading2"/>
      </w:pPr>
      <w:r>
        <w:t xml:space="preserve">I.6. Organisation du travail</w:t>
      </w:r>
    </w:p>
    <w:p>
      <w:pPr>
        <w:pStyle w:val="FirstParagraph"/>
      </w:pPr>
      <w:r>
        <w:t xml:space="preserve">Ce mémoire est organisé en trois chapitres principaux, encadrés par une introduction générale et une conclusion générale.</w:t>
      </w:r>
    </w:p>
    <w:p>
      <w:pPr>
        <w:pStyle w:val="BodyText"/>
      </w:pPr>
      <w:r>
        <w:t xml:space="preserve">Le Chapitre I (Contexte et problématique) établit le cadre théorique, normatif et industriel de la recherche selon les six approches du protocole de recherche, formule la problématique, les objectifs et les questions de recherche, expose l’importance de l’étude, et présente une revue détaillée de la littérature sur la corrosion, ses mécanismes, ses méthodes de surveillance, ses modèles prédictifs, le diagnostic en maintenance industrielle et les systèmes de Gestion de Maintenance Assistée par Ordinateur (GMAO).</w:t>
      </w:r>
    </w:p>
    <w:p>
      <w:pPr>
        <w:pStyle w:val="BodyText"/>
      </w:pPr>
      <w:r>
        <w:t xml:space="preserve">Le Chapitre II (Outils et méthodes) présente le prototype développé (sonde ER + acquisition IoT ESP32 + pipeline ML + module GMAO maison), s’ouvre sur une §II.0 dédiée à la justification des choix technologiques (matrice de décision pour chaque brique : ESP32, HX711, DS18B20, XGBoost, stratégie de validation, Streamlit, GMAO maison), puis détaille l’ensemble des matériels mobilisés, les méthodes d’acquisition et de traitement des données, la méthodologie d’entraînement du modèle XGBoost (validation</w:t>
      </w:r>
      <w:r>
        <w:t xml:space="preserve"> </w:t>
      </w:r>
      <w:r>
        <w:rPr>
          <w:i/>
          <w:iCs/>
        </w:rPr>
        <w:t xml:space="preserve">leave-one-run-out</w:t>
      </w:r>
      <w:r>
        <w:t xml:space="preserve">, hyperparamètres, interprétabilité SHAP), le module de diagnostic des régimes de corrosion, le protocole expérimental</w:t>
      </w:r>
      <w:r>
        <w:t xml:space="preserve"> </w:t>
      </w:r>
      <w:r>
        <w:rPr>
          <w:i/>
          <w:iCs/>
        </w:rPr>
        <w:t xml:space="preserve">run-to-failure</w:t>
      </w:r>
      <w:r>
        <w:t xml:space="preserve"> </w:t>
      </w:r>
      <w:r>
        <w:t xml:space="preserve">en série répétée, la boucle décision → action par un module GMAO maison (mapping prédiction ML → ordre de travail, KPIs maintenance ; transposable à un CMMS open-source), et le tableau synoptique de la démarche méthodologique.</w:t>
      </w:r>
    </w:p>
    <w:p>
      <w:pPr>
        <w:pStyle w:val="BodyText"/>
      </w:pPr>
      <w:r>
        <w:t xml:space="preserve">Le Chapitre III (Résultats et discussions) présente les résultats expérimentaux issus du prototype, les performances métrologiques de la sonde ER, les résultats de la série d’essais RTF, les métriques de validation inter-essais du modèle XGBoost, l’analyse des variables d’influence, le diagnostic des régimes observés, l’effet de la température et des facteurs de variabilité sur la fiabilité de la prédiction, la fonctionnalité du prototype GMAO et ses KPIs, et la discussion comparative des résultats au regard de la littérature.</w:t>
      </w:r>
    </w:p>
    <w:p>
      <w:pPr>
        <w:pStyle w:val="BodyText"/>
      </w:pPr>
      <w:r>
        <w:t xml:space="preserve">La Conclusion générale synthétise les résultats des quatre objectifs spécifiques, dresse le bilan des contributions, identifie les limites du travail et formule des recommandations pour COTCO, pour les PME industrielles africaines, et pour les travaux futurs.</w:t>
      </w:r>
    </w:p>
    <w:p>
      <w:r>
        <w:pict>
          <v:rect style="width:0;height:1.5pt" o:hralign="center" o:hrstd="t" o:hr="t"/>
        </w:pict>
      </w:r>
    </w:p>
    <w:bookmarkEnd w:id="42"/>
    <w:bookmarkStart w:id="53" w:name="i.7.-revue-de-la-littérature"/>
    <w:p>
      <w:pPr>
        <w:pStyle w:val="Heading2"/>
      </w:pPr>
      <w:r>
        <w:t xml:space="preserve">I.7. Revue de la littérature</w:t>
      </w:r>
    </w:p>
    <w:bookmarkStart w:id="43" w:name="X78821d0667f2e524f8e25d9ba3ef18c03029d50"/>
    <w:p>
      <w:pPr>
        <w:pStyle w:val="Heading3"/>
      </w:pPr>
      <w:r>
        <w:t xml:space="preserve">I.7.1. Mécanismes électrochimiques de la corrosion</w:t>
      </w:r>
    </w:p>
    <w:p>
      <w:pPr>
        <w:pStyle w:val="FirstParagraph"/>
      </w:pPr>
      <w:r>
        <w:t xml:space="preserve">Dans un milieu électrolytique, la corrosion procède par un mécanisme de pile galvanique dans lequel deux réactions électrochimiques couplées se produisent simultanément à la surface du métal (Schweitzer, 2010 ; Roberge, 2008).</w:t>
      </w:r>
    </w:p>
    <w:p>
      <w:pPr>
        <w:pStyle w:val="BodyText"/>
      </w:pPr>
      <w:r>
        <w:t xml:space="preserve">Réaction anodique (oxydation) :</w:t>
      </w:r>
    </w:p>
    <w:p>
      <w:pPr>
        <w:pStyle w:val="BodyText"/>
      </w:pPr>
      <m:oMathPara>
        <m:oMathParaPr>
          <m:jc m:val="center"/>
        </m:oMathParaPr>
        <m:oMath>
          <m:r>
            <m:rPr>
              <m:nor/>
              <m:sty m:val="p"/>
            </m:rPr>
            <m:t>Fe</m:t>
          </m:r>
          <m:r>
            <m:rPr>
              <m:sty m:val="p"/>
            </m:rPr>
            <m:t>→</m:t>
          </m:r>
          <m:sSup>
            <m:e>
              <m:r>
                <m:rPr>
                  <m:nor/>
                  <m:sty m:val="p"/>
                </m:rPr>
                <m:t>Fe</m:t>
              </m:r>
            </m:e>
            <m:sup>
              <m:r>
                <m:t>2</m:t>
              </m:r>
              <m:r>
                <m:rPr>
                  <m:sty m:val="p"/>
                </m:rPr>
                <m:t>+</m:t>
              </m:r>
            </m:sup>
          </m:sSup>
          <m:r>
            <m:rPr>
              <m:sty m:val="p"/>
            </m:rPr>
            <m:t>+</m:t>
          </m:r>
          <m:r>
            <m:t>2</m:t>
          </m:r>
          <m:sSup>
            <m:e>
              <m:r>
                <m:t>e</m:t>
              </m:r>
            </m:e>
            <m:sup>
              <m:r>
                <m:rPr>
                  <m:sty m:val="p"/>
                </m:rPr>
                <m:t>−</m:t>
              </m:r>
            </m:sup>
          </m:sSup>
        </m:oMath>
      </m:oMathPara>
    </w:p>
    <w:p>
      <w:pPr>
        <w:pStyle w:val="FirstParagraph"/>
      </w:pPr>
      <w:r>
        <w:t xml:space="preserve">Réaction cathodique (réduction), en milieu acide (pH &lt; 4) :</w:t>
      </w:r>
    </w:p>
    <w:p>
      <w:pPr>
        <w:pStyle w:val="BodyText"/>
      </w:pPr>
      <m:oMathPara>
        <m:oMathParaPr>
          <m:jc m:val="center"/>
        </m:oMathParaPr>
        <m:oMath>
          <m:r>
            <m:t>2</m:t>
          </m:r>
          <m:sSup>
            <m:e>
              <m:r>
                <m:rPr>
                  <m:nor/>
                  <m:sty m:val="p"/>
                </m:rPr>
                <m:t>H</m:t>
              </m:r>
            </m:e>
            <m:sup>
              <m:r>
                <m:rPr>
                  <m:sty m:val="p"/>
                </m:rPr>
                <m:t>+</m:t>
              </m:r>
            </m:sup>
          </m:sSup>
          <m:r>
            <m:rPr>
              <m:sty m:val="p"/>
            </m:rPr>
            <m:t>+</m:t>
          </m:r>
          <m:r>
            <m:t>2</m:t>
          </m:r>
          <m:sSup>
            <m:e>
              <m:r>
                <m:t>e</m:t>
              </m:r>
            </m:e>
            <m:sup>
              <m:r>
                <m:rPr>
                  <m:sty m:val="p"/>
                </m:rPr>
                <m:t>−</m:t>
              </m:r>
            </m:sup>
          </m:sSup>
          <m:r>
            <m:rPr>
              <m:sty m:val="p"/>
            </m:rPr>
            <m:t>→</m:t>
          </m:r>
          <m:sSub>
            <m:e>
              <m:r>
                <m:rPr>
                  <m:nor/>
                  <m:sty m:val="p"/>
                </m:rPr>
                <m:t>H</m:t>
              </m:r>
            </m:e>
            <m:sub>
              <m:r>
                <m:t>2</m:t>
              </m:r>
            </m:sub>
          </m:sSub>
          <m:r>
            <m:rPr>
              <m:sty m:val="p"/>
            </m:rPr>
            <m:t>↑</m:t>
          </m:r>
        </m:oMath>
      </m:oMathPara>
    </w:p>
    <w:p>
      <w:pPr>
        <w:pStyle w:val="FirstParagraph"/>
      </w:pPr>
      <w:r>
        <w:t xml:space="preserve">La loi de Faraday (1834) établit la relation quantitative entre le courant échangé et la masse dissoute :</w:t>
      </w:r>
    </w:p>
    <w:p>
      <w:pPr>
        <w:pStyle w:val="BodyText"/>
      </w:pPr>
      <m:oMathPara>
        <m:oMathParaPr>
          <m:jc m:val="center"/>
        </m:oMathParaPr>
        <m:oMath>
          <m:r>
            <m:t>m</m:t>
          </m:r>
          <m:r>
            <m:rPr>
              <m:sty m:val="p"/>
            </m:rPr>
            <m:t>=</m:t>
          </m:r>
          <m:f>
            <m:fPr>
              <m:type m:val="bar"/>
            </m:fPr>
            <m:num>
              <m:r>
                <m:t>M</m:t>
              </m:r>
              <m:r>
                <m:rPr>
                  <m:sty m:val="p"/>
                </m:rPr>
                <m:t>⋅</m:t>
              </m:r>
              <m:r>
                <m:t>I</m:t>
              </m:r>
              <m:r>
                <m:rPr>
                  <m:sty m:val="p"/>
                </m:rPr>
                <m:t>⋅</m:t>
              </m:r>
              <m:r>
                <m:t>t</m:t>
              </m:r>
            </m:num>
            <m:den>
              <m:r>
                <m:t>n</m:t>
              </m:r>
              <m:r>
                <m:rPr>
                  <m:sty m:val="p"/>
                </m:rPr>
                <m:t>⋅</m:t>
              </m:r>
              <m:r>
                <m:t>F</m:t>
              </m:r>
            </m:den>
          </m:f>
        </m:oMath>
      </m:oMathPara>
    </w:p>
    <w:p>
      <w:pPr>
        <w:pStyle w:val="FirstParagraph"/>
      </w:pPr>
      <w:r>
        <w:t xml:space="preserve">où</w:t>
      </w:r>
      <w:r>
        <w:t xml:space="preserve"> </w:t>
      </w:r>
      <w:r>
        <w:rPr>
          <w:i/>
          <w:iCs/>
        </w:rPr>
        <w:t xml:space="preserve">m</w:t>
      </w:r>
      <w:r>
        <w:t xml:space="preserve"> </w:t>
      </w:r>
      <w:r>
        <w:t xml:space="preserve">est la masse de métal dissous (g),</w:t>
      </w:r>
      <w:r>
        <w:t xml:space="preserve"> </w:t>
      </w:r>
      <w:r>
        <w:rPr>
          <w:i/>
          <w:iCs/>
        </w:rPr>
        <w:t xml:space="preserve">M</w:t>
      </w:r>
      <w:r>
        <w:t xml:space="preserve"> </w:t>
      </w:r>
      <w:r>
        <w:t xml:space="preserve">la masse molaire (55,85 g/mol pour le fer),</w:t>
      </w:r>
      <w:r>
        <w:t xml:space="preserve"> </w:t>
      </w:r>
      <w:r>
        <w:rPr>
          <w:i/>
          <w:iCs/>
        </w:rPr>
        <w:t xml:space="preserve">I</w:t>
      </w:r>
      <w:r>
        <w:t xml:space="preserve"> </w:t>
      </w:r>
      <w:r>
        <w:t xml:space="preserve">le courant (A),</w:t>
      </w:r>
      <w:r>
        <w:t xml:space="preserve"> </w:t>
      </w:r>
      <w:r>
        <w:rPr>
          <w:i/>
          <w:iCs/>
        </w:rPr>
        <w:t xml:space="preserve">t</w:t>
      </w:r>
      <w:r>
        <w:t xml:space="preserve"> </w:t>
      </w:r>
      <w:r>
        <w:t xml:space="preserve">la durée (s),</w:t>
      </w:r>
      <w:r>
        <w:t xml:space="preserve"> </w:t>
      </w:r>
      <w:r>
        <w:rPr>
          <w:i/>
          <w:iCs/>
        </w:rPr>
        <w:t xml:space="preserve">n</w:t>
      </w:r>
      <w:r>
        <w:t xml:space="preserve"> </w:t>
      </w:r>
      <w:r>
        <w:t xml:space="preserve">le nombre d’électrons échangés (2 pour Fe²⁺), et</w:t>
      </w:r>
      <w:r>
        <w:t xml:space="preserve"> </w:t>
      </w:r>
      <w:r>
        <w:rPr>
          <w:i/>
          <w:iCs/>
        </w:rPr>
        <w:t xml:space="preserve">F</w:t>
      </w:r>
      <w:r>
        <w:t xml:space="preserve"> </w:t>
      </w:r>
      <w:r>
        <w:t xml:space="preserve">la constante de Faraday (96 485 C/mol).</w:t>
      </w:r>
    </w:p>
    <w:p>
      <w:pPr>
        <w:pStyle w:val="BodyText"/>
      </w:pPr>
      <w:r>
        <w:t xml:space="preserve">Le taux de corrosion (CR) en mm/an est calculé selon la norme ASTM G1 par :</w:t>
      </w:r>
    </w:p>
    <w:p>
      <w:pPr>
        <w:pStyle w:val="BodyText"/>
      </w:pPr>
      <m:oMathPara>
        <m:oMathParaPr>
          <m:jc m:val="center"/>
        </m:oMathParaPr>
        <m:oMath>
          <m:r>
            <m:t>C</m:t>
          </m:r>
          <m:r>
            <m:t>R</m:t>
          </m:r>
          <m:r>
            <m:t> </m:t>
          </m:r>
          <m:r>
            <m:rPr>
              <m:sty m:val="p"/>
            </m:rPr>
            <m:t>(</m:t>
          </m:r>
          <m:r>
            <m:rPr>
              <m:nor/>
              <m:sty m:val="p"/>
            </m:rPr>
            <m:t>mm/an</m:t>
          </m:r>
          <m:r>
            <m:rPr>
              <m:sty m:val="p"/>
            </m:rPr>
            <m:t>)</m:t>
          </m:r>
          <m:r>
            <m:rPr>
              <m:sty m:val="p"/>
            </m:rPr>
            <m:t>=</m:t>
          </m:r>
          <m:f>
            <m:fPr>
              <m:type m:val="bar"/>
            </m:fPr>
            <m:num>
              <m:r>
                <m:t>87</m:t>
              </m:r>
              <m:r>
                <m:rPr>
                  <m:sty m:val="p"/>
                </m:rPr>
                <m:t>,</m:t>
              </m:r>
              <m:r>
                <m:t>6</m:t>
              </m:r>
              <m:r>
                <m:rPr>
                  <m:sty m:val="p"/>
                </m:rPr>
                <m:t>⋅</m:t>
              </m:r>
              <m:r>
                <m:rPr>
                  <m:sty m:val="p"/>
                </m:rPr>
                <m:t>Δ</m:t>
              </m:r>
              <m:r>
                <m:t>m</m:t>
              </m:r>
            </m:num>
            <m:den>
              <m:r>
                <m:t>ρ</m:t>
              </m:r>
              <m:r>
                <m:rPr>
                  <m:sty m:val="p"/>
                </m:rPr>
                <m:t>⋅</m:t>
              </m:r>
              <m:r>
                <m:t>A</m:t>
              </m:r>
              <m:r>
                <m:rPr>
                  <m:sty m:val="p"/>
                </m:rPr>
                <m:t>⋅</m:t>
              </m:r>
              <m:r>
                <m:t>t</m:t>
              </m:r>
            </m:den>
          </m:f>
        </m:oMath>
      </m:oMathPara>
    </w:p>
    <w:p>
      <w:pPr>
        <w:pStyle w:val="FirstParagraph"/>
      </w:pPr>
      <w:r>
        <w:t xml:space="preserve">où Δ</w:t>
      </w:r>
      <w:r>
        <w:rPr>
          <w:i/>
          <w:iCs/>
        </w:rPr>
        <w:t xml:space="preserve">m</w:t>
      </w:r>
      <w:r>
        <w:t xml:space="preserve"> </w:t>
      </w:r>
      <w:r>
        <w:t xml:space="preserve">est la perte de masse (mg), ρ la densité (g/cm³),</w:t>
      </w:r>
      <w:r>
        <w:t xml:space="preserve"> </w:t>
      </w:r>
      <w:r>
        <w:rPr>
          <w:i/>
          <w:iCs/>
        </w:rPr>
        <w:t xml:space="preserve">A</w:t>
      </w:r>
      <w:r>
        <w:t xml:space="preserve"> </w:t>
      </w:r>
      <w:r>
        <w:t xml:space="preserve">l’aire exposée (cm²), et</w:t>
      </w:r>
      <w:r>
        <w:t xml:space="preserve"> </w:t>
      </w:r>
      <w:r>
        <w:rPr>
          <w:i/>
          <w:iCs/>
        </w:rPr>
        <w:t xml:space="preserve">t</w:t>
      </w:r>
      <w:r>
        <w:t xml:space="preserve"> </w:t>
      </w:r>
      <w:r>
        <w:t xml:space="preserve">la durée (heures) (ASTM, 2017).</w:t>
      </w:r>
    </w:p>
    <w:p>
      <w:pPr>
        <w:pStyle w:val="BodyText"/>
      </w:pPr>
      <w:r>
        <w:t xml:space="preserve">L’équation de Butler-Volmer décrit la cinétique électrochimique complète à l’interface métal-électrolyte (Bard et Faulkner, 2001) :</w:t>
      </w:r>
    </w:p>
    <w:p>
      <w:pPr>
        <w:pStyle w:val="BodyText"/>
      </w:pPr>
      <m:oMathPara>
        <m:oMathParaPr>
          <m:jc m:val="center"/>
        </m:oMathParaPr>
        <m:oMath>
          <m:r>
            <m:t>i</m:t>
          </m:r>
          <m:r>
            <m:rPr>
              <m:sty m:val="p"/>
            </m:rPr>
            <m:t>=</m:t>
          </m:r>
          <m:sSub>
            <m:e>
              <m:r>
                <m:t>i</m:t>
              </m:r>
            </m:e>
            <m:sub>
              <m:r>
                <m:t>c</m:t>
              </m:r>
              <m:r>
                <m:t>o</m:t>
              </m:r>
              <m:r>
                <m:t>r</m:t>
              </m:r>
              <m:r>
                <m:t>r</m:t>
              </m:r>
            </m:sub>
          </m:sSub>
          <m:r>
            <m:rPr>
              <m:sty m:val="p"/>
            </m:rPr>
            <m:t>⋅</m:t>
          </m:r>
          <m:d>
            <m:dPr>
              <m:begChr m:val="["/>
              <m:sepChr m:val=""/>
              <m:endChr m:val="]"/>
              <m:grow/>
            </m:dPr>
            <m:e>
              <m:sSup>
                <m:e>
                  <m:r>
                    <m:t>e</m:t>
                  </m:r>
                </m:e>
                <m:sup>
                  <m:f>
                    <m:fPr>
                      <m:type m:val="bar"/>
                    </m:fPr>
                    <m:num>
                      <m:sSub>
                        <m:e>
                          <m:r>
                            <m:t>α</m:t>
                          </m:r>
                        </m:e>
                        <m:sub>
                          <m:r>
                            <m:t>a</m:t>
                          </m:r>
                        </m:sub>
                      </m:sSub>
                      <m:r>
                        <m:t>F</m:t>
                      </m:r>
                      <m:r>
                        <m:t>η</m:t>
                      </m:r>
                    </m:num>
                    <m:den>
                      <m:r>
                        <m:t>R</m:t>
                      </m:r>
                      <m:r>
                        <m:t>T</m:t>
                      </m:r>
                    </m:den>
                  </m:f>
                </m:sup>
              </m:sSup>
              <m:r>
                <m:rPr>
                  <m:sty m:val="p"/>
                </m:rPr>
                <m:t>−</m:t>
              </m:r>
              <m:sSup>
                <m:e>
                  <m:r>
                    <m:t>e</m:t>
                  </m:r>
                </m:e>
                <m:sup>
                  <m:f>
                    <m:fPr>
                      <m:type m:val="bar"/>
                    </m:fPr>
                    <m:num>
                      <m:r>
                        <m:rPr>
                          <m:sty m:val="p"/>
                        </m:rPr>
                        <m:t>−</m:t>
                      </m:r>
                      <m:sSub>
                        <m:e>
                          <m:r>
                            <m:t>α</m:t>
                          </m:r>
                        </m:e>
                        <m:sub>
                          <m:r>
                            <m:t>c</m:t>
                          </m:r>
                        </m:sub>
                      </m:sSub>
                      <m:r>
                        <m:t>F</m:t>
                      </m:r>
                      <m:r>
                        <m:t>η</m:t>
                      </m:r>
                    </m:num>
                    <m:den>
                      <m:r>
                        <m:t>R</m:t>
                      </m:r>
                      <m:r>
                        <m:t>T</m:t>
                      </m:r>
                    </m:den>
                  </m:f>
                </m:sup>
              </m:sSup>
            </m:e>
          </m:d>
        </m:oMath>
      </m:oMathPara>
    </w:p>
    <w:p>
      <w:pPr>
        <w:pStyle w:val="FirstParagraph"/>
      </w:pPr>
      <w:r>
        <w:t xml:space="preserve">Cette équation justifie l’influence de la température comme facteur cinétique aggravant, paramètre directement intégré comme variable d’entrée dans le modèle XGBoost (chapitre II).</w:t>
      </w:r>
    </w:p>
    <w:bookmarkEnd w:id="43"/>
    <w:bookmarkStart w:id="44" w:name="X1d5b7b3cbcae2325c7335a2f6ed192961699a10"/>
    <w:p>
      <w:pPr>
        <w:pStyle w:val="Heading3"/>
      </w:pPr>
      <w:r>
        <w:t xml:space="preserve">I.7.2. Formes de corrosion et classification</w:t>
      </w:r>
    </w:p>
    <w:p>
      <w:pPr>
        <w:pStyle w:val="FirstParagraph"/>
      </w:pPr>
      <w:r>
        <w:t xml:space="preserve">La classification internationale de référence est établie par l’AMPP (ex-NACE International) et reprise dans la norme NACE SP0775 (AMPP, 2023).</w:t>
      </w:r>
    </w:p>
    <w:p>
      <w:pPr>
        <w:pStyle w:val="TableCaption"/>
        <w:jc w:val="center"/>
      </w:pPr>
      <w:r>
        <w:t xml:space="preserve">Tableau I.1 — Classification des formes de corrosion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Forme</w:t>
            </w:r>
          </w:p>
        </w:tc>
        <w:tc>
          <w:tcPr>
            <w:shd w:val="clear" w:color="auto" w:fill="EFEFEF"/>
          </w:tcPr>
          <w:p>
            <w:pPr>
              <w:pStyle w:val="Compact"/>
            </w:pPr>
            <w:r>
              <w:t xml:space="preserve">Mécanisme</w:t>
            </w:r>
          </w:p>
        </w:tc>
        <w:tc>
          <w:tcPr>
            <w:shd w:val="clear" w:color="auto" w:fill="EFEFEF"/>
          </w:tcPr>
          <w:p>
            <w:pPr>
              <w:pStyle w:val="Compact"/>
            </w:pPr>
            <w:r>
              <w:t xml:space="preserve">Localisation typique</w:t>
            </w:r>
          </w:p>
        </w:tc>
        <w:tc>
          <w:tcPr>
            <w:shd w:val="clear" w:color="auto" w:fill="EFEFEF"/>
          </w:tcPr>
          <w:p>
            <w:pPr>
              <w:pStyle w:val="Compact"/>
            </w:pPr>
            <w:r>
              <w:t xml:space="preserve">Norme</w:t>
            </w:r>
          </w:p>
        </w:tc>
      </w:tr>
      <w:tr>
        <w:tc>
          <w:tcPr/>
          <w:p>
            <w:pPr>
              <w:pStyle w:val="Compact"/>
            </w:pPr>
            <w:r>
              <w:t xml:space="preserve">Généralisée (uniforme)</w:t>
            </w:r>
          </w:p>
        </w:tc>
        <w:tc>
          <w:tcPr/>
          <w:p>
            <w:pPr>
              <w:pStyle w:val="Compact"/>
            </w:pPr>
            <w:r>
              <w:t xml:space="preserve">Dissolution uniforme</w:t>
            </w:r>
          </w:p>
        </w:tc>
        <w:tc>
          <w:tcPr/>
          <w:p>
            <w:pPr>
              <w:pStyle w:val="Compact"/>
            </w:pPr>
            <w:r>
              <w:t xml:space="preserve">Pipelines acier au carbone</w:t>
            </w:r>
          </w:p>
        </w:tc>
        <w:tc>
          <w:tcPr/>
          <w:p>
            <w:pPr>
              <w:pStyle w:val="Compact"/>
            </w:pPr>
            <w:r>
              <w:t xml:space="preserve">ASTM G1</w:t>
            </w:r>
          </w:p>
        </w:tc>
      </w:tr>
      <w:tr>
        <w:tc>
          <w:tcPr/>
          <w:p>
            <w:pPr>
              <w:pStyle w:val="Compact"/>
            </w:pPr>
            <w:r>
              <w:t xml:space="preserve">Par piqûres</w:t>
            </w:r>
          </w:p>
        </w:tc>
        <w:tc>
          <w:tcPr/>
          <w:p>
            <w:pPr>
              <w:pStyle w:val="Compact"/>
            </w:pPr>
            <w:r>
              <w:t xml:space="preserve">Attaque localisée (Cl⁻)</w:t>
            </w:r>
          </w:p>
        </w:tc>
        <w:tc>
          <w:tcPr/>
          <w:p>
            <w:pPr>
              <w:pStyle w:val="Compact"/>
            </w:pPr>
            <w:r>
              <w:t xml:space="preserve">Acier inox milieu chloruré</w:t>
            </w:r>
          </w:p>
        </w:tc>
        <w:tc>
          <w:tcPr/>
          <w:p>
            <w:pPr>
              <w:pStyle w:val="Compact"/>
            </w:pPr>
            <w:r>
              <w:t xml:space="preserve">ASTM G46</w:t>
            </w:r>
          </w:p>
        </w:tc>
      </w:tr>
      <w:tr>
        <w:tc>
          <w:tcPr/>
          <w:p>
            <w:pPr>
              <w:pStyle w:val="Compact"/>
            </w:pPr>
            <w:r>
              <w:t xml:space="preserve">Galvanique</w:t>
            </w:r>
          </w:p>
        </w:tc>
        <w:tc>
          <w:tcPr/>
          <w:p>
            <w:pPr>
              <w:pStyle w:val="Compact"/>
            </w:pPr>
            <w:r>
              <w:t xml:space="preserve">Couplage entre métaux</w:t>
            </w:r>
          </w:p>
        </w:tc>
        <w:tc>
          <w:tcPr/>
          <w:p>
            <w:pPr>
              <w:pStyle w:val="Compact"/>
            </w:pPr>
            <w:r>
              <w:t xml:space="preserve">Raccords bimétalliques</w:t>
            </w:r>
          </w:p>
        </w:tc>
        <w:tc>
          <w:tcPr/>
          <w:p>
            <w:pPr>
              <w:pStyle w:val="Compact"/>
            </w:pPr>
            <w:r>
              <w:t xml:space="preserve">ASTM G82</w:t>
            </w:r>
          </w:p>
        </w:tc>
      </w:tr>
      <w:tr>
        <w:tc>
          <w:tcPr/>
          <w:p>
            <w:pPr>
              <w:pStyle w:val="Compact"/>
            </w:pPr>
            <w:r>
              <w:t xml:space="preserve">Sous contrainte (SCC)</w:t>
            </w:r>
          </w:p>
        </w:tc>
        <w:tc>
          <w:tcPr/>
          <w:p>
            <w:pPr>
              <w:pStyle w:val="Compact"/>
            </w:pPr>
            <w:r>
              <w:t xml:space="preserve">Contrainte + environnement</w:t>
            </w:r>
          </w:p>
        </w:tc>
        <w:tc>
          <w:tcPr/>
          <w:p>
            <w:pPr>
              <w:pStyle w:val="Compact"/>
            </w:pPr>
            <w:r>
              <w:t xml:space="preserve">Tubes pression, soudures</w:t>
            </w:r>
          </w:p>
        </w:tc>
        <w:tc>
          <w:tcPr/>
          <w:p>
            <w:pPr>
              <w:pStyle w:val="Compact"/>
            </w:pPr>
            <w:r>
              <w:t xml:space="preserve">NACE TM0177</w:t>
            </w:r>
          </w:p>
        </w:tc>
      </w:tr>
      <w:tr>
        <w:tc>
          <w:tcPr/>
          <w:p>
            <w:pPr>
              <w:pStyle w:val="Compact"/>
            </w:pPr>
            <w:r>
              <w:t xml:space="preserve">Érosion-corrosion</w:t>
            </w:r>
          </w:p>
        </w:tc>
        <w:tc>
          <w:tcPr/>
          <w:p>
            <w:pPr>
              <w:pStyle w:val="Compact"/>
            </w:pPr>
            <w:r>
              <w:t xml:space="preserve">Écoulement + corrosion</w:t>
            </w:r>
          </w:p>
        </w:tc>
        <w:tc>
          <w:tcPr/>
          <w:p>
            <w:pPr>
              <w:pStyle w:val="Compact"/>
            </w:pPr>
            <w:r>
              <w:t xml:space="preserve">Coudes, vannes, pompes</w:t>
            </w:r>
          </w:p>
        </w:tc>
        <w:tc>
          <w:tcPr/>
          <w:p>
            <w:pPr>
              <w:pStyle w:val="Compact"/>
            </w:pPr>
            <w:r>
              <w:t xml:space="preserve">ASTM G76</w:t>
            </w:r>
          </w:p>
        </w:tc>
      </w:tr>
      <w:tr>
        <w:tc>
          <w:tcPr/>
          <w:p>
            <w:pPr>
              <w:pStyle w:val="Compact"/>
            </w:pPr>
            <w:r>
              <w:t xml:space="preserve">Sweet (CO₂)</w:t>
            </w:r>
          </w:p>
        </w:tc>
        <w:tc>
          <w:tcPr/>
          <w:p>
            <w:pPr>
              <w:pStyle w:val="Compact"/>
            </w:pPr>
            <w:r>
              <w:t xml:space="preserve">H₂CO₃ → attaque acide</w:t>
            </w:r>
          </w:p>
        </w:tc>
        <w:tc>
          <w:tcPr/>
          <w:p>
            <w:pPr>
              <w:pStyle w:val="Compact"/>
            </w:pPr>
            <w:r>
              <w:t xml:space="preserve">Pipelines O&amp;G</w:t>
            </w:r>
          </w:p>
        </w:tc>
        <w:tc>
          <w:tcPr/>
          <w:p>
            <w:pPr>
              <w:pStyle w:val="Compact"/>
            </w:pPr>
            <w:r>
              <w:t xml:space="preserve">de Waard &amp; Milliams (1975)</w:t>
            </w:r>
          </w:p>
        </w:tc>
      </w:tr>
      <w:tr>
        <w:tc>
          <w:tcPr/>
          <w:p>
            <w:pPr>
              <w:pStyle w:val="Compact"/>
            </w:pPr>
            <w:r>
              <w:t xml:space="preserve">Sour (H₂S)</w:t>
            </w:r>
          </w:p>
        </w:tc>
        <w:tc>
          <w:tcPr/>
          <w:p>
            <w:pPr>
              <w:pStyle w:val="Compact"/>
            </w:pPr>
            <w:r>
              <w:t xml:space="preserve">Fragilisation H, SSC, HIC</w:t>
            </w:r>
          </w:p>
        </w:tc>
        <w:tc>
          <w:tcPr/>
          <w:p>
            <w:pPr>
              <w:pStyle w:val="Compact"/>
            </w:pPr>
            <w:r>
              <w:t xml:space="preserve">Puits gaz acide</w:t>
            </w:r>
          </w:p>
        </w:tc>
        <w:tc>
          <w:tcPr/>
          <w:p>
            <w:pPr>
              <w:pStyle w:val="Compact"/>
            </w:pPr>
            <w:r>
              <w:t xml:space="preserve">NACE MR0175 / ISO 15156</w:t>
            </w:r>
          </w:p>
        </w:tc>
      </w:tr>
      <w:tr>
        <w:tc>
          <w:tcPr/>
          <w:p>
            <w:pPr>
              <w:pStyle w:val="Compact"/>
            </w:pPr>
            <w:r>
              <w:t xml:space="preserve">MIC</w:t>
            </w:r>
          </w:p>
        </w:tc>
        <w:tc>
          <w:tcPr/>
          <w:p>
            <w:pPr>
              <w:pStyle w:val="Compact"/>
            </w:pPr>
            <w:r>
              <w:t xml:space="preserve">Bactéries SRB, IRB</w:t>
            </w:r>
          </w:p>
        </w:tc>
        <w:tc>
          <w:tcPr/>
          <w:p>
            <w:pPr>
              <w:pStyle w:val="Compact"/>
            </w:pPr>
            <w:r>
              <w:t xml:space="preserve">Fonds réservoirs</w:t>
            </w:r>
          </w:p>
        </w:tc>
        <w:tc>
          <w:tcPr/>
          <w:p>
            <w:pPr>
              <w:pStyle w:val="Compact"/>
            </w:pPr>
            <w:r>
              <w:t xml:space="preserve">NACE TM0212</w:t>
            </w:r>
          </w:p>
        </w:tc>
      </w:tr>
    </w:tbl>
    <w:p>
      <w:pPr>
        <w:pStyle w:val="BodyText"/>
      </w:pPr>
      <w:r>
        <w:t xml:space="preserve">Source : AMPP (2023), ASTM (2017), ISO (2020).</w:t>
      </w:r>
    </w:p>
    <w:bookmarkEnd w:id="44"/>
    <w:bookmarkStart w:id="45" w:name="X5cdd720b35cbd85d48ca704ac01156580d5d486"/>
    <w:p>
      <w:pPr>
        <w:pStyle w:val="Heading3"/>
      </w:pPr>
      <w:r>
        <w:t xml:space="preserve">I.7.3. Méthodes de surveillance de la corrosion</w:t>
      </w:r>
    </w:p>
    <w:p>
      <w:pPr>
        <w:pStyle w:val="FirstParagraph"/>
      </w:pPr>
      <w:r>
        <w:t xml:space="preserve">Plusieurs techniques coexistent dans l’industrie (Roberge, 2008 ; Mansfeld, 2014 ; Cosasco, 2024) :</w:t>
      </w:r>
    </w:p>
    <w:p>
      <w:pPr>
        <w:pStyle w:val="TableCaption"/>
        <w:jc w:val="center"/>
      </w:pPr>
      <w:r>
        <w:t xml:space="preserve">Tableau I.2 — Comparaison des méthodes de surveillance de la corrosion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shd w:val="clear" w:color="auto" w:fill="EFEFEF"/>
          </w:tcPr>
          <w:p>
            <w:pPr>
              <w:pStyle w:val="Compact"/>
            </w:pPr>
            <w:r>
              <w:t xml:space="preserve">Méthode</w:t>
            </w:r>
          </w:p>
        </w:tc>
        <w:tc>
          <w:tcPr>
            <w:shd w:val="clear" w:color="auto" w:fill="EFEFEF"/>
          </w:tcPr>
          <w:p>
            <w:pPr>
              <w:pStyle w:val="Compact"/>
            </w:pPr>
            <w:r>
              <w:t xml:space="preserve">Principe</w:t>
            </w:r>
          </w:p>
        </w:tc>
        <w:tc>
          <w:tcPr>
            <w:shd w:val="clear" w:color="auto" w:fill="EFEFEF"/>
          </w:tcPr>
          <w:p>
            <w:pPr>
              <w:pStyle w:val="Compact"/>
            </w:pPr>
            <w:r>
              <w:t xml:space="preserve">Mesure</w:t>
            </w:r>
          </w:p>
        </w:tc>
        <w:tc>
          <w:tcPr>
            <w:shd w:val="clear" w:color="auto" w:fill="EFEFEF"/>
          </w:tcPr>
          <w:p>
            <w:pPr>
              <w:pStyle w:val="Compact"/>
            </w:pPr>
            <w:r>
              <w:t xml:space="preserve">Résolution</w:t>
            </w:r>
          </w:p>
        </w:tc>
        <w:tc>
          <w:tcPr>
            <w:shd w:val="clear" w:color="auto" w:fill="EFEFEF"/>
          </w:tcPr>
          <w:p>
            <w:pPr>
              <w:pStyle w:val="Compact"/>
            </w:pPr>
            <w:r>
              <w:t xml:space="preserve">Coût unitaire</w:t>
            </w:r>
          </w:p>
        </w:tc>
      </w:tr>
      <w:tr>
        <w:tc>
          <w:tcPr/>
          <w:p>
            <w:pPr>
              <w:pStyle w:val="Compact"/>
            </w:pPr>
            <w:r>
              <w:t xml:space="preserve">Coupon gravimétrique</w:t>
            </w:r>
          </w:p>
        </w:tc>
        <w:tc>
          <w:tcPr/>
          <w:p>
            <w:pPr>
              <w:pStyle w:val="Compact"/>
            </w:pPr>
            <w:r>
              <w:t xml:space="preserve">Perte de masse</w:t>
            </w:r>
          </w:p>
        </w:tc>
        <w:tc>
          <w:tcPr/>
          <w:p>
            <w:pPr>
              <w:pStyle w:val="Compact"/>
            </w:pPr>
            <w:r>
              <w:t xml:space="preserve">Intégrée sur durée</w:t>
            </w:r>
          </w:p>
        </w:tc>
        <w:tc>
          <w:tcPr/>
          <w:p>
            <w:pPr>
              <w:pStyle w:val="Compact"/>
            </w:pPr>
            <w:r>
              <w:t xml:space="preserve">±0,1 mg/cm²</w:t>
            </w:r>
          </w:p>
        </w:tc>
        <w:tc>
          <w:tcPr/>
          <w:p>
            <w:pPr>
              <w:pStyle w:val="Compact"/>
            </w:pPr>
            <w:r>
              <w:t xml:space="preserve">Très faible (&lt; 100 USD)</w:t>
            </w:r>
          </w:p>
        </w:tc>
      </w:tr>
      <w:tr>
        <w:tc>
          <w:tcPr/>
          <w:p>
            <w:pPr>
              <w:pStyle w:val="Compact"/>
            </w:pPr>
            <w:r>
              <w:t xml:space="preserve">Sonde ER</w:t>
            </w:r>
          </w:p>
        </w:tc>
        <w:tc>
          <w:tcPr/>
          <w:p>
            <w:pPr>
              <w:pStyle w:val="Compact"/>
            </w:pPr>
            <w:r>
              <w:t xml:space="preserve">Augmentation de R fil corrodé</w:t>
            </w:r>
          </w:p>
        </w:tc>
        <w:tc>
          <w:tcPr/>
          <w:p>
            <w:pPr>
              <w:pStyle w:val="Compact"/>
            </w:pPr>
            <w:r>
              <w:t xml:space="preserve">Continue</w:t>
            </w:r>
          </w:p>
        </w:tc>
        <w:tc>
          <w:tcPr/>
          <w:p>
            <w:pPr>
              <w:pStyle w:val="Compact"/>
            </w:pPr>
            <w:r>
              <w:t xml:space="preserve">±0,01 mΩ</w:t>
            </w:r>
          </w:p>
        </w:tc>
        <w:tc>
          <w:tcPr/>
          <w:p>
            <w:pPr>
              <w:pStyle w:val="Compact"/>
            </w:pPr>
            <w:r>
              <w:t xml:space="preserve">Faible (DIY) à élevé (COTS)</w:t>
            </w:r>
          </w:p>
        </w:tc>
      </w:tr>
      <w:tr>
        <w:tc>
          <w:tcPr/>
          <w:p>
            <w:pPr>
              <w:pStyle w:val="Compact"/>
            </w:pPr>
            <w:r>
              <w:t xml:space="preserve">LPR</w:t>
            </w:r>
          </w:p>
        </w:tc>
        <w:tc>
          <w:tcPr/>
          <w:p>
            <w:pPr>
              <w:pStyle w:val="Compact"/>
            </w:pPr>
            <w:r>
              <w:t xml:space="preserve">Résistance polarisation</w:t>
            </w:r>
          </w:p>
        </w:tc>
        <w:tc>
          <w:tcPr/>
          <w:p>
            <w:pPr>
              <w:pStyle w:val="Compact"/>
            </w:pPr>
            <w:r>
              <w:t xml:space="preserve">Continue</w:t>
            </w:r>
          </w:p>
        </w:tc>
        <w:tc>
          <w:tcPr/>
          <w:p>
            <w:pPr>
              <w:pStyle w:val="Compact"/>
            </w:pPr>
            <w:r>
              <w:t xml:space="preserve">±5 %</w:t>
            </w:r>
          </w:p>
        </w:tc>
        <w:tc>
          <w:tcPr/>
          <w:p>
            <w:pPr>
              <w:pStyle w:val="Compact"/>
            </w:pPr>
            <w:r>
              <w:t xml:space="preserve">Moyen</w:t>
            </w:r>
          </w:p>
        </w:tc>
      </w:tr>
      <w:tr>
        <w:tc>
          <w:tcPr/>
          <w:p>
            <w:pPr>
              <w:pStyle w:val="Compact"/>
            </w:pPr>
            <w:r>
              <w:t xml:space="preserve">EIS</w:t>
            </w:r>
          </w:p>
        </w:tc>
        <w:tc>
          <w:tcPr/>
          <w:p>
            <w:pPr>
              <w:pStyle w:val="Compact"/>
            </w:pPr>
            <w:r>
              <w:t xml:space="preserve">Spectre d’impédance</w:t>
            </w:r>
          </w:p>
        </w:tc>
        <w:tc>
          <w:tcPr/>
          <w:p>
            <w:pPr>
              <w:pStyle w:val="Compact"/>
            </w:pPr>
            <w:r>
              <w:t xml:space="preserve">Discontinue</w:t>
            </w:r>
          </w:p>
        </w:tc>
        <w:tc>
          <w:tcPr/>
          <w:p>
            <w:pPr>
              <w:pStyle w:val="Compact"/>
            </w:pPr>
            <w:r>
              <w:t xml:space="preserve">Très haute</w:t>
            </w:r>
          </w:p>
        </w:tc>
        <w:tc>
          <w:tcPr/>
          <w:p>
            <w:pPr>
              <w:pStyle w:val="Compact"/>
            </w:pPr>
            <w:r>
              <w:t xml:space="preserve">Élevé</w:t>
            </w:r>
          </w:p>
        </w:tc>
      </w:tr>
      <w:tr>
        <w:tc>
          <w:tcPr/>
          <w:p>
            <w:pPr>
              <w:pStyle w:val="Compact"/>
            </w:pPr>
            <w:r>
              <w:t xml:space="preserve">UT</w:t>
            </w:r>
          </w:p>
        </w:tc>
        <w:tc>
          <w:tcPr/>
          <w:p>
            <w:pPr>
              <w:pStyle w:val="Compact"/>
            </w:pPr>
            <w:r>
              <w:t xml:space="preserve">Épaisseur paroi par écho</w:t>
            </w:r>
          </w:p>
        </w:tc>
        <w:tc>
          <w:tcPr/>
          <w:p>
            <w:pPr>
              <w:pStyle w:val="Compact"/>
            </w:pPr>
            <w:r>
              <w:t xml:space="preserve">Ponctuelle</w:t>
            </w:r>
          </w:p>
        </w:tc>
        <w:tc>
          <w:tcPr/>
          <w:p>
            <w:pPr>
              <w:pStyle w:val="Compact"/>
            </w:pPr>
            <w:r>
              <w:t xml:space="preserve">±0,1 mm</w:t>
            </w:r>
          </w:p>
        </w:tc>
        <w:tc>
          <w:tcPr/>
          <w:p>
            <w:pPr>
              <w:pStyle w:val="Compact"/>
            </w:pPr>
            <w:r>
              <w:t xml:space="preserve">Moyen</w:t>
            </w:r>
          </w:p>
        </w:tc>
      </w:tr>
      <w:tr>
        <w:tc>
          <w:tcPr/>
          <w:p>
            <w:pPr>
              <w:pStyle w:val="Compact"/>
            </w:pPr>
            <w:r>
              <w:t xml:space="preserve">Émission acoustique</w:t>
            </w:r>
          </w:p>
        </w:tc>
        <w:tc>
          <w:tcPr/>
          <w:p>
            <w:pPr>
              <w:pStyle w:val="Compact"/>
            </w:pPr>
            <w:r>
              <w:t xml:space="preserve">Détection fissures</w:t>
            </w:r>
          </w:p>
        </w:tc>
        <w:tc>
          <w:tcPr/>
          <w:p>
            <w:pPr>
              <w:pStyle w:val="Compact"/>
            </w:pPr>
            <w:r>
              <w:t xml:space="preserve">Continue</w:t>
            </w:r>
          </w:p>
        </w:tc>
        <w:tc>
          <w:tcPr/>
          <w:p>
            <w:pPr>
              <w:pStyle w:val="Compact"/>
            </w:pPr>
            <w:r>
              <w:t xml:space="preserve">Variable</w:t>
            </w:r>
          </w:p>
        </w:tc>
        <w:tc>
          <w:tcPr/>
          <w:p>
            <w:pPr>
              <w:pStyle w:val="Compact"/>
            </w:pPr>
            <w:r>
              <w:t xml:space="preserve">Élevé</w:t>
            </w:r>
          </w:p>
        </w:tc>
      </w:tr>
    </w:tbl>
    <w:p>
      <w:pPr>
        <w:pStyle w:val="BodyText"/>
      </w:pPr>
      <w:r>
        <w:t xml:space="preserve">Source : Roberge (2008), Mansfeld (2014), Hassanzadeh et al. (2024).</w:t>
      </w:r>
    </w:p>
    <w:p>
      <w:pPr>
        <w:pStyle w:val="BodyText"/>
      </w:pPr>
      <w:r>
        <w:t xml:space="preserve">La sonde à résistance électrique (ER), normalisée par l’ASTM G96, exploite la relation entre la résistance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C’est ce principe que reproduisent les sondes commerciales (Cosasco CW-20, Emerson Roxar, Permasense WT) et que reprend le prototype développé dans ce travail.</w:t>
      </w:r>
    </w:p>
    <w:bookmarkEnd w:id="45"/>
    <w:bookmarkStart w:id="46" w:name="i.7.4.-modèles-prédictifs-classiques"/>
    <w:p>
      <w:pPr>
        <w:pStyle w:val="Heading3"/>
      </w:pPr>
      <w:r>
        <w:t xml:space="preserve">I.7.4. Modèles prédictifs classiques</w:t>
      </w:r>
    </w:p>
    <w:p>
      <w:pPr>
        <w:pStyle w:val="FirstParagraph"/>
      </w:pPr>
      <w:r>
        <w:t xml:space="preserve">Le modèle de de Waard et Milliams (1975), révisé en 1991 et 1995, constitue la référence industrielle pour la prédiction de la corrosion CO₂ (de Waard et Milliams, 1975 ; de Waard, Lotz et Milliams, 1991). Il exprime le taux de corrosion en fonction de la pression partielle de CO₂ et de la température :</w:t>
      </w:r>
    </w:p>
    <w:p>
      <w:pPr>
        <w:pStyle w:val="BodyText"/>
      </w:pPr>
      <m:oMathPara>
        <m:oMathParaPr>
          <m:jc m:val="center"/>
        </m:oMathParaPr>
        <m:oMath>
          <m:sSub>
            <m:e>
              <m:r>
                <m:rPr>
                  <m:sty m:val="p"/>
                </m:rPr>
                <m:t>log</m:t>
              </m:r>
            </m:e>
            <m:sub>
              <m:r>
                <m:t>10</m:t>
              </m:r>
            </m:sub>
          </m:sSub>
          <m:r>
            <m:t>C</m:t>
          </m:r>
          <m:r>
            <m:t>R</m:t>
          </m:r>
          <m:r>
            <m:rPr>
              <m:sty m:val="p"/>
            </m:rPr>
            <m:t>=</m:t>
          </m:r>
          <m:r>
            <m:t>5</m:t>
          </m:r>
          <m:r>
            <m:rPr>
              <m:sty m:val="p"/>
            </m:rPr>
            <m:t>,</m:t>
          </m:r>
          <m:r>
            <m:t>8</m:t>
          </m:r>
          <m:r>
            <m:rPr>
              <m:sty m:val="p"/>
            </m:rPr>
            <m:t>−</m:t>
          </m:r>
          <m:f>
            <m:fPr>
              <m:type m:val="bar"/>
            </m:fPr>
            <m:num>
              <m:r>
                <m:t>1710</m:t>
              </m:r>
            </m:num>
            <m:den>
              <m:r>
                <m:t>T</m:t>
              </m:r>
              <m:r>
                <m:rPr>
                  <m:sty m:val="p"/>
                </m:rPr>
                <m:t>+</m:t>
              </m:r>
              <m:r>
                <m:t>273</m:t>
              </m:r>
            </m:den>
          </m:f>
          <m:r>
            <m:rPr>
              <m:sty m:val="p"/>
            </m:rPr>
            <m:t>+</m:t>
          </m:r>
          <m:r>
            <m:t>0</m:t>
          </m:r>
          <m:r>
            <m:rPr>
              <m:sty m:val="p"/>
            </m:rPr>
            <m:t>,</m:t>
          </m:r>
          <m:r>
            <m:t>67</m:t>
          </m:r>
          <m:sSub>
            <m:e>
              <m:r>
                <m:rPr>
                  <m:sty m:val="p"/>
                </m:rPr>
                <m:t>log</m:t>
              </m:r>
            </m:e>
            <m:sub>
              <m:r>
                <m:t>10</m:t>
              </m:r>
            </m:sub>
          </m:sSub>
          <m:sSub>
            <m:e>
              <m:r>
                <m:t>P</m:t>
              </m:r>
            </m:e>
            <m:sub>
              <m:r>
                <m:t>C</m:t>
              </m:r>
              <m:sSub>
                <m:e>
                  <m:r>
                    <m:t>O</m:t>
                  </m:r>
                </m:e>
                <m:sub>
                  <m:r>
                    <m:t>2</m:t>
                  </m:r>
                </m:sub>
              </m:sSub>
            </m:sub>
          </m:sSub>
        </m:oMath>
      </m:oMathPara>
    </w:p>
    <w:p>
      <w:pPr>
        <w:pStyle w:val="FirstParagraph"/>
      </w:pPr>
      <w:r>
        <w:t xml:space="preserve">Ce modèle a été progressivement étendu pour inclure le pH, le débit, la composition de l’acier et la teneur en glycol. Cependant, ses limites sont bien documentées (Coelho, 2022 ; Hu et al., 2024) :</w:t>
      </w:r>
    </w:p>
    <w:p>
      <w:pPr>
        <w:pStyle w:val="Compact"/>
        <w:numPr>
          <w:ilvl w:val="0"/>
          <w:numId w:val="1014"/>
        </w:numPr>
      </w:pPr>
      <w:r>
        <w:t xml:space="preserve">Erreurs systématiques de 40 à 60 % en conditions réelles ;</w:t>
      </w:r>
    </w:p>
    <w:p>
      <w:pPr>
        <w:pStyle w:val="Compact"/>
        <w:numPr>
          <w:ilvl w:val="0"/>
          <w:numId w:val="1014"/>
        </w:numPr>
      </w:pPr>
      <w:r>
        <w:t xml:space="preserve">Domaine de validité limité à</w:t>
      </w:r>
      <w:r>
        <w:t xml:space="preserve"> </w:t>
      </w:r>
      <w:r>
        <w:rPr>
          <w:i/>
          <w:iCs/>
        </w:rPr>
        <w:t xml:space="preserve">P</w:t>
      </w:r>
      <w:r>
        <w:t xml:space="preserve">(CO₂) ∈ [0 ; 2 MPa] ;</w:t>
      </w:r>
    </w:p>
    <w:p>
      <w:pPr>
        <w:pStyle w:val="Compact"/>
        <w:numPr>
          <w:ilvl w:val="0"/>
          <w:numId w:val="1014"/>
        </w:numPr>
      </w:pPr>
      <w:r>
        <w:t xml:space="preserve">Recalibration complète nécessaire pour intégrer toute nouvelle donnée ;</w:t>
      </w:r>
    </w:p>
    <w:p>
      <w:pPr>
        <w:pStyle w:val="Compact"/>
        <w:numPr>
          <w:ilvl w:val="0"/>
          <w:numId w:val="1014"/>
        </w:numPr>
      </w:pPr>
      <w:r>
        <w:t xml:space="preserve">Ignorance des interactions complexes entre constituants du milieu (multiples espèces agressives, bactéries SRB, etc.).</w:t>
      </w:r>
    </w:p>
    <w:p>
      <w:pPr>
        <w:pStyle w:val="FirstParagraph"/>
      </w:pPr>
      <w:r>
        <w:t xml:space="preserve">La norme NORSOK M-506 (Standards Norway, 2017) propose une formulation alternative également limitée par les mêmes contraintes.</w:t>
      </w:r>
    </w:p>
    <w:bookmarkEnd w:id="46"/>
    <w:bookmarkStart w:id="47" w:name="X9a8d465a7b5ecfdaa66be0143a1812558b98e75"/>
    <w:p>
      <w:pPr>
        <w:pStyle w:val="Heading3"/>
      </w:pPr>
      <w:r>
        <w:t xml:space="preserve">I.7.5. Modèles prédictifs par apprentissage automatique</w:t>
      </w:r>
    </w:p>
    <w:p>
      <w:pPr>
        <w:pStyle w:val="FirstParagraph"/>
      </w:pPr>
      <w:r>
        <w:t xml:space="preserve">L’apprentissage automatique offre une alternative capable de capturer les non-linéarités complexes que les modèles physiques ignorent. Les méthodes les plus utilisées dans la littérature récente sur la corrosion incluent :</w:t>
      </w:r>
    </w:p>
    <w:p>
      <w:pPr>
        <w:pStyle w:val="BodyText"/>
      </w:pPr>
      <w:r>
        <w:t xml:space="preserve">XGBoost (eXtreme Gradient Boosting), introduit par Chen et Guestrin (2016), est aujourd’hui l’algorithme dominant pour les problèmes de régression tabulaire. Il combine plusieurs centaines d’arbres de décision faibles via une procédure de gradient boosting régularisée. Ses avantages :</w:t>
      </w:r>
    </w:p>
    <w:p>
      <w:pPr>
        <w:pStyle w:val="Compact"/>
        <w:numPr>
          <w:ilvl w:val="0"/>
          <w:numId w:val="1015"/>
        </w:numPr>
      </w:pPr>
      <w:r>
        <w:t xml:space="preserve">Gestion native des variables hétérogènes ;</w:t>
      </w:r>
    </w:p>
    <w:p>
      <w:pPr>
        <w:pStyle w:val="Compact"/>
        <w:numPr>
          <w:ilvl w:val="0"/>
          <w:numId w:val="1015"/>
        </w:numPr>
      </w:pPr>
      <w:r>
        <w:t xml:space="preserve">Robustesse aux valeurs manquantes ;</w:t>
      </w:r>
    </w:p>
    <w:p>
      <w:pPr>
        <w:pStyle w:val="Compact"/>
        <w:numPr>
          <w:ilvl w:val="0"/>
          <w:numId w:val="1015"/>
        </w:numPr>
      </w:pPr>
      <w:r>
        <w:t xml:space="preserve">Régularisation L1 et L2 limitant le surapprentissage ;</w:t>
      </w:r>
    </w:p>
    <w:p>
      <w:pPr>
        <w:pStyle w:val="Compact"/>
        <w:numPr>
          <w:ilvl w:val="0"/>
          <w:numId w:val="1015"/>
        </w:numPr>
      </w:pPr>
      <w:r>
        <w:t xml:space="preserve">Interprétabilité élevée (feature importance, SHAP).</w:t>
      </w:r>
    </w:p>
    <w:p>
      <w:pPr>
        <w:pStyle w:val="FirstParagraph"/>
      </w:pPr>
      <w:r>
        <w:t xml:space="preserve">Les performances rapportées dans la littérature récente sur la corrosion sont remarquables (Wei et al., 2024 ; Kuang et Long, 2024) :</w:t>
      </w:r>
    </w:p>
    <w:p>
      <w:pPr>
        <w:pStyle w:val="Compact"/>
        <w:numPr>
          <w:ilvl w:val="0"/>
          <w:numId w:val="1016"/>
        </w:numPr>
      </w:pPr>
      <w:r>
        <w:t xml:space="preserve">Wei et al. (2024) : XGBoost atteint</w:t>
      </w:r>
      <w:r>
        <w:t xml:space="preserve"> </w:t>
      </w:r>
      <w:r>
        <w:rPr>
          <w:i/>
          <w:iCs/>
        </w:rPr>
        <w:t xml:space="preserve">RMSE</w:t>
      </w:r>
      <w:r>
        <w:t xml:space="preserve"> </w:t>
      </w:r>
      <w:r>
        <w:t xml:space="preserve">= 0,031 mm/an et</w:t>
      </w:r>
      <w:r>
        <w:t xml:space="preserve"> </w:t>
      </w:r>
      <w:r>
        <w:rPr>
          <w:i/>
          <w:iCs/>
        </w:rPr>
        <w:t xml:space="preserve">R²</w:t>
      </w:r>
      <w:r>
        <w:t xml:space="preserve"> </w:t>
      </w:r>
      <w:r>
        <w:t xml:space="preserve">= 0,99 sur la prédiction de corrosion en pipeline d’eau de refroidissement ;</w:t>
      </w:r>
    </w:p>
    <w:p>
      <w:pPr>
        <w:pStyle w:val="Compact"/>
        <w:numPr>
          <w:ilvl w:val="0"/>
          <w:numId w:val="1016"/>
        </w:numPr>
      </w:pPr>
      <w:r>
        <w:t xml:space="preserve">Kuang et Long (2024) : XGBoost obtient</w:t>
      </w:r>
      <w:r>
        <w:t xml:space="preserve"> </w:t>
      </w:r>
      <w:r>
        <w:rPr>
          <w:i/>
          <w:iCs/>
        </w:rPr>
        <w:t xml:space="preserve">RMSE</w:t>
      </w:r>
      <w:r>
        <w:t xml:space="preserve"> </w:t>
      </w:r>
      <w:r>
        <w:t xml:space="preserve">= 0,052 sur la corrosion atmosphérique d’aciers faiblement alliés ;</w:t>
      </w:r>
    </w:p>
    <w:p>
      <w:pPr>
        <w:pStyle w:val="Compact"/>
        <w:numPr>
          <w:ilvl w:val="0"/>
          <w:numId w:val="1016"/>
        </w:numPr>
      </w:pPr>
      <w:r>
        <w:t xml:space="preserve">Hu et al. (2024) : modèle d’ensemble interprétable atteignant</w:t>
      </w:r>
      <w:r>
        <w:t xml:space="preserve"> </w:t>
      </w:r>
      <w:r>
        <w:rPr>
          <w:i/>
          <w:iCs/>
        </w:rPr>
        <w:t xml:space="preserve">RMSE</w:t>
      </w:r>
      <w:r>
        <w:t xml:space="preserve"> </w:t>
      </w:r>
      <w:r>
        <w:t xml:space="preserve">= 0,005876 et</w:t>
      </w:r>
      <w:r>
        <w:t xml:space="preserve"> </w:t>
      </w:r>
      <w:r>
        <w:rPr>
          <w:i/>
          <w:iCs/>
        </w:rPr>
        <w:t xml:space="preserve">R²</w:t>
      </w:r>
      <w:r>
        <w:t xml:space="preserve"> </w:t>
      </w:r>
      <w:r>
        <w:t xml:space="preserve">= 0,9648 sur la corrosion interne O&amp;G.</w:t>
      </w:r>
    </w:p>
    <w:p>
      <w:pPr>
        <w:pStyle w:val="FirstParagraph"/>
      </w:pPr>
      <w:r>
        <w:t xml:space="preserve">SHAP (SHapley Additive exPlanations), introduit par Lundberg et Lee (2017), permet d’interpréter chaque prédiction individuelle en quantifiant la contribution de chaque variable d’entrée. Les analyses SHAP appliquées à la corrosion identifient typiquement la température, la pression partielle de CO₂ et la pression totale comme les trois variables dominantes (Hu et al., 2024). Le présent travail mobilise SHAP pour identifier les variables dominantes dans le contexte de la corrosion du fer en milieu HCl, où la température joue un rôle de premier plan.</w:t>
      </w:r>
    </w:p>
    <w:bookmarkEnd w:id="47"/>
    <w:bookmarkStart w:id="48" w:name="X30ac17fbee103ff5fcca34b71d7e33c5d3889bf"/>
    <w:p>
      <w:pPr>
        <w:pStyle w:val="Heading3"/>
      </w:pPr>
      <w:r>
        <w:t xml:space="preserve">I.7.6. Pronostic et durée de vie résiduelle (RUL)</w:t>
      </w:r>
    </w:p>
    <w:p>
      <w:pPr>
        <w:pStyle w:val="FirstParagraph"/>
      </w:pPr>
      <w:r>
        <w:t xml:space="preserve">La norme ISO 13381-1 :2025 définit le pronostic comme « l’estimation du temps avant défaillance et le risque d’existence ou d’apparition d’un ou plusieurs modes de défaillance » (ISO, 2025). La durée de vie résiduelle (RUL, Remaining Useful Life) est définie comme « la durée pendant laquelle un système peut continuer à fonctionner avant que sa santé ne tombe sous un seuil prédéfini » (Akash, 2024 ; Liu et al., 2022).</w:t>
      </w:r>
    </w:p>
    <w:p>
      <w:pPr>
        <w:pStyle w:val="BodyText"/>
      </w:pPr>
      <w:r>
        <w:t xml:space="preserve">Quatre familles d’approches existent (Liu et al., 2022) :</w:t>
      </w:r>
    </w:p>
    <w:p>
      <w:pPr>
        <w:pStyle w:val="Compact"/>
        <w:numPr>
          <w:ilvl w:val="0"/>
          <w:numId w:val="1017"/>
        </w:numPr>
      </w:pPr>
      <w:r>
        <w:t xml:space="preserve">Modèles physiques : extrapolation par lois de propagation (fissure, corrosion, fatigue) ;</w:t>
      </w:r>
    </w:p>
    <w:p>
      <w:pPr>
        <w:pStyle w:val="Compact"/>
        <w:numPr>
          <w:ilvl w:val="0"/>
          <w:numId w:val="1017"/>
        </w:numPr>
      </w:pPr>
      <w:r>
        <w:t xml:space="preserve">Modèles statistiques : analyse de survie (Weibull, AFT) ;</w:t>
      </w:r>
    </w:p>
    <w:p>
      <w:pPr>
        <w:pStyle w:val="Compact"/>
        <w:numPr>
          <w:ilvl w:val="0"/>
          <w:numId w:val="1017"/>
        </w:numPr>
      </w:pPr>
      <w:r>
        <w:t xml:space="preserve">Modèles par apprentissage automatique : XGBoost, LSTM, Transformers ;</w:t>
      </w:r>
    </w:p>
    <w:p>
      <w:pPr>
        <w:pStyle w:val="Compact"/>
        <w:numPr>
          <w:ilvl w:val="0"/>
          <w:numId w:val="1017"/>
        </w:numPr>
      </w:pPr>
      <w:r>
        <w:t xml:space="preserve">Approches hybrides : combinaison physique + ML.</w:t>
      </w:r>
    </w:p>
    <w:p>
      <w:pPr>
        <w:pStyle w:val="FirstParagraph"/>
      </w:pPr>
      <w:r>
        <w:t xml:space="preserve">Pour la corrosion spécifiquement, les approches par apprentissage automatique</w:t>
      </w:r>
      <w:r>
        <w:t xml:space="preserve"> </w:t>
      </w:r>
      <w:r>
        <w:rPr>
          <w:i/>
          <w:iCs/>
        </w:rPr>
        <w:t xml:space="preserve">run-to-failure</w:t>
      </w:r>
      <w:r>
        <w:t xml:space="preserve"> </w:t>
      </w:r>
      <w:r>
        <w:t xml:space="preserve">sont les mieux adaptées car elles exploitent l’intégralité du cycle de dégradation (état initial → rupture) : c’est la voie principale retenue dans ce travail, via le modèle XGBoost (famille 3). En complément, la perspective d’un jumeau numérique (§III.6) mobilise les familles 1 et 2, une loi de cinétique de corrosion (sigmoïde d’Avrami) couplée à une simulation statistique de type Monte-Carlo, relevant ainsi d’une approche hybride (famille 4) pour borner la durée de vie. Le présent travail se positionne donc explicitement dans cette taxonomie, l’apprentissage automatique en constituant le cœur et le jumeau numérique le prolongement physico-statistique.</w:t>
      </w:r>
    </w:p>
    <w:bookmarkEnd w:id="48"/>
    <w:bookmarkStart w:id="49" w:name="Xe453b15101c65cf2199b9f671e6ebb1927d47df"/>
    <w:p>
      <w:pPr>
        <w:pStyle w:val="Heading3"/>
      </w:pPr>
      <w:r>
        <w:t xml:space="preserve">I.7.7. Facteurs influençant la cinétique de corrosion — rôle de la température</w:t>
      </w:r>
    </w:p>
    <w:p>
      <w:pPr>
        <w:pStyle w:val="FirstParagraph"/>
      </w:pPr>
      <w:r>
        <w:t xml:space="preserve">La vitesse de corrosion d’un métal en milieu acide dépend de nombreux facteurs : concentration et nature de l’acide, pH, température, hydrodynamique, état de surface et présence éventuelle d’inhibiteurs (Schweitzer, 2010 ; Roberge, 2000). Parmi ces facteurs, la température occupe une place déterminante.</w:t>
      </w:r>
    </w:p>
    <w:p>
      <w:pPr>
        <w:pStyle w:val="BodyText"/>
      </w:pPr>
      <w:r>
        <w:t xml:space="preserve">La dépendance de la vitesse de corrosion à la température suit typiquement une loi de type Arrhenius :</w:t>
      </w:r>
    </w:p>
    <w:p>
      <w:pPr>
        <w:pStyle w:val="BodyText"/>
      </w:pPr>
      <m:oMathPara>
        <m:oMathParaPr>
          <m:jc m:val="center"/>
        </m:oMathParaPr>
        <m:oMath>
          <m:sSub>
            <m:e>
              <m:r>
                <m:t>v</m:t>
              </m:r>
            </m:e>
            <m:sub>
              <m:r>
                <m:t>c</m:t>
              </m:r>
              <m:r>
                <m:t>o</m:t>
              </m:r>
              <m:r>
                <m:t>r</m:t>
              </m:r>
              <m:r>
                <m:t>r</m:t>
              </m:r>
            </m:sub>
          </m:sSub>
          <m:r>
            <m:rPr>
              <m:sty m:val="p"/>
            </m:rPr>
            <m:t>(</m:t>
          </m:r>
          <m:r>
            <m:t>T</m:t>
          </m:r>
          <m:r>
            <m:rPr>
              <m:sty m:val="p"/>
            </m:rPr>
            <m:t>)</m:t>
          </m:r>
          <m:r>
            <m:rPr>
              <m:sty m:val="p"/>
            </m:rPr>
            <m:t>=</m:t>
          </m:r>
          <m:r>
            <m:t>A</m:t>
          </m:r>
          <m:r>
            <m:rPr>
              <m:sty m:val="p"/>
            </m:rPr>
            <m:t>⋅</m:t>
          </m:r>
          <m:r>
            <m:rPr>
              <m:sty m:val="p"/>
            </m:rPr>
            <m:t>exp</m:t>
          </m:r>
          <m:r>
            <m:t>​</m:t>
          </m:r>
          <m:d>
            <m:dPr>
              <m:begChr m:val="("/>
              <m:sepChr m:val=""/>
              <m:endChr m:val=")"/>
              <m:grow/>
            </m:dPr>
            <m:e>
              <m:r>
                <m:rPr>
                  <m:sty m:val="p"/>
                </m:rPr>
                <m:t>−</m:t>
              </m:r>
              <m:f>
                <m:fPr>
                  <m:type m:val="bar"/>
                </m:fPr>
                <m:num>
                  <m:sSub>
                    <m:e>
                      <m:r>
                        <m:t>E</m:t>
                      </m:r>
                    </m:e>
                    <m:sub>
                      <m:r>
                        <m:t>a</m:t>
                      </m:r>
                    </m:sub>
                  </m:sSub>
                </m:num>
                <m:den>
                  <m:r>
                    <m:t>R</m:t>
                  </m:r>
                  <m:r>
                    <m:t> </m:t>
                  </m:r>
                  <m:r>
                    <m:t>T</m:t>
                  </m:r>
                </m:den>
              </m:f>
            </m:e>
          </m:d>
        </m:oMath>
      </m:oMathPara>
    </w:p>
    <w:p>
      <w:pPr>
        <w:pStyle w:val="FirstParagraph"/>
      </w:pPr>
      <w:r>
        <w:t xml:space="preserve">où</w:t>
      </w:r>
      <w:r>
        <w:t xml:space="preserve"> </w:t>
      </w:r>
      <w:r>
        <w:rPr>
          <w:i/>
          <w:iCs/>
        </w:rPr>
        <w:t xml:space="preserve">A</w:t>
      </w:r>
      <w:r>
        <w:t xml:space="preserve"> </w:t>
      </w:r>
      <w:r>
        <w:t xml:space="preserve">est un facteur pré-exponentiel,</w:t>
      </w:r>
      <w:r>
        <w:t xml:space="preserve"> </w:t>
      </w:r>
      <w:r>
        <w:rPr>
          <w:i/>
          <w:iCs/>
        </w:rPr>
        <w:t xml:space="preserve">E_a</w:t>
      </w:r>
      <w:r>
        <w:t xml:space="preserve"> </w:t>
      </w:r>
      <w:r>
        <w:t xml:space="preserve">l’énergie d’activation de la réaction et</w:t>
      </w:r>
      <w:r>
        <w:t xml:space="preserve"> </w:t>
      </w:r>
      <w:r>
        <w:rPr>
          <w:i/>
          <w:iCs/>
        </w:rPr>
        <w:t xml:space="preserve">R</w:t>
      </w:r>
      <w:r>
        <w:t xml:space="preserve"> </w:t>
      </w:r>
      <w:r>
        <w:t xml:space="preserve">la constante des gaz parfaits. Cette relation traduit une croissance exponentielle de la vitesse de corrosion avec la température ; une règle empirique fréquemment citée indique qu’une élévation de 10 °C peut approximativement doubler la vitesse de réaction (Schweitzer, 2010).</w:t>
      </w:r>
    </w:p>
    <w:p>
      <w:pPr>
        <w:pStyle w:val="BodyText"/>
      </w:pPr>
      <w:r>
        <w:t xml:space="preserve">Cette sensibilité a une conséquence directe pour la modélisation prédictive : dans une campagne d’essais, toute variation non maîtrisée de la température introduit une variabilité importante entre essais, susceptible de masquer ou de fausser les relations apprises par un modèle. Dans le cadre de ce travail, ce constat justifie deux leviers complémentaires : (i) intégrer la température comme variable explicative du modèle, et (ii) contrôler la température par un chauffe-eau d’aquarium étanche immergé directement dans la cellule afin d’isoler les autres facteurs et garantir la répétabilité des essais, démarche dont le Chapitre III démontre la nécessité.</w:t>
      </w:r>
    </w:p>
    <w:bookmarkEnd w:id="49"/>
    <w:bookmarkStart w:id="50" w:name="Xef9623cb523170b916b02ae920948a7456d2eb4"/>
    <w:p>
      <w:pPr>
        <w:pStyle w:val="Heading3"/>
      </w:pPr>
      <w:r>
        <w:t xml:space="preserve">I.7.8. Diagnostic en maintenance industrielle</w:t>
      </w:r>
    </w:p>
    <w:p>
      <w:pPr>
        <w:pStyle w:val="FirstParagraph"/>
      </w:pPr>
      <w:r>
        <w:t xml:space="preserve">Le diagnostic est l’étape de la chaîne de maintenance prédictive (ISO 13381-1) consistant à</w:t>
      </w:r>
      <w:r>
        <w:t xml:space="preserve"> </w:t>
      </w:r>
      <w:r>
        <w:rPr>
          <w:i/>
          <w:iCs/>
        </w:rPr>
        <w:t xml:space="preserve">identifier la nature, la localisation et la cause d’une défaillance ou d’une dérive</w:t>
      </w:r>
      <w:r>
        <w:t xml:space="preserve">, à partir des informations issues de la phase de détection (Akash, 2024 ; ISO, 2025). Il se distingue du pronostic, qui prédit le moment de la défaillance future, et précède la décision, qui choisit l’action corrective appropriée. La chaîne complète est ainsi :</w:t>
      </w:r>
    </w:p>
    <w:p>
      <w:pPr>
        <w:pStyle w:val="BlockText"/>
      </w:pPr>
      <w:r>
        <w:t xml:space="preserve">Détection → Diagnostic → Pronostic → Décision → Action</w:t>
      </w:r>
    </w:p>
    <w:p>
      <w:pPr>
        <w:pStyle w:val="FirstParagraph"/>
      </w:pPr>
      <w:r>
        <w:t xml:space="preserve">Pour la corrosion spécifiquement, plusieurs approches de diagnostic coexistent dans la littérature (Coelho, 2022 ; Tan et al., 2025) :</w:t>
      </w:r>
    </w:p>
    <w:p>
      <w:pPr>
        <w:pStyle w:val="Compact"/>
        <w:numPr>
          <w:ilvl w:val="0"/>
          <w:numId w:val="1018"/>
        </w:numPr>
      </w:pPr>
      <w:r>
        <w:t xml:space="preserve">Approches par règles métier : seuils sur les variables physiques (dérivée temporelle de R, accélération, niveaux d’agression), simples et explicables, adaptées aux PME ;</w:t>
      </w:r>
    </w:p>
    <w:p>
      <w:pPr>
        <w:pStyle w:val="Compact"/>
        <w:numPr>
          <w:ilvl w:val="0"/>
          <w:numId w:val="1018"/>
        </w:numPr>
      </w:pPr>
      <w:r>
        <w:t xml:space="preserve">Approches par classification ML : forêts aléatoires, XGBoost classifieur, SVM, performantes mais nécessitent des données labélisées ;</w:t>
      </w:r>
    </w:p>
    <w:p>
      <w:pPr>
        <w:pStyle w:val="Compact"/>
        <w:numPr>
          <w:ilvl w:val="0"/>
          <w:numId w:val="1018"/>
        </w:numPr>
      </w:pPr>
      <w:r>
        <w:t xml:space="preserve">Approches non-supervisées : Isolation Forest, One-Class SVM, adaptées à la détection d’anomalies sans labélisation préalable.</w:t>
      </w:r>
    </w:p>
    <w:p>
      <w:pPr>
        <w:pStyle w:val="FirstParagraph"/>
      </w:pPr>
      <w:r>
        <w:t xml:space="preserve">Dans le contexte de la corrosion d’un fil de fer en milieu acide, plusieurs régimes se succèdent au cours d’un essai et peuvent être diagnostiqués à partir des signatures temporelles du signal ER : (i) induction (dR/dt quasi nul en début d’immersion), (ii) croissance (dR/dt positif et régulier), (iii) emballement (accélération marquée du dR/dt), et (iv) pré-rupture (divergence du dR/dt, RUL faible). Le présent travail mobilise une approche hybride règles métier + sortie XGBoost, simple et explicable pour un déploiement industriel léger.</w:t>
      </w:r>
    </w:p>
    <w:bookmarkEnd w:id="50"/>
    <w:bookmarkStart w:id="51" w:name="Xb6e63608d1fd198c99b883acf602e5736099c27"/>
    <w:p>
      <w:pPr>
        <w:pStyle w:val="Heading3"/>
      </w:pPr>
      <w:r>
        <w:t xml:space="preserve">I.7.9. Systèmes de gestion de la maintenance — GMAO et CMMS</w:t>
      </w:r>
    </w:p>
    <w:p>
      <w:pPr>
        <w:pStyle w:val="FirstParagraph"/>
      </w:pPr>
      <w:r>
        <w:t xml:space="preserve">Une GMAO (Gestion de Maintenance Assistée par Ordinateur), ou en anglais CMMS (Computerized Maintenance Management System), est une application logicielle dédiée à la planification, au suivi et à l’optimisation des activités de maintenance d’une organisation industrielle (Lopes et al., 2016 ; Roda et Macchi, 2018). Une GMAO moderne intègre typiquement les fonctions suivantes (ISO 14224, 2016 ; Bagheri et al., 2015) :</w:t>
      </w:r>
    </w:p>
    <w:p>
      <w:pPr>
        <w:pStyle w:val="Compact"/>
        <w:numPr>
          <w:ilvl w:val="0"/>
          <w:numId w:val="1019"/>
        </w:numPr>
      </w:pPr>
      <w:r>
        <w:t xml:space="preserve">Gestion des actifs : inventaire des équipements, hiérarchie fonctionnelle, données techniques, criticité ;</w:t>
      </w:r>
    </w:p>
    <w:p>
      <w:pPr>
        <w:pStyle w:val="Compact"/>
        <w:numPr>
          <w:ilvl w:val="0"/>
          <w:numId w:val="1019"/>
        </w:numPr>
      </w:pPr>
      <w:r>
        <w:t xml:space="preserve">Gestion des ordres de travail (OT) : création, assignation, planification, exécution, clôture ;</w:t>
      </w:r>
    </w:p>
    <w:p>
      <w:pPr>
        <w:pStyle w:val="Compact"/>
        <w:numPr>
          <w:ilvl w:val="0"/>
          <w:numId w:val="1019"/>
        </w:numPr>
      </w:pPr>
      <w:r>
        <w:t xml:space="preserve">Historique des interventions : traçabilité complète (qui, quand, quoi, durée, coût) ;</w:t>
      </w:r>
    </w:p>
    <w:p>
      <w:pPr>
        <w:pStyle w:val="Compact"/>
        <w:numPr>
          <w:ilvl w:val="0"/>
          <w:numId w:val="1019"/>
        </w:numPr>
      </w:pPr>
      <w:r>
        <w:t xml:space="preserve">Gestion du stock de pièces de rechange : références, niveaux, mouvements, fournisseurs ;</w:t>
      </w:r>
    </w:p>
    <w:p>
      <w:pPr>
        <w:pStyle w:val="Compact"/>
        <w:numPr>
          <w:ilvl w:val="0"/>
          <w:numId w:val="1019"/>
        </w:numPr>
      </w:pPr>
      <w:r>
        <w:t xml:space="preserve">Indicateurs de performance (KPIs) : MTBF, MTTR, taux de disponibilité, taux de panne, coût total de maintenance ;</w:t>
      </w:r>
    </w:p>
    <w:p>
      <w:pPr>
        <w:pStyle w:val="Compact"/>
        <w:numPr>
          <w:ilvl w:val="0"/>
          <w:numId w:val="1019"/>
        </w:numPr>
      </w:pPr>
      <w:r>
        <w:t xml:space="preserve">Plans de maintenance préventive : déclencheurs temporels ou conditionnels ;</w:t>
      </w:r>
    </w:p>
    <w:p>
      <w:pPr>
        <w:pStyle w:val="Compact"/>
        <w:numPr>
          <w:ilvl w:val="0"/>
          <w:numId w:val="1019"/>
        </w:numPr>
      </w:pPr>
      <w:r>
        <w:t xml:space="preserve">Intégration avec les systèmes de surveillance : ingestion d’alertes, création automatique d’OT.</w:t>
      </w:r>
    </w:p>
    <w:p>
      <w:pPr>
        <w:pStyle w:val="FirstParagraph"/>
      </w:pPr>
      <w:r>
        <w:t xml:space="preserve">Les GMAO industrielles propriétaires (SAP Plant Maintenance, IBM Maximo, Oracle eAM, Infor EAM) dominent le marché des grandes entreprises mais présentent un coût de licence prohibitif (10 000 à 100 000 USD/an par site selon le périmètre), une complexité d’implémentation élevée (consultants spécialisés requis), et une dépendance à l’éditeur. Selon Roda et Macchi (2018), moins de 15 % des PME industrielles dans les pays émergents disposent d’une GMAO professionnelle, contre plus de 80 % des grandes entreprises.</w:t>
      </w:r>
    </w:p>
    <w:p>
      <w:pPr>
        <w:pStyle w:val="BodyText"/>
      </w:pPr>
      <w:r>
        <w:t xml:space="preserve">Plusieurs alternatives open-source existent (CMMS Wikipedia, 2024) : GLPI, OpenMaint (CMDBuild), Snipe-IT, Fiix Free, MaintainX, Hippo CMMS Free, Limble. Ces solutions offrent un périmètre fonctionnel comparable aux GMAO propriétaires (gestion d’actifs, ordres de travail, ITIL) avec des API REST documentées qui permettent une intégration tierce. Néanmoins, leur adoption dans le contexte africain présente quelques limites résiduelles : (i) absence de modules de prédiction par apprentissage automatique embarqués (la couche ML reste à raccorder par intégration externe) ; (ii) interfaces parfois en anglais uniquement (GLPI fait exception avec une localisation francophone native) ; (iii) hébergement self-hosted exigeant une compétence IT minimale pour l’administration, ce qui peut être un frein pour les PME sans équipe IT dédiée, frein partiellement levé par les distributions Docker prêtes à déployer.</w:t>
      </w:r>
    </w:p>
    <w:p>
      <w:pPr>
        <w:pStyle w:val="BodyText"/>
      </w:pPr>
      <w:r>
        <w:t xml:space="preserve">L’émergence récente des architectures sans serveur (BaaS, Backend as a Service) comme Supabase (alternative open-source à Firebase) couplée à des frameworks applicatifs Python comme Streamlit rend désormais possible le développement d’une GMAO sur mesure à un coût d’exploitation marginal nul (offres gratuites jusqu’à des volumes significatifs). C’est cette voie qu’explore l’OS4 du présent mémoire, en proposant une GMAO directement intégrée à la chaîne de surveillance prédictive développée dans les OS1, OS2 et OS3.</w:t>
      </w:r>
    </w:p>
    <w:p>
      <w:pPr>
        <w:pStyle w:val="BodyText"/>
      </w:pPr>
      <w:r>
        <w:t xml:space="preserve">La norme ISO 14224 :2016 définit les standards d’échange de données de fiabilité et de maintenance (formats d’OT, codes anomalie, taxonomie d’équipement) et constitue la référence d’interopérabilité pour toute GMAO du secteur Oil &amp; Gas (ISO, 2016).</w:t>
      </w:r>
    </w:p>
    <w:bookmarkEnd w:id="51"/>
    <w:bookmarkStart w:id="52" w:name="Xcdd9eceff5d4fe3261247372629e4b3594083f7"/>
    <w:p>
      <w:pPr>
        <w:pStyle w:val="Heading3"/>
      </w:pPr>
      <w:r>
        <w:t xml:space="preserve">I.7.10. Synthèse de la revue de littérature</w:t>
      </w:r>
    </w:p>
    <w:p>
      <w:pPr>
        <w:pStyle w:val="FirstParagraph"/>
      </w:pPr>
      <w:r>
        <w:t xml:space="preserve">La revue de littérature met en évidence quatre constats majeurs qui structurent ce travail :</w:t>
      </w:r>
    </w:p>
    <w:p>
      <w:pPr>
        <w:pStyle w:val="Compact"/>
        <w:numPr>
          <w:ilvl w:val="0"/>
          <w:numId w:val="1020"/>
        </w:numPr>
      </w:pPr>
      <w:r>
        <w:t xml:space="preserve">La corrosion est un phénomène universel, quantifié par la loi de Faraday et encadré par un corpus normatif international complet (ISO, ASTM, NACE/AMPP, API) ;</w:t>
      </w:r>
    </w:p>
    <w:p>
      <w:pPr>
        <w:pStyle w:val="Compact"/>
        <w:numPr>
          <w:ilvl w:val="0"/>
          <w:numId w:val="1020"/>
        </w:numPr>
      </w:pPr>
      <w:r>
        <w:t xml:space="preserve">Les méthodes de surveillance disponibles, coupons, sondes ER, LPR, UT, présentent des compromis résolution / continuité / niveau d’intégration numérique que les approches IoT (ESP32 + HX711) couplées à un pipeline ML peuvent rééquilibrer ;</w:t>
      </w:r>
    </w:p>
    <w:p>
      <w:pPr>
        <w:pStyle w:val="Compact"/>
        <w:numPr>
          <w:ilvl w:val="0"/>
          <w:numId w:val="1020"/>
        </w:numPr>
      </w:pPr>
      <w:r>
        <w:t xml:space="preserve">Les modèles physiques classiques (de Waard et Milliams) sont insuffisants en milieux multi-composants ; les modèles ML à gradient boosting (XGBoost) et leur extension à l’interprétabilité (SHAP) constituent l’état de l’art récent (2022–2025) ;</w:t>
      </w:r>
    </w:p>
    <w:p>
      <w:pPr>
        <w:pStyle w:val="Compact"/>
        <w:numPr>
          <w:ilvl w:val="0"/>
          <w:numId w:val="1020"/>
        </w:numPr>
      </w:pPr>
      <w:r>
        <w:t xml:space="preserve">La prédiction simultanée CR + RUL en protocole</w:t>
      </w:r>
      <w:r>
        <w:t xml:space="preserve"> </w:t>
      </w:r>
      <w:r>
        <w:rPr>
          <w:i/>
          <w:iCs/>
        </w:rPr>
        <w:t xml:space="preserve">run-to-failure</w:t>
      </w:r>
      <w:r>
        <w:t xml:space="preserve"> </w:t>
      </w:r>
      <w:r>
        <w:t xml:space="preserve">constitue un gap clairement identifié dans la littérature, que le présent travail vise à combler.</w:t>
      </w:r>
    </w:p>
    <w:p>
      <w:r>
        <w:pict>
          <v:rect style="width:0;height:1.5pt" o:hralign="center" o:hrstd="t" o:hr="t"/>
        </w:pict>
      </w:r>
    </w:p>
    <w:bookmarkEnd w:id="52"/>
    <w:bookmarkEnd w:id="53"/>
    <w:bookmarkStart w:id="54" w:name="i.8.-conclusion-du-chapitre-i"/>
    <w:p>
      <w:pPr>
        <w:pStyle w:val="Heading2"/>
      </w:pPr>
      <w:r>
        <w:t xml:space="preserve">I.8. Conclusion du Chapitre I</w:t>
      </w:r>
    </w:p>
    <w:p>
      <w:pPr>
        <w:pStyle w:val="FirstParagraph"/>
      </w:pPr>
      <w:r>
        <w:t xml:space="preserve">Ce premier chapitre a permis de poser les bases théoriques, normatives et contextuelles du présent travail. La revue de la littérature a établi les mécanismes électrochimiques de la corrosion, les méthodes de surveillance disponibles, les limites des modèles prédictifs classiques, l’état de l’art récent sur l’apprentissage automatique appliqué à la corrosion (XGBoost, SHAP, RUL), ainsi que le cadre conceptuel Industrie 3.0 / Industrie 4.0 (Lasi et al., 2014 ; Lu, 2017 ; Xu et al., 2018). Le contexte international (étude IMPACT NACE, 2,5 billions USD/an), national (cadre normatif camerounais) et zonal (réseau COTCO Tchad-Cameroun) a mis en évidence que l’instrumentation ER existe déjà chez les opérateurs majeurs comme COTCO, mais que son exploitation reste limitée à un niveau Industrie 3.0. Le besoin opérationnel n’est donc pas la sonde ER en tant que telle, mais bien l’intelligence applicative, la couche prédictive et la chaîne décision-action, qui caractérise la transition Industrie 4.0. La problématique, les objectifs spécifiques et les questions de recherche ont été formulés en cohérence avec ce besoin. Le Chapitre II présente à présent les outils et la méthodologie retenus pour répondre à ces objectifs, en commençant par une justification des choix technologiques.</w:t>
      </w:r>
    </w:p>
    <w:p>
      <w:r>
        <w:br w:type="page"/>
      </w:r>
    </w:p>
    <w:bookmarkEnd w:id="54"/>
    <w:bookmarkEnd w:id="55"/>
    <w:bookmarkStart w:id="116" w:name="chapitre-ii-outils-et-méthodes"/>
    <w:p>
      <w:pPr>
        <w:pStyle w:val="Heading1"/>
      </w:pPr>
      <w:r>
        <w:t xml:space="preserve">CHAPITRE II : OUTILS ET MÉTHODES</w:t>
      </w:r>
    </w:p>
    <w:p>
      <w:pPr>
        <w:pStyle w:val="FirstParagraph"/>
      </w:pPr>
      <w:r>
        <w:t xml:space="preserve">Sommaire du Chapitre II</w:t>
      </w:r>
    </w:p>
    <w:p>
      <w:pPr>
        <w:pStyle w:val="Compact"/>
        <w:numPr>
          <w:ilvl w:val="0"/>
          <w:numId w:val="1021"/>
        </w:numPr>
      </w:pPr>
      <w:r>
        <w:t xml:space="preserve">II.0. Introduction</w:t>
      </w:r>
    </w:p>
    <w:p>
      <w:pPr>
        <w:pStyle w:val="Compact"/>
        <w:numPr>
          <w:ilvl w:val="0"/>
          <w:numId w:val="1021"/>
        </w:numPr>
      </w:pPr>
      <w:r>
        <w:t xml:space="preserve">II.0.5. Justification des choix technologiques</w:t>
      </w:r>
    </w:p>
    <w:p>
      <w:pPr>
        <w:pStyle w:val="Compact"/>
        <w:numPr>
          <w:ilvl w:val="0"/>
          <w:numId w:val="1021"/>
        </w:numPr>
      </w:pPr>
      <w:r>
        <w:t xml:space="preserve">II.1. Cadre de l’étude</w:t>
      </w:r>
    </w:p>
    <w:p>
      <w:pPr>
        <w:pStyle w:val="Compact"/>
        <w:numPr>
          <w:ilvl w:val="0"/>
          <w:numId w:val="1021"/>
        </w:numPr>
      </w:pPr>
      <w:r>
        <w:t xml:space="preserve">II.2. Présentation du prototype de mesure ER</w:t>
      </w:r>
    </w:p>
    <w:p>
      <w:pPr>
        <w:pStyle w:val="Compact"/>
        <w:numPr>
          <w:ilvl w:val="0"/>
          <w:numId w:val="1021"/>
        </w:numPr>
      </w:pPr>
      <w:r>
        <w:t xml:space="preserve">II.3. Matériels mobilisés</w:t>
      </w:r>
    </w:p>
    <w:p>
      <w:pPr>
        <w:pStyle w:val="Compact"/>
        <w:numPr>
          <w:ilvl w:val="0"/>
          <w:numId w:val="1021"/>
        </w:numPr>
      </w:pPr>
      <w:r>
        <w:t xml:space="preserve">II.4. Méthodes d’acquisition et de traitement des données</w:t>
      </w:r>
    </w:p>
    <w:p>
      <w:pPr>
        <w:pStyle w:val="Compact"/>
        <w:numPr>
          <w:ilvl w:val="0"/>
          <w:numId w:val="1021"/>
        </w:numPr>
      </w:pPr>
      <w:r>
        <w:t xml:space="preserve">II.5. Méthodologie d’entraînement du modèle XGBoost</w:t>
      </w:r>
    </w:p>
    <w:p>
      <w:pPr>
        <w:pStyle w:val="Compact"/>
        <w:numPr>
          <w:ilvl w:val="0"/>
          <w:numId w:val="1021"/>
        </w:numPr>
      </w:pPr>
      <w:r>
        <w:t xml:space="preserve">II.6. Protocole expérimental run-to-failure</w:t>
      </w:r>
    </w:p>
    <w:p>
      <w:pPr>
        <w:pStyle w:val="Compact"/>
        <w:numPr>
          <w:ilvl w:val="0"/>
          <w:numId w:val="1021"/>
        </w:numPr>
      </w:pPr>
      <w:r>
        <w:t xml:space="preserve">II.7. Boucle décision → action : module GMAO intégré, transposable à un CMMS open-source</w:t>
      </w:r>
    </w:p>
    <w:p>
      <w:pPr>
        <w:pStyle w:val="Compact"/>
        <w:numPr>
          <w:ilvl w:val="0"/>
          <w:numId w:val="1021"/>
        </w:numPr>
      </w:pPr>
      <w:r>
        <w:t xml:space="preserve">II.8. Tableau synoptique de la démarche méthodologique</w:t>
      </w:r>
    </w:p>
    <w:p>
      <w:pPr>
        <w:pStyle w:val="Compact"/>
        <w:numPr>
          <w:ilvl w:val="0"/>
          <w:numId w:val="1021"/>
        </w:numPr>
      </w:pPr>
      <w:r>
        <w:t xml:space="preserve">II.9. Conclusion</w:t>
      </w:r>
    </w:p>
    <w:p>
      <w:r>
        <w:pict>
          <v:rect style="width:0;height:1.5pt" o:hralign="center" o:hrstd="t" o:hr="t"/>
        </w:pict>
      </w:r>
    </w:p>
    <w:bookmarkStart w:id="56" w:name="ii.0.-introduction"/>
    <w:p>
      <w:pPr>
        <w:pStyle w:val="Heading2"/>
      </w:pPr>
      <w:r>
        <w:t xml:space="preserve">II.0. Introduction</w:t>
      </w:r>
    </w:p>
    <w:p>
      <w:pPr>
        <w:pStyle w:val="FirstParagraph"/>
      </w:pPr>
      <w:r>
        <w:t xml:space="preserve">Dans ce chapitre, il sera question de présenter (i) la justification des choix technologiques mobilisés à chaque étage du prototype (matrice de décision pour chaque brique : microcontrôleur, amplificateur, capteur de température, méthode de mesure de la corrosion, algorithme ML, méthode de validation, frontend, CMMS), (ii) le cadre institutionnel et physique de l’étude, (iii) l’architecture du prototype de sonde ER développé (description et principe de fonctionnement), (iv) l’ensemble des matériels mobilisés, (v) les méthodes d’acquisition et de traitement des données, (vi) la méthodologie d’entraînement du modèle XGBoost (validation</w:t>
      </w:r>
      <w:r>
        <w:t xml:space="preserve"> </w:t>
      </w:r>
      <w:r>
        <w:rPr>
          <w:i/>
          <w:iCs/>
        </w:rPr>
        <w:t xml:space="preserve">leave-one-run-out</w:t>
      </w:r>
      <w:r>
        <w:t xml:space="preserve">, hyperparamètres, interprétabilité SHAP), (vii) le protocole expérimental</w:t>
      </w:r>
      <w:r>
        <w:t xml:space="preserve"> </w:t>
      </w:r>
      <w:r>
        <w:rPr>
          <w:i/>
          <w:iCs/>
        </w:rPr>
        <w:t xml:space="preserve">run-to-failure</w:t>
      </w:r>
      <w:r>
        <w:t xml:space="preserve"> </w:t>
      </w:r>
      <w:r>
        <w:t xml:space="preserve">en série répétée, la boucle décision → action par module GMAO maison (transposable à un CMMS open-source), et (viii) le tableau synoptique de la démarche méthodologique.</w:t>
      </w:r>
    </w:p>
    <w:p>
      <w:r>
        <w:pict>
          <v:rect style="width:0;height:1.5pt" o:hralign="center" o:hrstd="t" o:hr="t"/>
        </w:pict>
      </w:r>
    </w:p>
    <w:bookmarkEnd w:id="56"/>
    <w:bookmarkStart w:id="66" w:name="X62ea5ddf2e1ede1242e044d64cd8fe90dc891d0"/>
    <w:p>
      <w:pPr>
        <w:pStyle w:val="Heading2"/>
      </w:pPr>
      <w:r>
        <w:t xml:space="preserve">II.0.5. Justification des choix technologiques</w:t>
      </w:r>
    </w:p>
    <w:p>
      <w:pPr>
        <w:pStyle w:val="FirstParagraph"/>
      </w:pPr>
      <w:r>
        <w:t xml:space="preserve">Cette section consolide en un seul endroit les arbitrages techniques qui sous-tendent l’ensemble du prototype, sous forme de matrices de décision. Pour chaque brique, sont précisés (i) les options envisagées, (ii) les critères de comparaison retenus, (iii) le choix retenu et son motif décisif, (iv) la limite acceptée. Les justifications détaillées des paramètres de chaque composant retenu sont reprises dans les sections §II.2 à §II.7 correspondantes.</w:t>
      </w:r>
    </w:p>
    <w:bookmarkStart w:id="57" w:name="ii.0.5.1.-microcontrôleur-esp32"/>
    <w:p>
      <w:pPr>
        <w:pStyle w:val="Heading3"/>
      </w:pPr>
      <w:r>
        <w:t xml:space="preserve">II.0.5.1. Microcontrôleur — ESP32</w:t>
      </w:r>
    </w:p>
    <w:p>
      <w:pPr>
        <w:pStyle w:val="TableCaption"/>
        <w:jc w:val="center"/>
      </w:pPr>
      <w:r>
        <w:t xml:space="preserve">Tableau II.0.1 — Comparaison des microcontrôleurs candidats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shd w:val="clear" w:color="auto" w:fill="EFEFEF"/>
          </w:tcPr>
          <w:p>
            <w:pPr>
              <w:pStyle w:val="Compact"/>
            </w:pPr>
            <w:r>
              <w:t xml:space="preserve">Microcontrôleur</w:t>
            </w:r>
          </w:p>
        </w:tc>
        <w:tc>
          <w:tcPr>
            <w:shd w:val="clear" w:color="auto" w:fill="EFEFEF"/>
          </w:tcPr>
          <w:p>
            <w:pPr>
              <w:pStyle w:val="Compact"/>
            </w:pPr>
            <w:r>
              <w:t xml:space="preserve">Coût</w:t>
            </w:r>
          </w:p>
        </w:tc>
        <w:tc>
          <w:tcPr>
            <w:shd w:val="clear" w:color="auto" w:fill="EFEFEF"/>
          </w:tcPr>
          <w:p>
            <w:pPr>
              <w:pStyle w:val="Compact"/>
            </w:pPr>
            <w:r>
              <w:t xml:space="preserve">Wi-Fi/BLE</w:t>
            </w:r>
          </w:p>
        </w:tc>
        <w:tc>
          <w:tcPr>
            <w:shd w:val="clear" w:color="auto" w:fill="EFEFEF"/>
          </w:tcPr>
          <w:p>
            <w:pPr>
              <w:pStyle w:val="Compact"/>
            </w:pPr>
            <w:r>
              <w:t xml:space="preserve">Deep sleep (µA)</w:t>
            </w:r>
          </w:p>
        </w:tc>
        <w:tc>
          <w:tcPr>
            <w:shd w:val="clear" w:color="auto" w:fill="EFEFEF"/>
          </w:tcPr>
          <w:p>
            <w:pPr>
              <w:pStyle w:val="Compact"/>
            </w:pPr>
            <w:r>
              <w:t xml:space="preserve">I/O</w:t>
            </w:r>
          </w:p>
        </w:tc>
        <w:tc>
          <w:tcPr>
            <w:shd w:val="clear" w:color="auto" w:fill="EFEFEF"/>
          </w:tcPr>
          <w:p>
            <w:pPr>
              <w:pStyle w:val="Compact"/>
            </w:pPr>
            <w:r>
              <w:t xml:space="preserve">Verdict</w:t>
            </w:r>
          </w:p>
        </w:tc>
      </w:tr>
      <w:tr>
        <w:tc>
          <w:tcPr/>
          <w:p>
            <w:pPr>
              <w:pStyle w:val="Compact"/>
            </w:pPr>
            <w:r>
              <w:t xml:space="preserve">Arduino Uno</w:t>
            </w:r>
          </w:p>
        </w:tc>
        <w:tc>
          <w:tcPr/>
          <w:p>
            <w:pPr>
              <w:pStyle w:val="Compact"/>
            </w:pPr>
            <w:r>
              <w:t xml:space="preserve">5 000 FCFA</w:t>
            </w:r>
          </w:p>
        </w:tc>
        <w:tc>
          <w:tcPr/>
          <w:p>
            <w:pPr>
              <w:pStyle w:val="Compact"/>
            </w:pPr>
            <w:r>
              <w:t xml:space="preserve">❌ (modules externes)</w:t>
            </w:r>
          </w:p>
        </w:tc>
        <w:tc>
          <w:tcPr/>
          <w:p>
            <w:pPr>
              <w:pStyle w:val="Compact"/>
            </w:pPr>
            <w:r>
              <w:t xml:space="preserve">~15 mA (dérives)</w:t>
            </w:r>
          </w:p>
        </w:tc>
        <w:tc>
          <w:tcPr/>
          <w:p>
            <w:pPr>
              <w:pStyle w:val="Compact"/>
            </w:pPr>
            <w:r>
              <w:t xml:space="preserve">14 D + 6 A</w:t>
            </w:r>
          </w:p>
        </w:tc>
        <w:tc>
          <w:tcPr/>
          <w:p>
            <w:pPr>
              <w:pStyle w:val="Compact"/>
            </w:pPr>
            <w:r>
              <w:t xml:space="preserve">Insuffisant pour IoT autonome</w:t>
            </w:r>
          </w:p>
        </w:tc>
      </w:tr>
      <w:tr>
        <w:tc>
          <w:tcPr/>
          <w:p>
            <w:pPr>
              <w:pStyle w:val="Compact"/>
            </w:pPr>
            <w:r>
              <w:t xml:space="preserve">Raspberry Pi Zero W</w:t>
            </w:r>
          </w:p>
        </w:tc>
        <w:tc>
          <w:tcPr/>
          <w:p>
            <w:pPr>
              <w:pStyle w:val="Compact"/>
            </w:pPr>
            <w:r>
              <w:t xml:space="preserve">12 000 FCFA</w:t>
            </w:r>
          </w:p>
        </w:tc>
        <w:tc>
          <w:tcPr/>
          <w:p>
            <w:pPr>
              <w:pStyle w:val="Compact"/>
            </w:pPr>
            <w:r>
              <w:t xml:space="preserve">✅</w:t>
            </w:r>
          </w:p>
        </w:tc>
        <w:tc>
          <w:tcPr/>
          <w:p>
            <w:pPr>
              <w:pStyle w:val="Compact"/>
            </w:pPr>
            <w:r>
              <w:t xml:space="preserve">~80 mA</w:t>
            </w:r>
          </w:p>
        </w:tc>
        <w:tc>
          <w:tcPr/>
          <w:p>
            <w:pPr>
              <w:pStyle w:val="Compact"/>
            </w:pPr>
            <w:r>
              <w:t xml:space="preserve">40 GPIO</w:t>
            </w:r>
          </w:p>
        </w:tc>
        <w:tc>
          <w:tcPr/>
          <w:p>
            <w:pPr>
              <w:pStyle w:val="Compact"/>
            </w:pPr>
            <w:r>
              <w:t xml:space="preserve">Surdimensionné, OS Linux complet</w:t>
            </w:r>
          </w:p>
        </w:tc>
      </w:tr>
      <w:tr>
        <w:tc>
          <w:tcPr/>
          <w:p>
            <w:pPr>
              <w:pStyle w:val="Compact"/>
            </w:pPr>
            <w:r>
              <w:t xml:space="preserve">ESP32 (DevKit v1)</w:t>
            </w:r>
          </w:p>
        </w:tc>
        <w:tc>
          <w:tcPr/>
          <w:p>
            <w:pPr>
              <w:pStyle w:val="Compact"/>
            </w:pPr>
            <w:r>
              <w:t xml:space="preserve">6 000 FCFA</w:t>
            </w:r>
          </w:p>
        </w:tc>
        <w:tc>
          <w:tcPr/>
          <w:p>
            <w:pPr>
              <w:pStyle w:val="Compact"/>
            </w:pPr>
            <w:r>
              <w:t xml:space="preserve">✅ Wi-Fi + BLE intégré</w:t>
            </w:r>
          </w:p>
        </w:tc>
        <w:tc>
          <w:tcPr/>
          <w:p>
            <w:pPr>
              <w:pStyle w:val="Compact"/>
            </w:pPr>
            <w:r>
              <w:t xml:space="preserve">~10 µA en deep sleep RTC</w:t>
            </w:r>
          </w:p>
        </w:tc>
        <w:tc>
          <w:tcPr/>
          <w:p>
            <w:pPr>
              <w:pStyle w:val="Compact"/>
            </w:pPr>
            <w:r>
              <w:t xml:space="preserve">34 GPIO</w:t>
            </w:r>
          </w:p>
        </w:tc>
        <w:tc>
          <w:tcPr/>
          <w:p>
            <w:pPr>
              <w:pStyle w:val="Compact"/>
            </w:pPr>
            <w:r>
              <w:t xml:space="preserve">Retenu</w:t>
            </w:r>
          </w:p>
        </w:tc>
      </w:tr>
      <w:tr>
        <w:tc>
          <w:tcPr/>
          <w:p>
            <w:pPr>
              <w:pStyle w:val="Compact"/>
            </w:pPr>
            <w:r>
              <w:t xml:space="preserve">ESP8266</w:t>
            </w:r>
          </w:p>
        </w:tc>
        <w:tc>
          <w:tcPr/>
          <w:p>
            <w:pPr>
              <w:pStyle w:val="Compact"/>
            </w:pPr>
            <w:r>
              <w:t xml:space="preserve">4 000 FCFA</w:t>
            </w:r>
          </w:p>
        </w:tc>
        <w:tc>
          <w:tcPr/>
          <w:p>
            <w:pPr>
              <w:pStyle w:val="Compact"/>
            </w:pPr>
            <w:r>
              <w:t xml:space="preserve">✅ Wi-Fi seul</w:t>
            </w:r>
          </w:p>
        </w:tc>
        <w:tc>
          <w:tcPr/>
          <w:p>
            <w:pPr>
              <w:pStyle w:val="Compact"/>
            </w:pPr>
            <w:r>
              <w:t xml:space="preserve">~20 µA</w:t>
            </w:r>
          </w:p>
        </w:tc>
        <w:tc>
          <w:tcPr/>
          <w:p>
            <w:pPr>
              <w:pStyle w:val="Compact"/>
            </w:pPr>
            <w:r>
              <w:t xml:space="preserve">17 GPIO</w:t>
            </w:r>
          </w:p>
        </w:tc>
        <w:tc>
          <w:tcPr/>
          <w:p>
            <w:pPr>
              <w:pStyle w:val="Compact"/>
            </w:pPr>
            <w:r>
              <w:t xml:space="preserve">Pas de BLE, ADC moins précis</w:t>
            </w:r>
          </w:p>
        </w:tc>
      </w:tr>
    </w:tbl>
    <w:p>
      <w:pPr>
        <w:pStyle w:val="BodyText"/>
      </w:pPr>
      <w:r>
        <w:t xml:space="preserve">Choix retenu : ESP32. Critère décisif : compromis optimal entre Wi-Fi/BLE intégré (suppression du besoin d’un module externe), faible consommation en deep sleep (compatible avec un déploiement sur batterie pendant plusieurs jours), et large communauté pour le firmware Arduino-compatible. Limite acceptée : pas de durcissement industriel ATEX, qui n’est pas un objectif au stade du prototype académique.</w:t>
      </w:r>
    </w:p>
    <w:bookmarkEnd w:id="57"/>
    <w:bookmarkStart w:id="58" w:name="X20041fb2fa14f66b4f5ff57eed04a477f146576"/>
    <w:p>
      <w:pPr>
        <w:pStyle w:val="Heading3"/>
      </w:pPr>
      <w:r>
        <w:t xml:space="preserve">II.0.5.2. Amplificateur et convertisseur 24 bits — HX711</w:t>
      </w:r>
    </w:p>
    <w:p>
      <w:pPr>
        <w:pStyle w:val="TableCaption"/>
        <w:jc w:val="center"/>
      </w:pPr>
      <w:r>
        <w:t xml:space="preserve">Tableau II.0.2 — Comparaison des amplificateurs / convertisseurs différentiels envisagés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shd w:val="clear" w:color="auto" w:fill="EFEFEF"/>
          </w:tcPr>
          <w:p>
            <w:pPr>
              <w:pStyle w:val="Compact"/>
            </w:pPr>
            <w:r>
              <w:t xml:space="preserve">Amplificateur</w:t>
            </w:r>
          </w:p>
        </w:tc>
        <w:tc>
          <w:tcPr>
            <w:shd w:val="clear" w:color="auto" w:fill="EFEFEF"/>
          </w:tcPr>
          <w:p>
            <w:pPr>
              <w:pStyle w:val="Compact"/>
            </w:pPr>
            <w:r>
              <w:t xml:space="preserve">Résolution</w:t>
            </w:r>
          </w:p>
        </w:tc>
        <w:tc>
          <w:tcPr>
            <w:shd w:val="clear" w:color="auto" w:fill="EFEFEF"/>
          </w:tcPr>
          <w:p>
            <w:pPr>
              <w:pStyle w:val="Compact"/>
            </w:pPr>
            <w:r>
              <w:t xml:space="preserve">Disponibilité Cameroun</w:t>
            </w:r>
          </w:p>
        </w:tc>
        <w:tc>
          <w:tcPr>
            <w:shd w:val="clear" w:color="auto" w:fill="EFEFEF"/>
          </w:tcPr>
          <w:p>
            <w:pPr>
              <w:pStyle w:val="Compact"/>
            </w:pPr>
            <w:r>
              <w:t xml:space="preserve">Librairies</w:t>
            </w:r>
          </w:p>
        </w:tc>
        <w:tc>
          <w:tcPr>
            <w:shd w:val="clear" w:color="auto" w:fill="EFEFEF"/>
          </w:tcPr>
          <w:p>
            <w:pPr>
              <w:pStyle w:val="Compact"/>
            </w:pPr>
            <w:r>
              <w:t xml:space="preserve">Coût</w:t>
            </w:r>
          </w:p>
        </w:tc>
        <w:tc>
          <w:tcPr>
            <w:shd w:val="clear" w:color="auto" w:fill="EFEFEF"/>
          </w:tcPr>
          <w:p>
            <w:pPr>
              <w:pStyle w:val="Compact"/>
            </w:pPr>
            <w:r>
              <w:t xml:space="preserve">Verdict</w:t>
            </w:r>
          </w:p>
        </w:tc>
      </w:tr>
      <w:tr>
        <w:tc>
          <w:tcPr/>
          <w:p>
            <w:pPr>
              <w:pStyle w:val="Compact"/>
            </w:pPr>
            <w:r>
              <w:t xml:space="preserve">INA125</w:t>
            </w:r>
          </w:p>
        </w:tc>
        <w:tc>
          <w:tcPr/>
          <w:p>
            <w:pPr>
              <w:pStyle w:val="Compact"/>
            </w:pPr>
            <w:r>
              <w:t xml:space="preserve">12 bits effectifs</w:t>
            </w:r>
          </w:p>
        </w:tc>
        <w:tc>
          <w:tcPr/>
          <w:p>
            <w:pPr>
              <w:pStyle w:val="Compact"/>
            </w:pPr>
            <w:r>
              <w:t xml:space="preserve">Faible</w:t>
            </w:r>
          </w:p>
        </w:tc>
        <w:tc>
          <w:tcPr/>
          <w:p>
            <w:pPr>
              <w:pStyle w:val="Compact"/>
            </w:pPr>
            <w:r>
              <w:t xml:space="preserve">Limitées</w:t>
            </w:r>
          </w:p>
        </w:tc>
        <w:tc>
          <w:tcPr/>
          <w:p>
            <w:pPr>
              <w:pStyle w:val="Compact"/>
            </w:pPr>
            <w:r>
              <w:t xml:space="preserve">8 000 FCFA</w:t>
            </w:r>
          </w:p>
        </w:tc>
        <w:tc>
          <w:tcPr/>
          <w:p>
            <w:pPr>
              <w:pStyle w:val="Compact"/>
            </w:pPr>
            <w:r>
              <w:t xml:space="preserve">Résolution insuffisante</w:t>
            </w:r>
          </w:p>
        </w:tc>
      </w:tr>
      <w:tr>
        <w:tc>
          <w:tcPr/>
          <w:p>
            <w:pPr>
              <w:pStyle w:val="Compact"/>
            </w:pPr>
            <w:r>
              <w:t xml:space="preserve">AD7793</w:t>
            </w:r>
          </w:p>
        </w:tc>
        <w:tc>
          <w:tcPr/>
          <w:p>
            <w:pPr>
              <w:pStyle w:val="Compact"/>
            </w:pPr>
            <w:r>
              <w:t xml:space="preserve">24 bits, faible bruit</w:t>
            </w:r>
          </w:p>
        </w:tc>
        <w:tc>
          <w:tcPr/>
          <w:p>
            <w:pPr>
              <w:pStyle w:val="Compact"/>
            </w:pPr>
            <w:r>
              <w:t xml:space="preserve">Très faible (import)</w:t>
            </w:r>
          </w:p>
        </w:tc>
        <w:tc>
          <w:tcPr/>
          <w:p>
            <w:pPr>
              <w:pStyle w:val="Compact"/>
            </w:pPr>
            <w:r>
              <w:t xml:space="preserve">Moyennes</w:t>
            </w:r>
          </w:p>
        </w:tc>
        <w:tc>
          <w:tcPr/>
          <w:p>
            <w:pPr>
              <w:pStyle w:val="Compact"/>
            </w:pPr>
            <w:r>
              <w:t xml:space="preserve">25 000 FCFA</w:t>
            </w:r>
          </w:p>
        </w:tc>
        <w:tc>
          <w:tcPr/>
          <w:p>
            <w:pPr>
              <w:pStyle w:val="Compact"/>
            </w:pPr>
            <w:r>
              <w:t xml:space="preserve">Excellent mais coût + dispo</w:t>
            </w:r>
          </w:p>
        </w:tc>
      </w:tr>
      <w:tr>
        <w:tc>
          <w:tcPr/>
          <w:p>
            <w:pPr>
              <w:pStyle w:val="Compact"/>
            </w:pPr>
            <w:r>
              <w:t xml:space="preserve">HX711</w:t>
            </w:r>
          </w:p>
        </w:tc>
        <w:tc>
          <w:tcPr/>
          <w:p>
            <w:pPr>
              <w:pStyle w:val="Compact"/>
            </w:pPr>
            <w:r>
              <w:t xml:space="preserve">24 bits, gain 64</w:t>
            </w:r>
          </w:p>
        </w:tc>
        <w:tc>
          <w:tcPr/>
          <w:p>
            <w:pPr>
              <w:pStyle w:val="Compact"/>
            </w:pPr>
            <w:r>
              <w:t xml:space="preserve">Élevée (modules ready-made)</w:t>
            </w:r>
          </w:p>
        </w:tc>
        <w:tc>
          <w:tcPr/>
          <w:p>
            <w:pPr>
              <w:pStyle w:val="Compact"/>
            </w:pPr>
            <w:r>
              <w:t xml:space="preserve">Très matures (Arduino, ESP32)</w:t>
            </w:r>
          </w:p>
        </w:tc>
        <w:tc>
          <w:tcPr/>
          <w:p>
            <w:pPr>
              <w:pStyle w:val="Compact"/>
            </w:pPr>
            <w:r>
              <w:t xml:space="preserve">2 500 FCFA</w:t>
            </w:r>
          </w:p>
        </w:tc>
        <w:tc>
          <w:tcPr/>
          <w:p>
            <w:pPr>
              <w:pStyle w:val="Compact"/>
            </w:pPr>
            <w:r>
              <w:t xml:space="preserve">Retenu</w:t>
            </w:r>
          </w:p>
        </w:tc>
      </w:tr>
    </w:tbl>
    <w:p>
      <w:pPr>
        <w:pStyle w:val="BodyText"/>
      </w:pPr>
      <w:r>
        <w:t xml:space="preserve">Choix retenu : HX711. Critère décisif : 24 bits de résolution effective sur une tension différentielle à très faible amplitude (</w:t>
      </w:r>
      <w:r>
        <w:rPr>
          <w:i/>
          <w:iCs/>
        </w:rPr>
        <w:t xml:space="preserve">V</w:t>
      </w:r>
      <w:r>
        <w:t xml:space="preserve">_sense ~ mV), couplés à une excellente disponibilité locale (modules pré-câblés vendus en kit) et une intégration logicielle triviale. Limite acceptée : taux d’échantillonnage maximum 80 Hz (largement suffisant pour la corrosion lente, à période de 30 s).</w:t>
      </w:r>
    </w:p>
    <w:bookmarkEnd w:id="58"/>
    <w:bookmarkStart w:id="59" w:name="ii.0.5.3.-capteur-de-température-ds18b20"/>
    <w:p>
      <w:pPr>
        <w:pStyle w:val="Heading3"/>
      </w:pPr>
      <w:r>
        <w:t xml:space="preserve">II.0.5.3. Capteur de température — DS18B20</w:t>
      </w:r>
    </w:p>
    <w:p>
      <w:pPr>
        <w:pStyle w:val="TableCaption"/>
        <w:jc w:val="center"/>
      </w:pPr>
      <w:r>
        <w:t xml:space="preserve">Tableau II.0.3 — Comparaison des capteurs de température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shd w:val="clear" w:color="auto" w:fill="EFEFEF"/>
          </w:tcPr>
          <w:p>
            <w:pPr>
              <w:pStyle w:val="Compact"/>
            </w:pPr>
            <w:r>
              <w:t xml:space="preserve">Capteur</w:t>
            </w:r>
          </w:p>
        </w:tc>
        <w:tc>
          <w:tcPr>
            <w:shd w:val="clear" w:color="auto" w:fill="EFEFEF"/>
          </w:tcPr>
          <w:p>
            <w:pPr>
              <w:pStyle w:val="Compact"/>
            </w:pPr>
            <w:r>
              <w:t xml:space="preserve">Précision</w:t>
            </w:r>
          </w:p>
        </w:tc>
        <w:tc>
          <w:tcPr>
            <w:shd w:val="clear" w:color="auto" w:fill="EFEFEF"/>
          </w:tcPr>
          <w:p>
            <w:pPr>
              <w:pStyle w:val="Compact"/>
            </w:pPr>
            <w:r>
              <w:t xml:space="preserve">Interface</w:t>
            </w:r>
          </w:p>
        </w:tc>
        <w:tc>
          <w:tcPr>
            <w:shd w:val="clear" w:color="auto" w:fill="EFEFEF"/>
          </w:tcPr>
          <w:p>
            <w:pPr>
              <w:pStyle w:val="Compact"/>
            </w:pPr>
            <w:r>
              <w:t xml:space="preserve">Étanchéité</w:t>
            </w:r>
          </w:p>
        </w:tc>
        <w:tc>
          <w:tcPr>
            <w:shd w:val="clear" w:color="auto" w:fill="EFEFEF"/>
          </w:tcPr>
          <w:p>
            <w:pPr>
              <w:pStyle w:val="Compact"/>
            </w:pPr>
            <w:r>
              <w:t xml:space="preserve">Verdict</w:t>
            </w:r>
          </w:p>
        </w:tc>
      </w:tr>
      <w:tr>
        <w:tc>
          <w:tcPr/>
          <w:p>
            <w:pPr>
              <w:pStyle w:val="Compact"/>
            </w:pPr>
            <w:r>
              <w:t xml:space="preserve">LM35</w:t>
            </w:r>
          </w:p>
        </w:tc>
        <w:tc>
          <w:tcPr/>
          <w:p>
            <w:pPr>
              <w:pStyle w:val="Compact"/>
            </w:pPr>
            <w:r>
              <w:t xml:space="preserve">±0,5 °C analogique</w:t>
            </w:r>
          </w:p>
        </w:tc>
        <w:tc>
          <w:tcPr/>
          <w:p>
            <w:pPr>
              <w:pStyle w:val="Compact"/>
            </w:pPr>
            <w:r>
              <w:t xml:space="preserve">Analogique</w:t>
            </w:r>
          </w:p>
        </w:tc>
        <w:tc>
          <w:tcPr/>
          <w:p>
            <w:pPr>
              <w:pStyle w:val="Compact"/>
            </w:pPr>
            <w:r>
              <w:t xml:space="preserve">Non étanche</w:t>
            </w:r>
          </w:p>
        </w:tc>
        <w:tc>
          <w:tcPr/>
          <w:p>
            <w:pPr>
              <w:pStyle w:val="Compact"/>
            </w:pPr>
            <w:r>
              <w:t xml:space="preserve">Convertisseur ADC requis, pas étanche pour milieu acide</w:t>
            </w:r>
          </w:p>
        </w:tc>
      </w:tr>
      <w:tr>
        <w:tc>
          <w:tcPr/>
          <w:p>
            <w:pPr>
              <w:pStyle w:val="Compact"/>
            </w:pPr>
            <w:r>
              <w:t xml:space="preserve">Pt100</w:t>
            </w:r>
          </w:p>
        </w:tc>
        <w:tc>
          <w:tcPr/>
          <w:p>
            <w:pPr>
              <w:pStyle w:val="Compact"/>
            </w:pPr>
            <w:r>
              <w:t xml:space="preserve">±0,1 °C</w:t>
            </w:r>
          </w:p>
        </w:tc>
        <w:tc>
          <w:tcPr/>
          <w:p>
            <w:pPr>
              <w:pStyle w:val="Compact"/>
            </w:pPr>
            <w:r>
              <w:t xml:space="preserve">Analogique 4 fils</w:t>
            </w:r>
          </w:p>
        </w:tc>
        <w:tc>
          <w:tcPr/>
          <w:p>
            <w:pPr>
              <w:pStyle w:val="Compact"/>
            </w:pPr>
            <w:r>
              <w:t xml:space="preserve">Selon montage</w:t>
            </w:r>
          </w:p>
        </w:tc>
        <w:tc>
          <w:tcPr/>
          <w:p>
            <w:pPr>
              <w:pStyle w:val="Compact"/>
            </w:pPr>
            <w:r>
              <w:t xml:space="preserve">Précision excellente mais conditionnement complexe</w:t>
            </w:r>
          </w:p>
        </w:tc>
      </w:tr>
      <w:tr>
        <w:tc>
          <w:tcPr/>
          <w:p>
            <w:pPr>
              <w:pStyle w:val="Compact"/>
            </w:pPr>
            <w:r>
              <w:t xml:space="preserve">DS18B20</w:t>
            </w:r>
          </w:p>
        </w:tc>
        <w:tc>
          <w:tcPr/>
          <w:p>
            <w:pPr>
              <w:pStyle w:val="Compact"/>
            </w:pPr>
            <w:r>
              <w:t xml:space="preserve">±0,5 °C</w:t>
            </w:r>
          </w:p>
        </w:tc>
        <w:tc>
          <w:tcPr/>
          <w:p>
            <w:pPr>
              <w:pStyle w:val="Compact"/>
            </w:pPr>
            <w:r>
              <w:t xml:space="preserve">1-Wire numérique</w:t>
            </w:r>
          </w:p>
        </w:tc>
        <w:tc>
          <w:tcPr/>
          <w:p>
            <w:pPr>
              <w:pStyle w:val="Compact"/>
            </w:pPr>
            <w:r>
              <w:t xml:space="preserve">Sondes étanches disponibles</w:t>
            </w:r>
          </w:p>
        </w:tc>
        <w:tc>
          <w:tcPr/>
          <w:p>
            <w:pPr>
              <w:pStyle w:val="Compact"/>
            </w:pPr>
            <w:r>
              <w:t xml:space="preserve">Retenu</w:t>
            </w:r>
          </w:p>
        </w:tc>
      </w:tr>
    </w:tbl>
    <w:p>
      <w:pPr>
        <w:pStyle w:val="BodyText"/>
      </w:pPr>
      <w:r>
        <w:t xml:space="preserve">Choix retenu : DS18B20. Critère décisif : interface numérique 1-Wire (1 seul GPIO, pas de bruit analogique), précision suffisante pour la compensation thermique (α_Fe = 6,5×10⁻³ °C⁻¹ × ±0,5 °C ≈ ±0,3 % de correction), et possibilité d’une protection étanche du capteur.</w:t>
      </w:r>
    </w:p>
    <w:p>
      <w:pPr>
        <w:pStyle w:val="BodyText"/>
      </w:pPr>
      <w:r>
        <w:t xml:space="preserve">Protection et couplage thermique du capteur (montage réel). Le DS18B20 a été protégé du milieu acide par un tube plastique étanche (corps de stylo à bille Schneider) obturé à une extrémité. Pour supprimer la lame d’air résiduelle entre le capteur et la paroi du tube, l’air étant un isolant thermique qui ralentit et fausse la réponse, le tube est rempli d’huile (huile de cuisine, substitut local et économique de l’huile silicone), qui assure un couplage thermique par conduction entre le milieu et l’élément sensible. Le remplissage d’un doigt de gant (</w:t>
      </w:r>
      <w:r>
        <w:rPr>
          <w:i/>
          <w:iCs/>
        </w:rPr>
        <w:t xml:space="preserve">thermowell</w:t>
      </w:r>
      <w:r>
        <w:t xml:space="preserve">) par un fluide caloporteur pour accélérer le temps de réponse et fiabiliser la mesure est une pratique d’instrumentation établie (Webster, 2014).</w:t>
      </w:r>
    </w:p>
    <w:bookmarkEnd w:id="59"/>
    <w:bookmarkStart w:id="60" w:name="X03dcf17e624550adf1414794a19a49d2f4aa72b"/>
    <w:p>
      <w:pPr>
        <w:pStyle w:val="Heading3"/>
      </w:pPr>
      <w:r>
        <w:t xml:space="preserve">II.0.5.4. Méthode de mesure de la corrosion — Sonde ER</w:t>
      </w:r>
    </w:p>
    <w:p>
      <w:pPr>
        <w:pStyle w:val="TableCaption"/>
        <w:jc w:val="center"/>
      </w:pPr>
      <w:r>
        <w:t xml:space="preserve">Tableau II.0.4 — Comparaison des méthodes de mesure de la corrosion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shd w:val="clear" w:color="auto" w:fill="EFEFEF"/>
          </w:tcPr>
          <w:p>
            <w:pPr>
              <w:pStyle w:val="Compact"/>
            </w:pPr>
            <w:r>
              <w:t xml:space="preserve">Méthode</w:t>
            </w:r>
          </w:p>
        </w:tc>
        <w:tc>
          <w:tcPr>
            <w:shd w:val="clear" w:color="auto" w:fill="EFEFEF"/>
          </w:tcPr>
          <w:p>
            <w:pPr>
              <w:pStyle w:val="Compact"/>
            </w:pPr>
            <w:r>
              <w:t xml:space="preserve">Continu</w:t>
            </w:r>
          </w:p>
        </w:tc>
        <w:tc>
          <w:tcPr>
            <w:shd w:val="clear" w:color="auto" w:fill="EFEFEF"/>
          </w:tcPr>
          <w:p>
            <w:pPr>
              <w:pStyle w:val="Compact"/>
            </w:pPr>
            <w:r>
              <w:t xml:space="preserve">Sans contact électrolyte direct</w:t>
            </w:r>
          </w:p>
        </w:tc>
        <w:tc>
          <w:tcPr>
            <w:shd w:val="clear" w:color="auto" w:fill="EFEFEF"/>
          </w:tcPr>
          <w:p>
            <w:pPr>
              <w:pStyle w:val="Compact"/>
            </w:pPr>
            <w:r>
              <w:t xml:space="preserve">Conformité ASTM</w:t>
            </w:r>
          </w:p>
        </w:tc>
        <w:tc>
          <w:tcPr>
            <w:shd w:val="clear" w:color="auto" w:fill="EFEFEF"/>
          </w:tcPr>
          <w:p>
            <w:pPr>
              <w:pStyle w:val="Compact"/>
            </w:pPr>
            <w:r>
              <w:t xml:space="preserve">Coût matériel</w:t>
            </w:r>
          </w:p>
        </w:tc>
        <w:tc>
          <w:tcPr>
            <w:shd w:val="clear" w:color="auto" w:fill="EFEFEF"/>
          </w:tcPr>
          <w:p>
            <w:pPr>
              <w:pStyle w:val="Compact"/>
            </w:pPr>
            <w:r>
              <w:t xml:space="preserve">Verdict</w:t>
            </w:r>
          </w:p>
        </w:tc>
      </w:tr>
      <w:tr>
        <w:tc>
          <w:tcPr/>
          <w:p>
            <w:pPr>
              <w:pStyle w:val="Compact"/>
            </w:pPr>
            <w:r>
              <w:t xml:space="preserve">Coupon gravimétrique</w:t>
            </w:r>
          </w:p>
        </w:tc>
        <w:tc>
          <w:tcPr/>
          <w:p>
            <w:pPr>
              <w:pStyle w:val="Compact"/>
            </w:pPr>
            <w:r>
              <w:t xml:space="preserve">❌ (post-mortem)</w:t>
            </w:r>
          </w:p>
        </w:tc>
        <w:tc>
          <w:tcPr/>
          <w:p>
            <w:pPr>
              <w:pStyle w:val="Compact"/>
            </w:pPr>
            <w:r>
              <w:t xml:space="preserve">✅</w:t>
            </w:r>
          </w:p>
        </w:tc>
        <w:tc>
          <w:tcPr/>
          <w:p>
            <w:pPr>
              <w:pStyle w:val="Compact"/>
            </w:pPr>
            <w:r>
              <w:t xml:space="preserve">NACE SP0775</w:t>
            </w:r>
          </w:p>
        </w:tc>
        <w:tc>
          <w:tcPr/>
          <w:p>
            <w:pPr>
              <w:pStyle w:val="Compact"/>
            </w:pPr>
            <w:r>
              <w:t xml:space="preserve">Faible</w:t>
            </w:r>
          </w:p>
        </w:tc>
        <w:tc>
          <w:tcPr/>
          <w:p>
            <w:pPr>
              <w:pStyle w:val="Compact"/>
            </w:pPr>
            <w:r>
              <w:t xml:space="preserve">Validation indépendante uniquement</w:t>
            </w:r>
          </w:p>
        </w:tc>
      </w:tr>
      <w:tr>
        <w:tc>
          <w:tcPr/>
          <w:p>
            <w:pPr>
              <w:pStyle w:val="Compact"/>
            </w:pPr>
            <w:r>
              <w:t xml:space="preserve">LPR (Linear Polarization Resistance)</w:t>
            </w:r>
          </w:p>
        </w:tc>
        <w:tc>
          <w:tcPr/>
          <w:p>
            <w:pPr>
              <w:pStyle w:val="Compact"/>
            </w:pPr>
            <w:r>
              <w:t xml:space="preserve">✅</w:t>
            </w:r>
          </w:p>
        </w:tc>
        <w:tc>
          <w:tcPr/>
          <w:p>
            <w:pPr>
              <w:pStyle w:val="Compact"/>
            </w:pPr>
            <w:r>
              <w:t xml:space="preserve">❌ (3 électrodes en contact)</w:t>
            </w:r>
          </w:p>
        </w:tc>
        <w:tc>
          <w:tcPr/>
          <w:p>
            <w:pPr>
              <w:pStyle w:val="Compact"/>
            </w:pPr>
            <w:r>
              <w:t xml:space="preserve">ASTM G59, G102</w:t>
            </w:r>
          </w:p>
        </w:tc>
        <w:tc>
          <w:tcPr/>
          <w:p>
            <w:pPr>
              <w:pStyle w:val="Compact"/>
            </w:pPr>
            <w:r>
              <w:t xml:space="preserve">Élevé (potentiostat)</w:t>
            </w:r>
          </w:p>
        </w:tc>
        <w:tc>
          <w:tcPr/>
          <w:p>
            <w:pPr>
              <w:pStyle w:val="Compact"/>
            </w:pPr>
            <w:r>
              <w:t xml:space="preserve">Risque de polluer le milieu, instrumentation chère</w:t>
            </w:r>
          </w:p>
        </w:tc>
      </w:tr>
      <w:tr>
        <w:tc>
          <w:tcPr/>
          <w:p>
            <w:pPr>
              <w:pStyle w:val="Compact"/>
            </w:pPr>
            <w:r>
              <w:t xml:space="preserve">ER (Electrical Resistance)</w:t>
            </w:r>
          </w:p>
        </w:tc>
        <w:tc>
          <w:tcPr/>
          <w:p>
            <w:pPr>
              <w:pStyle w:val="Compact"/>
            </w:pPr>
            <w:r>
              <w:t xml:space="preserve">✅</w:t>
            </w:r>
          </w:p>
        </w:tc>
        <w:tc>
          <w:tcPr/>
          <w:p>
            <w:pPr>
              <w:pStyle w:val="Compact"/>
            </w:pPr>
            <w:r>
              <w:t xml:space="preserve">✅ (élément métallique simple)</w:t>
            </w:r>
          </w:p>
        </w:tc>
        <w:tc>
          <w:tcPr/>
          <w:p>
            <w:pPr>
              <w:pStyle w:val="Compact"/>
            </w:pPr>
            <w:r>
              <w:t xml:space="preserve">ASTM G96</w:t>
            </w:r>
          </w:p>
        </w:tc>
        <w:tc>
          <w:tcPr/>
          <w:p>
            <w:pPr>
              <w:pStyle w:val="Compact"/>
            </w:pPr>
            <w:r>
              <w:t xml:space="preserve">Faible</w:t>
            </w:r>
          </w:p>
        </w:tc>
        <w:tc>
          <w:tcPr/>
          <w:p>
            <w:pPr>
              <w:pStyle w:val="Compact"/>
            </w:pPr>
            <w:r>
              <w:t xml:space="preserve">Retenu</w:t>
            </w:r>
          </w:p>
        </w:tc>
      </w:tr>
      <w:tr>
        <w:tc>
          <w:tcPr/>
          <w:p>
            <w:pPr>
              <w:pStyle w:val="Compact"/>
            </w:pPr>
            <w:r>
              <w:t xml:space="preserve">Impédance EIS</w:t>
            </w:r>
          </w:p>
        </w:tc>
        <w:tc>
          <w:tcPr/>
          <w:p>
            <w:pPr>
              <w:pStyle w:val="Compact"/>
            </w:pPr>
            <w:r>
              <w:t xml:space="preserve">✅</w:t>
            </w:r>
          </w:p>
        </w:tc>
        <w:tc>
          <w:tcPr/>
          <w:p>
            <w:pPr>
              <w:pStyle w:val="Compact"/>
            </w:pPr>
            <w:r>
              <w:t xml:space="preserve">❌ (3 électrodes)</w:t>
            </w:r>
          </w:p>
        </w:tc>
        <w:tc>
          <w:tcPr/>
          <w:p>
            <w:pPr>
              <w:pStyle w:val="Compact"/>
            </w:pPr>
            <w:r>
              <w:t xml:space="preserve">ASTM G106</w:t>
            </w:r>
          </w:p>
        </w:tc>
        <w:tc>
          <w:tcPr/>
          <w:p>
            <w:pPr>
              <w:pStyle w:val="Compact"/>
            </w:pPr>
            <w:r>
              <w:t xml:space="preserve">Très élevé</w:t>
            </w:r>
          </w:p>
        </w:tc>
        <w:tc>
          <w:tcPr/>
          <w:p>
            <w:pPr>
              <w:pStyle w:val="Compact"/>
            </w:pPr>
            <w:r>
              <w:t xml:space="preserve">Non transposable terrain à coût raisonnable</w:t>
            </w:r>
          </w:p>
        </w:tc>
      </w:tr>
    </w:tbl>
    <w:p>
      <w:pPr>
        <w:pStyle w:val="BodyText"/>
      </w:pPr>
      <w:r>
        <w:t xml:space="preserve">Choix retenu : ER. Critère décisif : mesure continue sans contact des électrodes avec l’électrolyte, conformité ASTM G96, simplicité de fabrication d’une sonde maison (fil de fer + mesure par injection de courant), et compatibilité avec la transposition aux sondes ER commerciales déjà en place chez COTCO. Limite acceptée : mesure de corrosion généralisée uniquement (la corrosion par piqûres locale n’est pas correctement détectée par ER seule, combinaison avec UT recommandée pour le pipeline réel).</w:t>
      </w:r>
    </w:p>
    <w:bookmarkEnd w:id="60"/>
    <w:bookmarkStart w:id="61" w:name="X1b71251896b9416580651ed2d3fc387a171cf10"/>
    <w:p>
      <w:pPr>
        <w:pStyle w:val="Heading3"/>
      </w:pPr>
      <w:r>
        <w:t xml:space="preserve">II.0.5.5. Algorithme de prédiction — XGBoost</w:t>
      </w:r>
    </w:p>
    <w:p>
      <w:pPr>
        <w:pStyle w:val="TableCaption"/>
        <w:jc w:val="center"/>
      </w:pPr>
      <w:r>
        <w:t xml:space="preserve">Tableau II.0.5 — Comparaison des algorithmes ML candidats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shd w:val="clear" w:color="auto" w:fill="EFEFEF"/>
          </w:tcPr>
          <w:p>
            <w:pPr>
              <w:pStyle w:val="Compact"/>
            </w:pPr>
            <w:r>
              <w:t xml:space="preserve">Algorithme</w:t>
            </w:r>
          </w:p>
        </w:tc>
        <w:tc>
          <w:tcPr>
            <w:shd w:val="clear" w:color="auto" w:fill="EFEFEF"/>
          </w:tcPr>
          <w:p>
            <w:pPr>
              <w:pStyle w:val="Compact"/>
            </w:pPr>
            <w:r>
              <w:t xml:space="preserve">Volume de données requis</w:t>
            </w:r>
          </w:p>
        </w:tc>
        <w:tc>
          <w:tcPr>
            <w:shd w:val="clear" w:color="auto" w:fill="EFEFEF"/>
          </w:tcPr>
          <w:p>
            <w:pPr>
              <w:pStyle w:val="Compact"/>
            </w:pPr>
            <w:r>
              <w:t xml:space="preserve">Performance time-series</w:t>
            </w:r>
          </w:p>
        </w:tc>
        <w:tc>
          <w:tcPr>
            <w:shd w:val="clear" w:color="auto" w:fill="EFEFEF"/>
          </w:tcPr>
          <w:p>
            <w:pPr>
              <w:pStyle w:val="Compact"/>
            </w:pPr>
            <w:r>
              <w:t xml:space="preserve">Interprétabilité</w:t>
            </w:r>
          </w:p>
        </w:tc>
        <w:tc>
          <w:tcPr>
            <w:shd w:val="clear" w:color="auto" w:fill="EFEFEF"/>
          </w:tcPr>
          <w:p>
            <w:pPr>
              <w:pStyle w:val="Compact"/>
            </w:pPr>
            <w:r>
              <w:t xml:space="preserve">Verdict</w:t>
            </w:r>
          </w:p>
        </w:tc>
      </w:tr>
      <w:tr>
        <w:tc>
          <w:tcPr/>
          <w:p>
            <w:pPr>
              <w:pStyle w:val="Compact"/>
            </w:pPr>
            <w:r>
              <w:t xml:space="preserve">Régression linéaire</w:t>
            </w:r>
          </w:p>
        </w:tc>
        <w:tc>
          <w:tcPr/>
          <w:p>
            <w:pPr>
              <w:pStyle w:val="Compact"/>
            </w:pPr>
            <w:r>
              <w:t xml:space="preserve">Faible</w:t>
            </w:r>
          </w:p>
        </w:tc>
        <w:tc>
          <w:tcPr/>
          <w:p>
            <w:pPr>
              <w:pStyle w:val="Compact"/>
            </w:pPr>
            <w:r>
              <w:t xml:space="preserve">Médiocre (non-linéarités absentes)</w:t>
            </w:r>
          </w:p>
        </w:tc>
        <w:tc>
          <w:tcPr/>
          <w:p>
            <w:pPr>
              <w:pStyle w:val="Compact"/>
            </w:pPr>
            <w:r>
              <w:t xml:space="preserve">Triviale</w:t>
            </w:r>
          </w:p>
        </w:tc>
        <w:tc>
          <w:tcPr/>
          <w:p>
            <w:pPr>
              <w:pStyle w:val="Compact"/>
            </w:pPr>
            <w:r>
              <w:t xml:space="preserve">Insuffisant pour cinétique multi-mécanismes</w:t>
            </w:r>
          </w:p>
        </w:tc>
      </w:tr>
      <w:tr>
        <w:tc>
          <w:tcPr/>
          <w:p>
            <w:pPr>
              <w:pStyle w:val="Compact"/>
            </w:pPr>
            <w:r>
              <w:t xml:space="preserve">Random Forest</w:t>
            </w:r>
          </w:p>
        </w:tc>
        <w:tc>
          <w:tcPr/>
          <w:p>
            <w:pPr>
              <w:pStyle w:val="Compact"/>
            </w:pPr>
            <w:r>
              <w:t xml:space="preserve">Moyen</w:t>
            </w:r>
          </w:p>
        </w:tc>
        <w:tc>
          <w:tcPr/>
          <w:p>
            <w:pPr>
              <w:pStyle w:val="Compact"/>
            </w:pPr>
            <w:r>
              <w:t xml:space="preserve">Bonne</w:t>
            </w:r>
          </w:p>
        </w:tc>
        <w:tc>
          <w:tcPr/>
          <w:p>
            <w:pPr>
              <w:pStyle w:val="Compact"/>
            </w:pPr>
            <w:r>
              <w:t xml:space="preserve">Moyenne (importance variables)</w:t>
            </w:r>
          </w:p>
        </w:tc>
        <w:tc>
          <w:tcPr/>
          <w:p>
            <w:pPr>
              <w:pStyle w:val="Compact"/>
            </w:pPr>
            <w:r>
              <w:t xml:space="preserve">Bon baseline mais sous-XGBoost en time-series</w:t>
            </w:r>
          </w:p>
        </w:tc>
      </w:tr>
      <w:tr>
        <w:tc>
          <w:tcPr/>
          <w:p>
            <w:pPr>
              <w:pStyle w:val="Compact"/>
            </w:pPr>
            <w:r>
              <w:t xml:space="preserve">XGBoost</w:t>
            </w:r>
          </w:p>
        </w:tc>
        <w:tc>
          <w:tcPr/>
          <w:p>
            <w:pPr>
              <w:pStyle w:val="Compact"/>
            </w:pPr>
            <w:r>
              <w:t xml:space="preserve">Faible à moyen</w:t>
            </w:r>
          </w:p>
        </w:tc>
        <w:tc>
          <w:tcPr/>
          <w:p>
            <w:pPr>
              <w:pStyle w:val="Compact"/>
            </w:pPr>
            <w:r>
              <w:t xml:space="preserve">Excellente (gradient boosting régularisé)</w:t>
            </w:r>
          </w:p>
        </w:tc>
        <w:tc>
          <w:tcPr/>
          <w:p>
            <w:pPr>
              <w:pStyle w:val="Compact"/>
            </w:pPr>
            <w:r>
              <w:t xml:space="preserve">Excellente avec SHAP</w:t>
            </w:r>
          </w:p>
        </w:tc>
        <w:tc>
          <w:tcPr/>
          <w:p>
            <w:pPr>
              <w:pStyle w:val="Compact"/>
            </w:pPr>
            <w:r>
              <w:t xml:space="preserve">Retenu</w:t>
            </w:r>
          </w:p>
        </w:tc>
      </w:tr>
      <w:tr>
        <w:tc>
          <w:tcPr/>
          <w:p>
            <w:pPr>
              <w:pStyle w:val="Compact"/>
            </w:pPr>
            <w:r>
              <w:t xml:space="preserve">LSTM</w:t>
            </w:r>
          </w:p>
        </w:tc>
        <w:tc>
          <w:tcPr/>
          <w:p>
            <w:pPr>
              <w:pStyle w:val="Compact"/>
            </w:pPr>
            <w:r>
              <w:t xml:space="preserve">Élevé (&gt;1000 séquences)</w:t>
            </w:r>
          </w:p>
        </w:tc>
        <w:tc>
          <w:tcPr/>
          <w:p>
            <w:pPr>
              <w:pStyle w:val="Compact"/>
            </w:pPr>
            <w:r>
              <w:t xml:space="preserve">Excellente</w:t>
            </w:r>
          </w:p>
        </w:tc>
        <w:tc>
          <w:tcPr/>
          <w:p>
            <w:pPr>
              <w:pStyle w:val="Compact"/>
            </w:pPr>
            <w:r>
              <w:t xml:space="preserve">Faible (boîte noire)</w:t>
            </w:r>
          </w:p>
        </w:tc>
        <w:tc>
          <w:tcPr/>
          <w:p>
            <w:pPr>
              <w:pStyle w:val="Compact"/>
            </w:pPr>
            <w:r>
              <w:t xml:space="preserve">Volume de données insuffisant ici</w:t>
            </w:r>
          </w:p>
        </w:tc>
      </w:tr>
      <w:tr>
        <w:tc>
          <w:tcPr/>
          <w:p>
            <w:pPr>
              <w:pStyle w:val="Compact"/>
            </w:pPr>
            <w:r>
              <w:t xml:space="preserve">Transformer temporel</w:t>
            </w:r>
          </w:p>
        </w:tc>
        <w:tc>
          <w:tcPr/>
          <w:p>
            <w:pPr>
              <w:pStyle w:val="Compact"/>
            </w:pPr>
            <w:r>
              <w:t xml:space="preserve">Très élevé</w:t>
            </w:r>
          </w:p>
        </w:tc>
        <w:tc>
          <w:tcPr/>
          <w:p>
            <w:pPr>
              <w:pStyle w:val="Compact"/>
            </w:pPr>
            <w:r>
              <w:t xml:space="preserve">Excellente</w:t>
            </w:r>
          </w:p>
        </w:tc>
        <w:tc>
          <w:tcPr/>
          <w:p>
            <w:pPr>
              <w:pStyle w:val="Compact"/>
            </w:pPr>
            <w:r>
              <w:t xml:space="preserve">Faible</w:t>
            </w:r>
          </w:p>
        </w:tc>
        <w:tc>
          <w:tcPr/>
          <w:p>
            <w:pPr>
              <w:pStyle w:val="Compact"/>
            </w:pPr>
            <w:r>
              <w:t xml:space="preserve">Surdimensionné pour 4 runs RTF</w:t>
            </w:r>
          </w:p>
        </w:tc>
      </w:tr>
    </w:tbl>
    <w:p>
      <w:pPr>
        <w:pStyle w:val="BodyText"/>
      </w:pPr>
      <w:r>
        <w:t xml:space="preserve">Choix retenu : XGBoost. Critère décisif : performance reconnue en time-series sur faibles volumes (Chen et Guestrin, 2016 ; Wei et al., 2024), interprétabilité native par SHAP (Lundberg et Lee, 2017), régularisation L1/L2 limitant le sur-apprentissage. Pourquoi écarter les réseaux de neurones (MLP, LSTM, Transformer, §I.1.3) : chaque run fournit certes ~1 000 à 2 500 lectures (cadence de 30 s), mais l’apprentissage de la dégradation se raisonne</w:t>
      </w:r>
      <w:r>
        <w:t xml:space="preserve"> </w:t>
      </w:r>
      <w:r>
        <w:rPr>
          <w:i/>
          <w:iCs/>
        </w:rPr>
        <w:t xml:space="preserve">par essai</w:t>
      </w:r>
      <w:r>
        <w:t xml:space="preserve">, et la campagne ne compte qu’une poignée de runs, soit beaucoup de points mais très peu de séquences indépendantes. Or les réseaux profonds exigent un grand nombre de séquences/exemples pour généraliser et sur-apprennent sur ce volume (boîte noire, surdimensionnés ici). XGBoost, qui opère sur des données tabulaires point par point (quelques milliers de lignes suffisent) avec une régularisation efficace, est donc le mieux adapté à ce régime « beaucoup de points, peu de runs ». Limite acceptée : architecture point-par-point (pas de mémoire séquentielle native comme LSTM), compensée par un feature engineering temporel explicite (EMA, pente locale, lag).</w:t>
      </w:r>
    </w:p>
    <w:bookmarkEnd w:id="61"/>
    <w:bookmarkStart w:id="62" w:name="Xa0d3dd8ec935ad41411e58474fd12bd2dbb7cc7"/>
    <w:p>
      <w:pPr>
        <w:pStyle w:val="Heading3"/>
      </w:pPr>
      <w:r>
        <w:t xml:space="preserve">II.0.5.6. Stratégie de validation — leave-one-run-out</w:t>
      </w:r>
    </w:p>
    <w:p>
      <w:pPr>
        <w:pStyle w:val="TableCaption"/>
        <w:jc w:val="center"/>
      </w:pPr>
      <w:r>
        <w:t xml:space="preserve">Tableau II.0.6 — Comparaison des stratégies de validation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Méthode</w:t>
            </w:r>
          </w:p>
        </w:tc>
        <w:tc>
          <w:tcPr>
            <w:shd w:val="clear" w:color="auto" w:fill="EFEFEF"/>
          </w:tcPr>
          <w:p>
            <w:pPr>
              <w:pStyle w:val="Compact"/>
            </w:pPr>
            <w:r>
              <w:t xml:space="preserve">Question évaluée</w:t>
            </w:r>
          </w:p>
        </w:tc>
        <w:tc>
          <w:tcPr>
            <w:shd w:val="clear" w:color="auto" w:fill="EFEFEF"/>
          </w:tcPr>
          <w:p>
            <w:pPr>
              <w:pStyle w:val="Compact"/>
            </w:pPr>
            <w:r>
              <w:t xml:space="preserve">Limite</w:t>
            </w:r>
          </w:p>
        </w:tc>
      </w:tr>
      <w:tr>
        <w:tc>
          <w:tcPr/>
          <w:p>
            <w:pPr>
              <w:pStyle w:val="Compact"/>
            </w:pPr>
            <w:r>
              <w:t xml:space="preserve">Hold-out simple (80/20)</w:t>
            </w:r>
          </w:p>
        </w:tc>
        <w:tc>
          <w:tcPr/>
          <w:p>
            <w:pPr>
              <w:pStyle w:val="Compact"/>
            </w:pPr>
            <w:r>
              <w:t xml:space="preserve">prédiction intra-jeu</w:t>
            </w:r>
          </w:p>
        </w:tc>
        <w:tc>
          <w:tcPr/>
          <w:p>
            <w:pPr>
              <w:pStyle w:val="Compact"/>
            </w:pPr>
            <w:r>
              <w:t xml:space="preserve">une seule estimation</w:t>
            </w:r>
          </w:p>
        </w:tc>
      </w:tr>
      <w:tr>
        <w:tc>
          <w:tcPr/>
          <w:p>
            <w:pPr>
              <w:pStyle w:val="Compact"/>
            </w:pPr>
            <w:r>
              <w:t xml:space="preserve">k-fold standard</w:t>
            </w:r>
          </w:p>
        </w:tc>
        <w:tc>
          <w:tcPr/>
          <w:p>
            <w:pPr>
              <w:pStyle w:val="Compact"/>
            </w:pPr>
            <w:r>
              <w:t xml:space="preserve">prédiction intra-jeu</w:t>
            </w:r>
          </w:p>
        </w:tc>
        <w:tc>
          <w:tcPr/>
          <w:p>
            <w:pPr>
              <w:pStyle w:val="Compact"/>
            </w:pPr>
            <w:r>
              <w:t xml:space="preserve">fuite temporelle en time-series</w:t>
            </w:r>
          </w:p>
        </w:tc>
      </w:tr>
      <w:tr>
        <w:tc>
          <w:tcPr/>
          <w:p>
            <w:pPr>
              <w:pStyle w:val="Compact"/>
            </w:pPr>
            <w:r>
              <w:t xml:space="preserve">TimeSeriesSplit</w:t>
            </w:r>
          </w:p>
        </w:tc>
        <w:tc>
          <w:tcPr/>
          <w:p>
            <w:pPr>
              <w:pStyle w:val="Compact"/>
            </w:pPr>
            <w:r>
              <w:t xml:space="preserve">prédiction intra-run (causalité)</w:t>
            </w:r>
          </w:p>
        </w:tc>
        <w:tc>
          <w:tcPr/>
          <w:p>
            <w:pPr>
              <w:pStyle w:val="Compact"/>
            </w:pPr>
            <w:r>
              <w:t xml:space="preserve">ne teste pas la généralisation à un essai nouveau</w:t>
            </w:r>
          </w:p>
        </w:tc>
      </w:tr>
      <w:tr>
        <w:tc>
          <w:tcPr/>
          <w:p>
            <w:pPr>
              <w:pStyle w:val="Compact"/>
            </w:pPr>
            <w:r>
              <w:t xml:space="preserve">Leave-one-run-out (LORO)</w:t>
            </w:r>
          </w:p>
        </w:tc>
        <w:tc>
          <w:tcPr/>
          <w:p>
            <w:pPr>
              <w:pStyle w:val="Compact"/>
            </w:pPr>
            <w:r>
              <w:t xml:space="preserve">généralisation à un essai jamais vu</w:t>
            </w:r>
          </w:p>
        </w:tc>
        <w:tc>
          <w:tcPr/>
          <w:p>
            <w:pPr>
              <w:pStyle w:val="Compact"/>
            </w:pPr>
            <w:r>
              <w:t xml:space="preserve">plus exigeante (retenue)</w:t>
            </w:r>
          </w:p>
        </w:tc>
      </w:tr>
    </w:tbl>
    <w:p>
      <w:pPr>
        <w:pStyle w:val="BodyText"/>
      </w:pPr>
      <w:r>
        <w:t xml:space="preserve">Choix retenu : leave-one-run-out (LORO). Critère décisif : l’objectif industriel étant de prédire un</w:t>
      </w:r>
      <w:r>
        <w:t xml:space="preserve"> </w:t>
      </w:r>
      <w:r>
        <w:rPr>
          <w:i/>
          <w:iCs/>
        </w:rPr>
        <w:t xml:space="preserve">essai nouveau</w:t>
      </w:r>
      <w:r>
        <w:t xml:space="preserve">, seule la validation LORO (un run complet retiré et testé à chaque itération) mesure cette capacité. TimeSeriesSplit reste utilisé pour vérifier la causalité au sein d’un run. Détail en §II.5.1.</w:t>
      </w:r>
    </w:p>
    <w:bookmarkEnd w:id="62"/>
    <w:bookmarkStart w:id="63" w:name="Xc0875736bdad7f5e02b0a358e05f947e2d44a95"/>
    <w:p>
      <w:pPr>
        <w:pStyle w:val="Heading3"/>
      </w:pPr>
      <w:r>
        <w:t xml:space="preserve">II.0.5.7. Frontend ML / dashboard — Streamlit</w:t>
      </w:r>
    </w:p>
    <w:p>
      <w:pPr>
        <w:pStyle w:val="TableCaption"/>
        <w:jc w:val="center"/>
      </w:pPr>
      <w:r>
        <w:t xml:space="preserve">Tableau II.0.7 — Comparaison des frameworks frontend ML</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shd w:val="clear" w:color="auto" w:fill="EFEFEF"/>
          </w:tcPr>
          <w:p>
            <w:pPr>
              <w:pStyle w:val="Compact"/>
            </w:pPr>
            <w:r>
              <w:t xml:space="preserve">Framework</w:t>
            </w:r>
          </w:p>
        </w:tc>
        <w:tc>
          <w:tcPr>
            <w:shd w:val="clear" w:color="auto" w:fill="EFEFEF"/>
          </w:tcPr>
          <w:p>
            <w:pPr>
              <w:pStyle w:val="Compact"/>
            </w:pPr>
            <w:r>
              <w:t xml:space="preserve">Langage</w:t>
            </w:r>
          </w:p>
        </w:tc>
        <w:tc>
          <w:tcPr>
            <w:shd w:val="clear" w:color="auto" w:fill="EFEFEF"/>
          </w:tcPr>
          <w:p>
            <w:pPr>
              <w:pStyle w:val="Compact"/>
            </w:pPr>
            <w:r>
              <w:t xml:space="preserve">Rapidité prototypage</w:t>
            </w:r>
          </w:p>
        </w:tc>
        <w:tc>
          <w:tcPr>
            <w:shd w:val="clear" w:color="auto" w:fill="EFEFEF"/>
          </w:tcPr>
          <w:p>
            <w:pPr>
              <w:pStyle w:val="Compact"/>
            </w:pPr>
            <w:r>
              <w:t xml:space="preserve">Composants ML natifs</w:t>
            </w:r>
          </w:p>
        </w:tc>
        <w:tc>
          <w:tcPr>
            <w:shd w:val="clear" w:color="auto" w:fill="EFEFEF"/>
          </w:tcPr>
          <w:p>
            <w:pPr>
              <w:pStyle w:val="Compact"/>
            </w:pPr>
            <w:r>
              <w:t xml:space="preserve">Verdict</w:t>
            </w:r>
          </w:p>
        </w:tc>
      </w:tr>
      <w:tr>
        <w:tc>
          <w:tcPr/>
          <w:p>
            <w:pPr>
              <w:pStyle w:val="Compact"/>
            </w:pPr>
            <w:r>
              <w:t xml:space="preserve">Streamlit</w:t>
            </w:r>
          </w:p>
        </w:tc>
        <w:tc>
          <w:tcPr/>
          <w:p>
            <w:pPr>
              <w:pStyle w:val="Compact"/>
            </w:pPr>
            <w:r>
              <w:t xml:space="preserve">Python</w:t>
            </w:r>
          </w:p>
        </w:tc>
        <w:tc>
          <w:tcPr/>
          <w:p>
            <w:pPr>
              <w:pStyle w:val="Compact"/>
            </w:pPr>
            <w:r>
              <w:t xml:space="preserve">Excellente</w:t>
            </w:r>
          </w:p>
        </w:tc>
        <w:tc>
          <w:tcPr/>
          <w:p>
            <w:pPr>
              <w:pStyle w:val="Compact"/>
            </w:pPr>
            <w:r>
              <w:t xml:space="preserve">✅ (charts, sliders, file uploaders)</w:t>
            </w:r>
          </w:p>
        </w:tc>
        <w:tc>
          <w:tcPr/>
          <w:p>
            <w:pPr>
              <w:pStyle w:val="Compact"/>
            </w:pPr>
            <w:r>
              <w:t xml:space="preserve">Retenu</w:t>
            </w:r>
          </w:p>
        </w:tc>
      </w:tr>
      <w:tr>
        <w:tc>
          <w:tcPr/>
          <w:p>
            <w:pPr>
              <w:pStyle w:val="Compact"/>
            </w:pPr>
            <w:r>
              <w:t xml:space="preserve">Dash (Plotly)</w:t>
            </w:r>
          </w:p>
        </w:tc>
        <w:tc>
          <w:tcPr/>
          <w:p>
            <w:pPr>
              <w:pStyle w:val="Compact"/>
            </w:pPr>
            <w:r>
              <w:t xml:space="preserve">Python</w:t>
            </w:r>
          </w:p>
        </w:tc>
        <w:tc>
          <w:tcPr/>
          <w:p>
            <w:pPr>
              <w:pStyle w:val="Compact"/>
            </w:pPr>
            <w:r>
              <w:t xml:space="preserve">Bonne</w:t>
            </w:r>
          </w:p>
        </w:tc>
        <w:tc>
          <w:tcPr/>
          <w:p>
            <w:pPr>
              <w:pStyle w:val="Compact"/>
            </w:pPr>
            <w:r>
              <w:t xml:space="preserve">Plotly natif</w:t>
            </w:r>
          </w:p>
        </w:tc>
        <w:tc>
          <w:tcPr/>
          <w:p>
            <w:pPr>
              <w:pStyle w:val="Compact"/>
            </w:pPr>
            <w:r>
              <w:t xml:space="preserve">Plus verbose que Streamlit</w:t>
            </w:r>
          </w:p>
        </w:tc>
      </w:tr>
      <w:tr>
        <w:tc>
          <w:tcPr/>
          <w:p>
            <w:pPr>
              <w:pStyle w:val="Compact"/>
            </w:pPr>
            <w:r>
              <w:t xml:space="preserve">Next.js / React</w:t>
            </w:r>
          </w:p>
        </w:tc>
        <w:tc>
          <w:tcPr/>
          <w:p>
            <w:pPr>
              <w:pStyle w:val="Compact"/>
            </w:pPr>
            <w:r>
              <w:t xml:space="preserve">TypeScript</w:t>
            </w:r>
          </w:p>
        </w:tc>
        <w:tc>
          <w:tcPr/>
          <w:p>
            <w:pPr>
              <w:pStyle w:val="Compact"/>
            </w:pPr>
            <w:r>
              <w:t xml:space="preserve">Faible (courbe d’apprentissage)</w:t>
            </w:r>
          </w:p>
        </w:tc>
        <w:tc>
          <w:tcPr/>
          <w:p>
            <w:pPr>
              <w:pStyle w:val="Compact"/>
            </w:pPr>
            <w:r>
              <w:t xml:space="preserve">Non</w:t>
            </w:r>
          </w:p>
        </w:tc>
        <w:tc>
          <w:tcPr/>
          <w:p>
            <w:pPr>
              <w:pStyle w:val="Compact"/>
            </w:pPr>
            <w:r>
              <w:t xml:space="preserve">Surdimensionné, langage différent du pipeline ML</w:t>
            </w:r>
          </w:p>
        </w:tc>
      </w:tr>
      <w:tr>
        <w:tc>
          <w:tcPr/>
          <w:p>
            <w:pPr>
              <w:pStyle w:val="Compact"/>
            </w:pPr>
            <w:r>
              <w:t xml:space="preserve">Gradio</w:t>
            </w:r>
          </w:p>
        </w:tc>
        <w:tc>
          <w:tcPr/>
          <w:p>
            <w:pPr>
              <w:pStyle w:val="Compact"/>
            </w:pPr>
            <w:r>
              <w:t xml:space="preserve">Python</w:t>
            </w:r>
          </w:p>
        </w:tc>
        <w:tc>
          <w:tcPr/>
          <w:p>
            <w:pPr>
              <w:pStyle w:val="Compact"/>
            </w:pPr>
            <w:r>
              <w:t xml:space="preserve">Excellente</w:t>
            </w:r>
          </w:p>
        </w:tc>
        <w:tc>
          <w:tcPr/>
          <w:p>
            <w:pPr>
              <w:pStyle w:val="Compact"/>
            </w:pPr>
            <w:r>
              <w:t xml:space="preserve">Démos ML simples</w:t>
            </w:r>
          </w:p>
        </w:tc>
        <w:tc>
          <w:tcPr/>
          <w:p>
            <w:pPr>
              <w:pStyle w:val="Compact"/>
            </w:pPr>
            <w:r>
              <w:t xml:space="preserve">Plus orienté demo modèle, moins dashboard</w:t>
            </w:r>
          </w:p>
        </w:tc>
      </w:tr>
    </w:tbl>
    <w:p>
      <w:pPr>
        <w:pStyle w:val="BodyText"/>
      </w:pPr>
      <w:r>
        <w:t xml:space="preserve">Choix retenu : Streamlit. Critère décisif : permet de coder le dashboard et le pipeline ML dans le même langage (Python), avec un déploiement gratuit sur Streamlit Community Cloud. Limite acceptée : moins flexible qu’une stack full-web pour la personnalisation visuelle avancée.</w:t>
      </w:r>
    </w:p>
    <w:bookmarkEnd w:id="63"/>
    <w:bookmarkStart w:id="64" w:name="X87fe3b129736b535fc8907b56bd97cfbe22ad16"/>
    <w:p>
      <w:pPr>
        <w:pStyle w:val="Heading3"/>
      </w:pPr>
      <w:r>
        <w:t xml:space="preserve">II.0.5.8. GMAO — module maison (Streamlit / Supabase)</w:t>
      </w:r>
    </w:p>
    <w:p>
      <w:pPr>
        <w:pStyle w:val="FirstParagraph"/>
      </w:pPr>
      <w:r>
        <w:t xml:space="preserve">La matrice comparative des CMMS open-source (§II.7.2 : GLPI / OpenMaint / Snipe-IT / Fiix / MaintainX) révèle un verrou décisif : aucun ne propose d’accès API exploitable dans sa version gratuite ou d’essai, ce qui interdit une intégration automatisée à coût nul. Choix retenu : un module GMAO maison léger, table</w:t>
      </w:r>
      <w:r>
        <w:t xml:space="preserve"> </w:t>
      </w:r>
      <w:r>
        <w:rPr>
          <w:rStyle w:val="VerbatimChar"/>
        </w:rPr>
        <w:t xml:space="preserve">cr_work_orders</w:t>
      </w:r>
      <w:r>
        <w:t xml:space="preserve"> </w:t>
      </w:r>
      <w:r>
        <w:t xml:space="preserve">(Supabase) + interface « Ordres de travail » intégrée à l’application Streamlit, couvrant le périmètre nécessaire (création, assignation, clôture d’ordres de travail, KPIs) sans dépendance à une API tierce, et transposable à un CMMS open-source si l’opérateur en déploie un.</w:t>
      </w:r>
    </w:p>
    <w:bookmarkEnd w:id="64"/>
    <w:bookmarkStart w:id="65" w:name="X022e09cf0ae739b4a8597fbb104bbed149526e7"/>
    <w:p>
      <w:pPr>
        <w:pStyle w:val="Heading3"/>
      </w:pPr>
      <w:r>
        <w:t xml:space="preserve">II.0.5.9. Synthèse des choix technologiques</w:t>
      </w:r>
    </w:p>
    <w:p>
      <w:pPr>
        <w:pStyle w:val="FirstParagraph"/>
      </w:pPr>
      <w:r>
        <w:t xml:space="preserve">L’ensemble des choix forme une chaîne cohérente orientée par trois principes : (i) simplicité d’intégration locale (composants disponibles au Cameroun, langages Python pour la majeure partie de la chaîne ML+frontend), (ii) rigueur méthodologique (validation</w:t>
      </w:r>
      <w:r>
        <w:t xml:space="preserve"> </w:t>
      </w:r>
      <w:r>
        <w:rPr>
          <w:i/>
          <w:iCs/>
        </w:rPr>
        <w:t xml:space="preserve">leave-one-run-out</w:t>
      </w:r>
      <w:r>
        <w:t xml:space="preserve">, SHAP, conformité ASTM/ISO), (iii) transposabilité industrielle (ER conformes ASTM G96 ; module GMAO maison transposable à un CMMS open-source on-premise compatible OT/réseau industriel).</w:t>
      </w:r>
    </w:p>
    <w:p>
      <w:r>
        <w:pict>
          <v:rect style="width:0;height:1.5pt" o:hralign="center" o:hrstd="t" o:hr="t"/>
        </w:pict>
      </w:r>
    </w:p>
    <w:bookmarkEnd w:id="65"/>
    <w:bookmarkEnd w:id="66"/>
    <w:bookmarkStart w:id="69" w:name="ii.1.-cadre-de-létude"/>
    <w:p>
      <w:pPr>
        <w:pStyle w:val="Heading2"/>
      </w:pPr>
      <w:r>
        <w:t xml:space="preserve">II.1. Cadre de l’étude</w:t>
      </w:r>
    </w:p>
    <w:bookmarkStart w:id="67" w:name="ii.1.1.-cadre-institutionnel"/>
    <w:p>
      <w:pPr>
        <w:pStyle w:val="Heading3"/>
      </w:pPr>
      <w:r>
        <w:t xml:space="preserve">II.1.1. Cadre institutionnel</w:t>
      </w:r>
    </w:p>
    <w:p>
      <w:pPr>
        <w:pStyle w:val="FirstParagraph"/>
      </w:pPr>
      <w:r>
        <w:t xml:space="preserve">Le présent travail est réalisé dans le cadre du Master 2 Professionnel en Maintenance Industrielle du Département de Génie Industriel et Maintenance de l’École Supérieure Technique La Salle (ESTL). La validation expérimentale est conduite en laboratoire à Douala. La projection industrielle vise le contexte applicatif de la Cameroon Oil Transportation Company (COTCO), exploitant le pipeline Tchad-Cameroun depuis 2003 (COTCO, 2024).</w:t>
      </w:r>
    </w:p>
    <w:bookmarkEnd w:id="67"/>
    <w:bookmarkStart w:id="68" w:name="ii.1.2.-cadre-physique-du-prototype"/>
    <w:p>
      <w:pPr>
        <w:pStyle w:val="Heading3"/>
      </w:pPr>
      <w:r>
        <w:t xml:space="preserve">II.1.2. Cadre physique du prototype</w:t>
      </w:r>
    </w:p>
    <w:p>
      <w:pPr>
        <w:pStyle w:val="FirstParagraph"/>
      </w:pPr>
      <w:r>
        <w:t xml:space="preserve">Le prototype reproduit en laboratoire des conditions de corrosion généralisée accélérée en milieu acide. Il est constitué d’une cellule de corrosion ouverte (récipient en plastique) contenant le milieu corrosif, dans laquelle est immergé le fil de fer ER. La sonde est connectée à un montage de mesure de résistance instrumenté par un amplificateur HX711 24 bits, lui-même piloté par un microcontrôleur ESP32 en acquisition continue (cycle de mesure de 30 secondes). La température du milieu est mesurée par un capteur DS18B20 numérique 1-Wire.</w:t>
      </w:r>
    </w:p>
    <w:p>
      <w:pPr>
        <w:pStyle w:val="BodyText"/>
      </w:pPr>
      <w:r>
        <w:t xml:space="preserve">Plusieurs milieux corrosifs sont employés dans les essais de corrosion accélérée du fer (acides minéraux, HCl, H₂SO₄, solutions salines NaCl, détartrants industriels multi-acides). Dans le cadre de ce travail, le milieu de référence retenu est une solution d’acide chlorhydrique concentré (HCl). Ce choix se justifie par quatre critères : (i) la simplicité et la reproductibilité d’un milieu mono-acide, indispensable pour isoler proprement l’effet d’un facteur unique (la température) ; (ii) la représentativité du mécanisme d’attaque acide pure (H⁺ + Fe → Fe²⁺ + H₂), dominant dans de nombreux effluents industriels ; (iii) la disponibilité locale au Cameroun ; (iv) la cinétique rapide : en HCl concentré, la corrosion conduit à la rupture (cycle</w:t>
      </w:r>
      <w:r>
        <w:t xml:space="preserve"> </w:t>
      </w:r>
      <w:r>
        <w:rPr>
          <w:i/>
          <w:iCs/>
        </w:rPr>
        <w:t xml:space="preserve">run-to-failure</w:t>
      </w:r>
      <w:r>
        <w:t xml:space="preserve"> </w:t>
      </w:r>
      <w:r>
        <w:t xml:space="preserve">complet) en quelques heures à quelques dizaines d’heures, condition déterminante au regard du temps imparti avant la soutenance, puisqu’elle permet d’enchaîner plusieurs essais complets et de constituer la série répétée nécessaire à l’apprentissage. Cette cinétique est en outre fortement accélérée par la température suivant une loi d’Arrhenius (énergie d’activation de l’ordre de 40 à 90 kJ/mol pour l’acier en HCl), ce qui justifie l’étude de ce facteur (Khadom et al., 2009 ; §I.7.7).</w:t>
      </w:r>
    </w:p>
    <w:p>
      <w:pPr>
        <w:pStyle w:val="BodyText"/>
      </w:pPr>
      <w:r>
        <w:t xml:space="preserve">Ce milieu génère un pH ≈ 1. La température ambiante du laboratoire varie entre 25 et 32 °C selon les conditions météorologiques, variabilité qui s’est révélée déterminante (voir Chapitre III) et a motivé l’introduction d’une phase à température contrôlée par un chauffe-eau d’aquarium étanche immergé directement dans la cellule.</w:t>
      </w:r>
    </w:p>
    <w:p>
      <w:r>
        <w:pict>
          <v:rect style="width:0;height:1.5pt" o:hralign="center" o:hrstd="t" o:hr="t"/>
        </w:pict>
      </w:r>
    </w:p>
    <w:bookmarkEnd w:id="68"/>
    <w:bookmarkEnd w:id="69"/>
    <w:bookmarkStart w:id="80" w:name="Xefde6584f8f1b1bc527f3b267e24575f527761d"/>
    <w:p>
      <w:pPr>
        <w:pStyle w:val="Heading2"/>
      </w:pPr>
      <w:r>
        <w:t xml:space="preserve">II.2. Présentation du prototype de mesure ER</w:t>
      </w:r>
    </w:p>
    <w:bookmarkStart w:id="70" w:name="Xdb4f32296f15eb3778c1dc0f370941c60102306"/>
    <w:p>
      <w:pPr>
        <w:pStyle w:val="Heading3"/>
      </w:pPr>
      <w:r>
        <w:t xml:space="preserve">II.2.1. Principe de la sonde à résistance électrique</w:t>
      </w:r>
    </w:p>
    <w:p>
      <w:pPr>
        <w:pStyle w:val="FirstParagraph"/>
      </w:pPr>
      <w:r>
        <w:t xml:space="preserve">La sonde ER exploite la relation entre la résistance électrique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 Roberge, 2008)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avec ρ_Fe = 1,0 × 10⁻⁷ Ω·m (résistivité électrique du fer),</w:t>
      </w:r>
      <w:r>
        <w:t xml:space="preserve"> </w:t>
      </w:r>
      <w:r>
        <w:rPr>
          <w:i/>
          <w:iCs/>
        </w:rPr>
        <w:t xml:space="preserve">L</w:t>
      </w:r>
      <w:r>
        <w:t xml:space="preserve"> </w:t>
      </w:r>
      <w:r>
        <w:t xml:space="preserve">≈ 2 m (longueur du fil), et</w:t>
      </w:r>
      <w:r>
        <w:t xml:space="preserve"> </w:t>
      </w:r>
      <w:r>
        <w:rPr>
          <w:i/>
          <w:iCs/>
        </w:rPr>
        <w:t xml:space="preserve">r</w:t>
      </w:r>
      <w:r>
        <w:t xml:space="preserve"> </w:t>
      </w:r>
      <w:r>
        <w:t xml:space="preserve">le rayon (m). 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En inversant la relation, le rayon à l’instant</w:t>
      </w:r>
      <w:r>
        <w:t xml:space="preserve"> </w:t>
      </w:r>
      <w:r>
        <w:rPr>
          <w:i/>
          <w:iCs/>
        </w:rPr>
        <w:t xml:space="preserve">t</w:t>
      </w:r>
      <w:r>
        <w:t xml:space="preserve"> </w:t>
      </w:r>
      <w:r>
        <w:t xml:space="preserve">est :</w:t>
      </w:r>
    </w:p>
    <w:p>
      <w:pPr>
        <w:pStyle w:val="BodyText"/>
      </w:pPr>
      <m:oMathPara>
        <m:oMathParaPr>
          <m:jc m:val="center"/>
        </m:oMathParaPr>
        <m:oMath>
          <m:r>
            <m:t>r</m:t>
          </m:r>
          <m:r>
            <m:rPr>
              <m:sty m:val="p"/>
            </m:rPr>
            <m:t>(</m:t>
          </m:r>
          <m:r>
            <m:t>t</m:t>
          </m:r>
          <m:r>
            <m:rPr>
              <m:sty m:val="p"/>
            </m:rPr>
            <m:t>)</m:t>
          </m:r>
          <m:r>
            <m:rPr>
              <m:sty m:val="p"/>
            </m:rPr>
            <m:t>=</m:t>
          </m:r>
          <m:rad>
            <m:radPr>
              <m:degHide m:val="on"/>
            </m:radPr>
            <m:deg/>
            <m:e>
              <m:f>
                <m:fPr>
                  <m:type m:val="bar"/>
                </m:fPr>
                <m:num>
                  <m:sSub>
                    <m:e>
                      <m:r>
                        <m:t>ρ</m:t>
                      </m:r>
                    </m:e>
                    <m:sub>
                      <m:r>
                        <m:t>F</m:t>
                      </m:r>
                      <m:r>
                        <m:t>e</m:t>
                      </m:r>
                    </m:sub>
                  </m:sSub>
                  <m:r>
                    <m:rPr>
                      <m:sty m:val="p"/>
                    </m:rPr>
                    <m:t>⋅</m:t>
                  </m:r>
                  <m:r>
                    <m:t>L</m:t>
                  </m:r>
                </m:num>
                <m:den>
                  <m:r>
                    <m:t>π</m:t>
                  </m:r>
                  <m:r>
                    <m:rPr>
                      <m:sty m:val="p"/>
                    </m:rPr>
                    <m:t>⋅</m:t>
                  </m:r>
                  <m:r>
                    <m:t>R</m:t>
                  </m:r>
                  <m:r>
                    <m:rPr>
                      <m:sty m:val="p"/>
                    </m:rPr>
                    <m:t>(</m:t>
                  </m:r>
                  <m:r>
                    <m:t>t</m:t>
                  </m:r>
                  <m:r>
                    <m:rPr>
                      <m:sty m:val="p"/>
                    </m:rPr>
                    <m:t>)</m:t>
                  </m:r>
                </m:den>
              </m:f>
            </m:e>
          </m:rad>
        </m:oMath>
      </m:oMathPara>
    </w:p>
    <w:p>
      <w:pPr>
        <w:pStyle w:val="FirstParagraph"/>
      </w:pPr>
      <w:r>
        <w:t xml:space="preserve">et le taux de corrosion s’obtient par dérivation numérique :</w:t>
      </w:r>
    </w:p>
    <w:p>
      <w:pPr>
        <w:pStyle w:val="BodyText"/>
      </w:pPr>
      <m:oMathPara>
        <m:oMathParaPr>
          <m:jc m:val="center"/>
        </m:oMathParaPr>
        <m:oMath>
          <m:r>
            <m:t>C</m:t>
          </m:r>
          <m:r>
            <m:t>R</m:t>
          </m:r>
          <m:r>
            <m:rPr>
              <m:sty m:val="p"/>
            </m:rPr>
            <m:t>(</m:t>
          </m:r>
          <m:r>
            <m:t>t</m:t>
          </m:r>
          <m:r>
            <m:rPr>
              <m:sty m:val="p"/>
            </m:rPr>
            <m:t>)</m:t>
          </m:r>
          <m:r>
            <m:t> </m:t>
          </m:r>
          <m:r>
            <m:rPr>
              <m:sty m:val="p"/>
            </m:rPr>
            <m:t>(</m:t>
          </m:r>
          <m:r>
            <m:rPr>
              <m:nor/>
              <m:sty m:val="p"/>
            </m:rPr>
            <m:t>mm/an</m:t>
          </m:r>
          <m:r>
            <m:rPr>
              <m:sty m:val="p"/>
            </m:rPr>
            <m:t>)</m:t>
          </m:r>
          <m:r>
            <m:rPr>
              <m:sty m:val="p"/>
            </m:rPr>
            <m:t>=</m:t>
          </m:r>
          <m:d>
            <m:dPr>
              <m:begChr m:val="|"/>
              <m:sepChr m:val=""/>
              <m:endChr m:val="|"/>
              <m:grow/>
            </m:dPr>
            <m:e>
              <m:f>
                <m:fPr>
                  <m:type m:val="bar"/>
                </m:fPr>
                <m:num>
                  <m:r>
                    <m:t>d</m:t>
                  </m:r>
                  <m:r>
                    <m:t>r</m:t>
                  </m:r>
                </m:num>
                <m:den>
                  <m:r>
                    <m:t>d</m:t>
                  </m:r>
                  <m:r>
                    <m:t>t</m:t>
                  </m:r>
                </m:den>
              </m:f>
            </m:e>
          </m:d>
          <m:r>
            <m:rPr>
              <m:sty m:val="p"/>
            </m:rPr>
            <m:t>×</m:t>
          </m:r>
          <m:r>
            <m:t>8760</m:t>
          </m:r>
          <m:r>
            <m:rPr>
              <m:sty m:val="p"/>
            </m:rPr>
            <m:t>×</m:t>
          </m:r>
          <m:r>
            <m:t>1000</m:t>
          </m:r>
        </m:oMath>
      </m:oMathPara>
    </w:p>
    <w:p>
      <w:pPr>
        <w:pStyle w:val="FirstParagraph"/>
      </w:pPr>
      <w:r>
        <w:t xml:space="preserve">(facteur 8760 = nombre d’heures par an, facteur 1000 = conversion m → mm).</w:t>
      </w:r>
    </w:p>
    <w:bookmarkEnd w:id="70"/>
    <w:bookmarkStart w:id="74" w:name="Xaebd2046e5cf9fe3fd8c5fc3749f7718566fc51"/>
    <w:p>
      <w:pPr>
        <w:pStyle w:val="Heading3"/>
      </w:pPr>
      <w:r>
        <w:t xml:space="preserve">II.2.2. Architecture de mesure : montage 2 fils à injection de courant</w:t>
      </w:r>
    </w:p>
    <w:p>
      <w:pPr>
        <w:pStyle w:val="FirstParagraph"/>
      </w:pPr>
      <w:r>
        <w:t xml:space="preserve">La mesure d’une résistance faible et de ses variations fines peut être réalisée de plusieurs manières : pont de Wheatstone (déséquilibre de deux diviseurs), méthode 4 fils de Kelvin (séparation des circuits d’injection et de mesure), ou montage 2 fils à injection de courant (lecture de la tension aux bornes de l’élément parcouru par un courant connu). Le pont de Wheatstone a d’abord été retenu, puis abandonné après essais : couplé au HX711, le très faible déséquilibre du pont (le fil ne varie que de fractions d’ohm) se présentait à un potentiel de mode commun voisin de la mi-alimentation, hors de la plage où l’amplificateur établit correctement son gain, de sorte que le signal utile se noyait dans le bruit et l’offset. La méthode Kelvin 4 fils, plus lourde à câbler, partageait cette sensibilité au mode commun dans cette configuration. Le choix s’est donc porté sur le montage 2 fils à injection de courant, le plus simple et le plus stable avec les composants disponibles localement, compatible avec la plage d’entrée différentielle du HX711 (AVIA Semiconductor, 2017 ; Webster, 2014).</w:t>
      </w:r>
    </w:p>
    <w:p>
      <w:pPr>
        <w:pStyle w:val="BodyText"/>
      </w:pPr>
      <w:r>
        <w:t xml:space="preserve">Le fil de fer (sonde ER) est monté en série entre deux résistances de polarisation identiques, la résistance shunt</w:t>
      </w:r>
      <w:r>
        <w:t xml:space="preserve"> </w:t>
      </w:r>
      <w:r>
        <w:rPr>
          <w:i/>
          <w:iCs/>
        </w:rPr>
        <w:t xml:space="preserve">R</w:t>
      </w:r>
      <w:r>
        <w:t xml:space="preserve">_shunt et la résistance de relèvement</w:t>
      </w:r>
      <w:r>
        <w:t xml:space="preserve"> </w:t>
      </w:r>
      <w:r>
        <w:rPr>
          <w:i/>
          <w:iCs/>
        </w:rPr>
        <w:t xml:space="preserve">R</w:t>
      </w:r>
      <w:r>
        <w:t xml:space="preserve">_lift, 970 Ω chacune, sous l’alimentation 3,3 V de l’ESP32 (figure II.2). La résistance du fil étant très faible devant ces deux résistances, le courant qui le traverse est imposé et quasi constant :</w:t>
      </w:r>
    </w:p>
    <w:p>
      <w:pPr>
        <w:pStyle w:val="BodyText"/>
      </w:pPr>
      <m:oMathPara>
        <m:oMathParaPr>
          <m:jc m:val="center"/>
        </m:oMathParaPr>
        <m:oMath>
          <m:r>
            <m:t>I</m:t>
          </m:r>
          <m:r>
            <m:rPr>
              <m:sty m:val="p"/>
            </m:rPr>
            <m:t>=</m:t>
          </m:r>
          <m:f>
            <m:fPr>
              <m:type m:val="bar"/>
            </m:fPr>
            <m:num>
              <m:sSub>
                <m:e>
                  <m:r>
                    <m:t>V</m:t>
                  </m:r>
                </m:e>
                <m:sub>
                  <m:r>
                    <m:t>C</m:t>
                  </m:r>
                  <m:r>
                    <m:t>C</m:t>
                  </m:r>
                </m:sub>
              </m:sSub>
            </m:num>
            <m:den>
              <m:sSub>
                <m:e>
                  <m:r>
                    <m:t>R</m:t>
                  </m:r>
                </m:e>
                <m:sub>
                  <m:r>
                    <m:t>s</m:t>
                  </m:r>
                  <m:r>
                    <m:t>h</m:t>
                  </m:r>
                  <m:r>
                    <m:t>u</m:t>
                  </m:r>
                  <m:r>
                    <m:t>n</m:t>
                  </m:r>
                  <m:r>
                    <m:t>t</m:t>
                  </m:r>
                </m:sub>
              </m:sSub>
              <m:r>
                <m:rPr>
                  <m:sty m:val="p"/>
                </m:rPr>
                <m:t>+</m:t>
              </m:r>
              <m:sSub>
                <m:e>
                  <m:r>
                    <m:t>R</m:t>
                  </m:r>
                </m:e>
                <m:sub>
                  <m:r>
                    <m:t>l</m:t>
                  </m:r>
                  <m:r>
                    <m:t>i</m:t>
                  </m:r>
                  <m:r>
                    <m:t>f</m:t>
                  </m:r>
                  <m:r>
                    <m:t>t</m:t>
                  </m:r>
                </m:sub>
              </m:sSub>
            </m:den>
          </m:f>
          <m:r>
            <m:rPr>
              <m:sty m:val="p"/>
            </m:rPr>
            <m:t>≈</m:t>
          </m:r>
          <m:f>
            <m:fPr>
              <m:type m:val="bar"/>
            </m:fPr>
            <m:num>
              <m:r>
                <m:t>3</m:t>
              </m:r>
              <m:r>
                <m:rPr>
                  <m:sty m:val="p"/>
                </m:rPr>
                <m:t>,</m:t>
              </m:r>
              <m:r>
                <m:t>45</m:t>
              </m:r>
            </m:num>
            <m:den>
              <m:r>
                <m:t>1</m:t>
              </m:r>
              <m:r>
                <m:t> </m:t>
              </m:r>
              <m:r>
                <m:t>940</m:t>
              </m:r>
            </m:den>
          </m:f>
          <m:r>
            <m:rPr>
              <m:sty m:val="p"/>
            </m:rPr>
            <m:t>≈</m:t>
          </m:r>
          <m:r>
            <m:t>1</m:t>
          </m:r>
          <m:r>
            <m:rPr>
              <m:sty m:val="p"/>
            </m:rPr>
            <m:t>,</m:t>
          </m:r>
          <m:r>
            <m:t>78</m:t>
          </m:r>
          <m:r>
            <m:rPr>
              <m:nor/>
              <m:sty m:val="p"/>
            </m:rPr>
            <m:t> mA</m:t>
          </m:r>
        </m:oMath>
      </m:oMathPara>
    </w:p>
    <w:p>
      <w:pPr>
        <w:pStyle w:val="FirstParagraph"/>
      </w:pPr>
      <w:r>
        <w:t xml:space="preserve">La tension aux bornes du fil,</w:t>
      </w:r>
      <w:r>
        <w:t xml:space="preserve"> </w:t>
      </w:r>
      <w:r>
        <w:rPr>
          <w:i/>
          <w:iCs/>
        </w:rPr>
        <w:t xml:space="preserve">V</w:t>
      </w:r>
      <w:r>
        <w:t xml:space="preserve">_sense =</w:t>
      </w:r>
      <w:r>
        <w:t xml:space="preserve"> </w:t>
      </w:r>
      <w:r>
        <w:rPr>
          <w:i/>
          <w:iCs/>
        </w:rPr>
        <w:t xml:space="preserve">I</w:t>
      </w:r>
      <w:r>
        <w:t xml:space="preserve"> </w:t>
      </w:r>
      <w:r>
        <w:t xml:space="preserve">·</w:t>
      </w:r>
      <w:r>
        <w:t xml:space="preserve"> </w:t>
      </w:r>
      <w:r>
        <w:rPr>
          <w:i/>
          <w:iCs/>
        </w:rPr>
        <w:t xml:space="preserve">R</w:t>
      </w:r>
      <w:r>
        <w:t xml:space="preserve">_fil, est lue en différentiel par le HX711 (entrées A+ / A−). La résistance</w:t>
      </w:r>
      <w:r>
        <w:t xml:space="preserve"> </w:t>
      </w:r>
      <w:r>
        <w:rPr>
          <w:i/>
          <w:iCs/>
        </w:rPr>
        <w:t xml:space="preserve">R</w:t>
      </w:r>
      <w:r>
        <w:t xml:space="preserve">_lift, placée côté masse, remonte le potentiel de mode commun des entrées dans la plage de fonctionnement de l’amplificateur (sans elle, les entrées seraient trop proches de la masse et le gain interne ne pourrait s’établir). Lorsque la corrosion réduit la section du fil,</w:t>
      </w:r>
      <w:r>
        <w:t xml:space="preserve"> </w:t>
      </w:r>
      <w:r>
        <w:rPr>
          <w:i/>
          <w:iCs/>
        </w:rPr>
        <w:t xml:space="preserve">R</w:t>
      </w:r>
      <w:r>
        <w:t xml:space="preserve">_fil augmente, donc</w:t>
      </w:r>
      <w:r>
        <w:t xml:space="preserve"> </w:t>
      </w:r>
      <w:r>
        <w:rPr>
          <w:i/>
          <w:iCs/>
        </w:rPr>
        <w:t xml:space="preserve">V</w:t>
      </w:r>
      <w:r>
        <w:t xml:space="preserve">_sense augmente proportionnellement : c’est le signal exploité pour reconstituer</w:t>
      </w:r>
      <w:r>
        <w:t xml:space="preserve"> </w:t>
      </w:r>
      <w:r>
        <w:rPr>
          <w:i/>
          <w:iCs/>
        </w:rPr>
        <w:t xml:space="preserve">R</w:t>
      </w:r>
      <w:r>
        <w:t xml:space="preserve">_fil(t).</w:t>
      </w:r>
    </w:p>
    <w:p>
      <w:pPr>
        <w:pStyle w:val="BodyText"/>
      </w:pPr>
      <w:r>
        <w:t xml:space="preserve">Justification de la valeur 970 Ω. Les deux résistances fixent le courant d’injection à</w:t>
      </w:r>
      <w:r>
        <w:t xml:space="preserve"> </w:t>
      </w:r>
      <w:r>
        <w:rPr>
          <w:i/>
          <w:iCs/>
        </w:rPr>
        <w:t xml:space="preserve">I</w:t>
      </w:r>
      <w:r>
        <w:t xml:space="preserve"> </w:t>
      </w:r>
      <w:r>
        <w:t xml:space="preserve">=</w:t>
      </w:r>
      <w:r>
        <w:t xml:space="preserve"> </w:t>
      </w:r>
      <w:r>
        <w:rPr>
          <w:i/>
          <w:iCs/>
        </w:rPr>
        <w:t xml:space="preserve">V</w:t>
      </w:r>
      <w:r>
        <w:t xml:space="preserve">_CC/(</w:t>
      </w:r>
      <w:r>
        <w:rPr>
          <w:i/>
          <w:iCs/>
        </w:rPr>
        <w:t xml:space="preserve">R</w:t>
      </w:r>
      <w:r>
        <w:t xml:space="preserve">_shunt +</w:t>
      </w:r>
      <w:r>
        <w:t xml:space="preserve"> </w:t>
      </w:r>
      <w:r>
        <w:rPr>
          <w:i/>
          <w:iCs/>
        </w:rPr>
        <w:t xml:space="preserve">R</w:t>
      </w:r>
      <w:r>
        <w:t xml:space="preserve">_lift) ≈ 1,8 mA. Cette valeur résulte d’un compromis physique : un courant suffisamment faible pour éviter l’échauffement par effet Joule et la polarisation électrochimique du fil (qui fausseraient la mesure de résistance), mais suffisamment élevé pour que la tension lue</w:t>
      </w:r>
      <w:r>
        <w:t xml:space="preserve"> </w:t>
      </w:r>
      <w:r>
        <w:rPr>
          <w:i/>
          <w:iCs/>
        </w:rPr>
        <w:t xml:space="preserve">V</w:t>
      </w:r>
      <w:r>
        <w:t xml:space="preserve">_sense =</w:t>
      </w:r>
      <w:r>
        <w:t xml:space="preserve"> </w:t>
      </w:r>
      <w:r>
        <w:rPr>
          <w:i/>
          <w:iCs/>
        </w:rPr>
        <w:t xml:space="preserve">I</w:t>
      </w:r>
      <w:r>
        <w:t xml:space="preserve">·</w:t>
      </w:r>
      <w:r>
        <w:rPr>
          <w:i/>
          <w:iCs/>
        </w:rPr>
        <w:t xml:space="preserve">R</w:t>
      </w:r>
      <w:r>
        <w:t xml:space="preserve">_fil (quelques millivolts) reste mesurable dans la plage différentielle du HX711 (± 40 mV au gain 64) (AVIA Semiconductor, 2017). La valeur de 970 Ω correspond aux résistances réellement employées (≈ 1 kΩ, tolérance 1 %) : c’est un choix pratique dicté par ce compromis, non une valeur normative, toute paire de résistances appariées de l’ordre du kΩ conviendrait. Le pull-up de 4,7 kΩ du bus 1-Wire (DS18B20) suit, lui, la valeur recommandée par le fabricant du capteur.</w:t>
      </w:r>
    </w:p>
    <w:p>
      <w:pPr>
        <w:pStyle w:val="TableCaption"/>
        <w:jc w:val="center"/>
      </w:pPr>
      <w:r>
        <w:t xml:space="preserve">Tableau II.1 — Composants du montage de mesure de résistance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Composant</w:t>
            </w:r>
          </w:p>
        </w:tc>
        <w:tc>
          <w:tcPr>
            <w:shd w:val="clear" w:color="auto" w:fill="EFEFEF"/>
          </w:tcPr>
          <w:p>
            <w:pPr>
              <w:pStyle w:val="Compact"/>
            </w:pPr>
            <w:r>
              <w:t xml:space="preserve">Valeur</w:t>
            </w:r>
          </w:p>
        </w:tc>
        <w:tc>
          <w:tcPr>
            <w:shd w:val="clear" w:color="auto" w:fill="EFEFEF"/>
          </w:tcPr>
          <w:p>
            <w:pPr>
              <w:pStyle w:val="Compact"/>
            </w:pPr>
            <w:r>
              <w:t xml:space="preserve">Rôle</w:t>
            </w:r>
          </w:p>
        </w:tc>
      </w:tr>
      <w:tr>
        <w:tc>
          <w:tcPr/>
          <w:p>
            <w:pPr>
              <w:pStyle w:val="Compact"/>
            </w:pPr>
            <w:r>
              <w:t xml:space="preserve">Résistance shunt</w:t>
            </w:r>
            <w:r>
              <w:t xml:space="preserve"> </w:t>
            </w:r>
            <w:r>
              <w:rPr>
                <w:i/>
                <w:iCs/>
              </w:rPr>
              <w:t xml:space="preserve">R</w:t>
            </w:r>
            <w:r>
              <w:t xml:space="preserve">_shunt</w:t>
            </w:r>
          </w:p>
        </w:tc>
        <w:tc>
          <w:tcPr/>
          <w:p>
            <w:pPr>
              <w:pStyle w:val="Compact"/>
            </w:pPr>
            <w:r>
              <w:t xml:space="preserve">970 Ω</w:t>
            </w:r>
          </w:p>
        </w:tc>
        <w:tc>
          <w:tcPr/>
          <w:p>
            <w:pPr>
              <w:pStyle w:val="Compact"/>
            </w:pPr>
            <w:r>
              <w:t xml:space="preserve">impose le courant (côté 3,3 V)</w:t>
            </w:r>
          </w:p>
        </w:tc>
      </w:tr>
      <w:tr>
        <w:tc>
          <w:tcPr/>
          <w:p>
            <w:pPr>
              <w:pStyle w:val="Compact"/>
            </w:pPr>
            <w:r>
              <w:t xml:space="preserve">Fil de fer</w:t>
            </w:r>
            <w:r>
              <w:t xml:space="preserve"> </w:t>
            </w:r>
            <w:r>
              <w:rPr>
                <w:i/>
                <w:iCs/>
              </w:rPr>
              <w:t xml:space="preserve">R</w:t>
            </w:r>
            <w:r>
              <w:t xml:space="preserve">_fil(t)</w:t>
            </w:r>
          </w:p>
        </w:tc>
        <w:tc>
          <w:tcPr/>
          <w:p>
            <w:pPr>
              <w:pStyle w:val="Compact"/>
            </w:pPr>
            <w:r>
              <w:t xml:space="preserve">élément sensible</w:t>
            </w:r>
          </w:p>
        </w:tc>
        <w:tc>
          <w:tcPr/>
          <w:p>
            <w:pPr>
              <w:pStyle w:val="Compact"/>
            </w:pPr>
            <w:r>
              <w:t xml:space="preserve">sonde ER corrodée, résistance croissante</w:t>
            </w:r>
          </w:p>
        </w:tc>
      </w:tr>
      <w:tr>
        <w:tc>
          <w:tcPr/>
          <w:p>
            <w:pPr>
              <w:pStyle w:val="Compact"/>
            </w:pPr>
            <w:r>
              <w:t xml:space="preserve">Résistance de relèvement</w:t>
            </w:r>
            <w:r>
              <w:t xml:space="preserve"> </w:t>
            </w:r>
            <w:r>
              <w:rPr>
                <w:i/>
                <w:iCs/>
              </w:rPr>
              <w:t xml:space="preserve">R</w:t>
            </w:r>
            <w:r>
              <w:t xml:space="preserve">_lift</w:t>
            </w:r>
          </w:p>
        </w:tc>
        <w:tc>
          <w:tcPr/>
          <w:p>
            <w:pPr>
              <w:pStyle w:val="Compact"/>
            </w:pPr>
            <w:r>
              <w:t xml:space="preserve">970 Ω</w:t>
            </w:r>
          </w:p>
        </w:tc>
        <w:tc>
          <w:tcPr/>
          <w:p>
            <w:pPr>
              <w:pStyle w:val="Compact"/>
            </w:pPr>
            <w:r>
              <w:t xml:space="preserve">impose le courant + remonte le mode commun (côté masse)</w:t>
            </w:r>
          </w:p>
        </w:tc>
      </w:tr>
    </w:tbl>
    <w:p>
      <w:pPr>
        <w:pStyle w:val="CaptionedFigure"/>
        <w:jc w:val="center"/>
      </w:pPr>
      <w:r>
        <w:drawing>
          <wp:inline>
            <wp:extent cx="4906264" cy="2739705"/>
            <wp:effectExtent b="0" l="0" r="0" t="0"/>
            <wp:docPr descr="Figure II.2 — Montage de mesure « 2 fils + shunt + R_lift » : le HX711 lit la tension aux bornes du fil de fer parcouru par un courant quasi constant" title="" id="72" name="Picture"/>
            <a:graphic>
              <a:graphicData uri="http://schemas.openxmlformats.org/drawingml/2006/picture">
                <pic:pic>
                  <pic:nvPicPr>
                    <pic:cNvPr descr="figures/fig_montage_reel.png" id="73" name="Picture"/>
                    <pic:cNvPicPr>
                      <a:picLocks noChangeArrowheads="1" noChangeAspect="1"/>
                    </pic:cNvPicPr>
                  </pic:nvPicPr>
                  <pic:blipFill>
                    <a:blip r:embed="rId71"/>
                    <a:stretch>
                      <a:fillRect/>
                    </a:stretch>
                  </pic:blipFill>
                  <pic:spPr bwMode="auto">
                    <a:xfrm>
                      <a:off x="0" y="0"/>
                      <a:ext cx="4906264" cy="2739705"/>
                    </a:xfrm>
                    <a:prstGeom prst="rect">
                      <a:avLst/>
                    </a:prstGeom>
                    <a:noFill/>
                    <a:ln w="9525">
                      <a:noFill/>
                      <a:headEnd/>
                      <a:tailEnd/>
                    </a:ln>
                  </pic:spPr>
                </pic:pic>
              </a:graphicData>
            </a:graphic>
          </wp:inline>
        </w:drawing>
      </w:r>
    </w:p>
    <w:p>
      <w:pPr>
        <w:pStyle w:val="ImageCaption"/>
      </w:pPr>
      <w:r>
        <w:t xml:space="preserve">Figure II.2 — Montage de mesure « 2 fils + shunt + R_lift » : le HX711 lit la tension aux bornes du fil de fer parcouru par un courant quasi constant</w:t>
      </w:r>
    </w:p>
    <w:bookmarkEnd w:id="74"/>
    <w:bookmarkStart w:id="75" w:name="Xb1678c44d9c1c974a4fc32ac4a0d35b21e8d3e3"/>
    <w:p>
      <w:pPr>
        <w:pStyle w:val="Heading3"/>
      </w:pPr>
      <w:r>
        <w:t xml:space="preserve">II.2.3. Conversion analogique-numérique par HX711</w:t>
      </w:r>
    </w:p>
    <w:p>
      <w:pPr>
        <w:pStyle w:val="FirstParagraph"/>
      </w:pPr>
      <w:r>
        <w:t xml:space="preserve">Le HX711 est un convertisseur sigma-delta 24 bits doté d’un amplificateur différentiel à gain programmable (Adafruit, 2024 ; AVIA Semiconductor, 2017). Initialement destiné aux ponts de jauges, il est utilisé ici comme voltmètre différentiel de haute résolution mesurant la tension</w:t>
      </w:r>
      <w:r>
        <w:t xml:space="preserve"> </w:t>
      </w:r>
      <w:r>
        <w:rPr>
          <w:i/>
          <w:iCs/>
        </w:rPr>
        <w:t xml:space="preserve">V</w:t>
      </w:r>
      <w:r>
        <w:t xml:space="preserve">_sense aux bornes du fil. Le gain 64 est retenu (pleine échelle ±40 mV, adaptée à un</w:t>
      </w:r>
      <w:r>
        <w:t xml:space="preserve"> </w:t>
      </w:r>
      <w:r>
        <w:rPr>
          <w:i/>
          <w:iCs/>
        </w:rPr>
        <w:t xml:space="preserve">V</w:t>
      </w:r>
      <w:r>
        <w:t xml:space="preserve">_sense de quelques millivolts) ; sur 24 bits, la résolution d’un LSB est de l’ordre de :</w:t>
      </w:r>
    </w:p>
    <w:p>
      <w:pPr>
        <w:pStyle w:val="BodyText"/>
      </w:pPr>
      <m:oMathPara>
        <m:oMathParaPr>
          <m:jc m:val="center"/>
        </m:oMathParaPr>
        <m:oMath>
          <m:sSub>
            <m:e>
              <m:r>
                <m:rPr>
                  <m:nor/>
                  <m:sty m:val="p"/>
                </m:rPr>
                <m:t>Résolution</m:t>
              </m:r>
            </m:e>
            <m:sub>
              <m:r>
                <m:t>L</m:t>
              </m:r>
              <m:r>
                <m:t>S</m:t>
              </m:r>
              <m:r>
                <m:t>B</m:t>
              </m:r>
            </m:sub>
          </m:sSub>
          <m:r>
            <m:rPr>
              <m:sty m:val="p"/>
            </m:rPr>
            <m:t>≈</m:t>
          </m:r>
          <m:f>
            <m:fPr>
              <m:type m:val="bar"/>
            </m:fPr>
            <m:num>
              <m:r>
                <m:t>80</m:t>
              </m:r>
              <m:r>
                <m:rPr>
                  <m:nor/>
                  <m:sty m:val="p"/>
                </m:rPr>
                <m:t> mV</m:t>
              </m:r>
            </m:num>
            <m:den>
              <m:sSup>
                <m:e>
                  <m:r>
                    <m:t>2</m:t>
                  </m:r>
                </m:e>
                <m:sup>
                  <m:r>
                    <m:t>24</m:t>
                  </m:r>
                </m:sup>
              </m:sSup>
            </m:den>
          </m:f>
          <m:r>
            <m:rPr>
              <m:sty m:val="p"/>
            </m:rPr>
            <m:t>≈</m:t>
          </m:r>
          <m:r>
            <m:t>5</m:t>
          </m:r>
          <m:r>
            <m:rPr>
              <m:nor/>
              <m:sty m:val="p"/>
            </m:rPr>
            <m:t> nV</m:t>
          </m:r>
        </m:oMath>
      </m:oMathPara>
    </w:p>
    <w:p>
      <w:pPr>
        <w:pStyle w:val="FirstParagraph"/>
      </w:pPr>
      <w:r>
        <w:t xml:space="preserve">soit, au courant d’injection de 1,78 mA, une résolution en résistance de l’ordre du centième de milliohm, suffisante pour suivre la corrosion. Le firmware ESP32 reconstitue la résistance du fil par :</w:t>
      </w:r>
    </w:p>
    <w:p>
      <w:pPr>
        <w:pStyle w:val="BodyText"/>
      </w:pPr>
      <m:oMathPara>
        <m:oMathParaPr>
          <m:jc m:val="center"/>
        </m:oMathParaPr>
        <m:oMath>
          <m:sSub>
            <m:e>
              <m:r>
                <m:t>R</m:t>
              </m:r>
            </m:e>
            <m:sub>
              <m:r>
                <m:t>f</m:t>
              </m:r>
              <m:r>
                <m:t>i</m:t>
              </m:r>
              <m:r>
                <m:t>l</m:t>
              </m:r>
            </m:sub>
          </m:sSub>
          <m:r>
            <m:rPr>
              <m:sty m:val="p"/>
            </m:rPr>
            <m:t>=</m:t>
          </m:r>
          <m:f>
            <m:fPr>
              <m:type m:val="bar"/>
            </m:fPr>
            <m:num>
              <m:sSub>
                <m:e>
                  <m:r>
                    <m:t>V</m:t>
                  </m:r>
                </m:e>
                <m:sub>
                  <m:r>
                    <m:t>s</m:t>
                  </m:r>
                  <m:r>
                    <m:t>e</m:t>
                  </m:r>
                  <m:r>
                    <m:t>n</m:t>
                  </m:r>
                  <m:r>
                    <m:t>s</m:t>
                  </m:r>
                  <m:r>
                    <m:t>e</m:t>
                  </m:r>
                </m:sub>
              </m:sSub>
            </m:num>
            <m:den>
              <m:r>
                <m:t>I</m:t>
              </m:r>
            </m:den>
          </m:f>
          <m:r>
            <m:rPr>
              <m:sty m:val="p"/>
            </m:rPr>
            <m:t>×</m:t>
          </m:r>
          <m:sSub>
            <m:e>
              <m:r>
                <m:t>k</m:t>
              </m:r>
            </m:e>
            <m:sub>
              <m:r>
                <m:t>c</m:t>
              </m:r>
              <m:r>
                <m:t>a</m:t>
              </m:r>
              <m:r>
                <m:t>l</m:t>
              </m:r>
            </m:sub>
          </m:sSub>
        </m:oMath>
      </m:oMathPara>
    </w:p>
    <w:p>
      <w:pPr>
        <w:pStyle w:val="FirstParagraph"/>
      </w:pPr>
      <w:r>
        <w:t xml:space="preserve">où</w:t>
      </w:r>
      <w:r>
        <w:t xml:space="preserve"> </w:t>
      </w:r>
      <w:r>
        <w:rPr>
          <w:i/>
          <w:iCs/>
        </w:rPr>
        <w:t xml:space="preserve">k</w:t>
      </w:r>
      <w:r>
        <w:t xml:space="preserve">_cal est un facteur de calibration empirique déterminé par substitution du fil par des résistances étalons connues : la chaîne d’amplification sous-estimant le signal d’un facteur constant, ce coefficient le corrige (étalonnage détaillé en §III.1.1). Le HX711 échantillonne à 10 ou 80 Hz ; la cadence d’acquisition effective de 30 s est fixée par le firmware (§II.2.4).</w:t>
      </w:r>
    </w:p>
    <w:bookmarkEnd w:id="75"/>
    <w:bookmarkStart w:id="79" w:name="Xebea36ada79ef7f10266b65655b3243f22d0595"/>
    <w:p>
      <w:pPr>
        <w:pStyle w:val="Heading3"/>
      </w:pPr>
      <w:r>
        <w:t xml:space="preserve">II.2.4. Système d’acquisition IoT — ESP32 en acquisition continue</w:t>
      </w:r>
    </w:p>
    <w:p>
      <w:pPr>
        <w:pStyle w:val="FirstParagraph"/>
      </w:pPr>
      <w:r>
        <w:t xml:space="preserve">L’ESP32 DevKit V1 est un microcontrôleur bi-cœur Wi-Fi + Bluetooth (Espressif Systems) qui supporte deux modes d’acquisition : un mode deep sleep pulsé (~10 µA, adapté à un déploiement terrain longue durée sur batterie) et un mode acquisition continue sur alimentation secteur (Espressif, 2024). Dans ces essais de corrosion accélérée, où la rupture survient en quelques heures à un jour et où la phase d’emballement final est très rapide, le mode retenu est l’acquisition continue à période de 30 secondes, qui fournit la résolution temporelle nécessaire pour capturer la cinétique de dégradation. Le mode deep sleep demeure l’option privilégiée pour un futur déploiement terrain de longue durée. Le firmware suit le cycle suivant :</w:t>
      </w:r>
    </w:p>
    <w:p>
      <w:pPr>
        <w:pStyle w:val="Compact"/>
        <w:numPr>
          <w:ilvl w:val="0"/>
          <w:numId w:val="1022"/>
        </w:numPr>
      </w:pPr>
      <w:r>
        <w:t xml:space="preserve">Lecture HX711 : moyenne sur 10 échantillons →</w:t>
      </w:r>
      <w:r>
        <w:t xml:space="preserve"> </w:t>
      </w:r>
      <w:r>
        <w:rPr>
          <w:i/>
          <w:iCs/>
        </w:rPr>
        <w:t xml:space="preserve">R</w:t>
      </w:r>
      <w:r>
        <w:t xml:space="preserve">ₓ ;</w:t>
      </w:r>
    </w:p>
    <w:p>
      <w:pPr>
        <w:pStyle w:val="Compact"/>
        <w:numPr>
          <w:ilvl w:val="0"/>
          <w:numId w:val="1022"/>
        </w:numPr>
      </w:pPr>
      <w:r>
        <w:t xml:space="preserve">Lecture DS18B20 : conversion 12 bits (0,0625 °C) →</w:t>
      </w:r>
      <w:r>
        <w:t xml:space="preserve"> </w:t>
      </w:r>
      <w:r>
        <w:rPr>
          <w:i/>
          <w:iCs/>
        </w:rPr>
        <w:t xml:space="preserve">T</w:t>
      </w:r>
      <w:r>
        <w:t xml:space="preserve"> </w:t>
      </w:r>
      <w:r>
        <w:t xml:space="preserve">;</w:t>
      </w:r>
    </w:p>
    <w:p>
      <w:pPr>
        <w:pStyle w:val="Compact"/>
        <w:numPr>
          <w:ilvl w:val="0"/>
          <w:numId w:val="1022"/>
        </w:numPr>
      </w:pPr>
      <w:r>
        <w:t xml:space="preserve">Connexion Wi-Fi et envoi HTTPS POST vers la base de données Supabase (PostgreSQL managé) via son API REST PostgREST, payload JSON ;</w:t>
      </w:r>
    </w:p>
    <w:p>
      <w:pPr>
        <w:pStyle w:val="Compact"/>
        <w:numPr>
          <w:ilvl w:val="0"/>
          <w:numId w:val="1022"/>
        </w:numPr>
      </w:pPr>
      <w:r>
        <w:t xml:space="preserve">Temporisation de 30 secondes avant le cycle suivant.</w:t>
      </w:r>
    </w:p>
    <w:p>
      <w:pPr>
        <w:pStyle w:val="CaptionedFigure"/>
        <w:jc w:val="center"/>
      </w:pPr>
      <w:r>
        <w:drawing>
          <wp:inline>
            <wp:extent cx="5296535" cy="2391787"/>
            <wp:effectExtent b="0" l="0" r="0" t="0"/>
            <wp:docPr descr="Figure II.3 — Cycle de fonctionnement de l’acquisition ESP32" title="" id="77" name="Picture"/>
            <a:graphic>
              <a:graphicData uri="http://schemas.openxmlformats.org/drawingml/2006/picture">
                <pic:pic>
                  <pic:nvPicPr>
                    <pic:cNvPr descr="figures/fig_ii3_cycle_esp32.png" id="78" name="Picture"/>
                    <pic:cNvPicPr>
                      <a:picLocks noChangeArrowheads="1" noChangeAspect="1"/>
                    </pic:cNvPicPr>
                  </pic:nvPicPr>
                  <pic:blipFill>
                    <a:blip r:embed="rId76"/>
                    <a:stretch>
                      <a:fillRect/>
                    </a:stretch>
                  </pic:blipFill>
                  <pic:spPr bwMode="auto">
                    <a:xfrm>
                      <a:off x="0" y="0"/>
                      <a:ext cx="5296535" cy="2391787"/>
                    </a:xfrm>
                    <a:prstGeom prst="rect">
                      <a:avLst/>
                    </a:prstGeom>
                    <a:noFill/>
                    <a:ln w="9525">
                      <a:noFill/>
                      <a:headEnd/>
                      <a:tailEnd/>
                    </a:ln>
                  </pic:spPr>
                </pic:pic>
              </a:graphicData>
            </a:graphic>
          </wp:inline>
        </w:drawing>
      </w:r>
    </w:p>
    <w:p>
      <w:pPr>
        <w:pStyle w:val="ImageCaption"/>
      </w:pPr>
      <w:r>
        <w:t xml:space="preserve">Figure II.3 — Cycle de fonctionnement de l’acquisition ESP32</w:t>
      </w:r>
    </w:p>
    <w:p>
      <w:pPr>
        <w:pStyle w:val="BodyText"/>
      </w:pPr>
      <w:r>
        <w:t xml:space="preserve">La persistance distante des mesures est assurée côté Supabase dans la table</w:t>
      </w:r>
      <w:r>
        <w:t xml:space="preserve"> </w:t>
      </w:r>
      <w:r>
        <w:rPr>
          <w:rStyle w:val="VerbatimChar"/>
        </w:rPr>
        <w:t xml:space="preserve">cr_measurements</w:t>
      </w:r>
      <w:r>
        <w:t xml:space="preserve"> </w:t>
      </w:r>
      <w:r>
        <w:t xml:space="preserve">(voir Annexe F). En cas d’échec Wi-Fi, la transmission est ré-essayée au cycle suivant. Le payload JSON émis est :</w:t>
      </w:r>
    </w:p>
    <w:p>
      <w:pPr>
        <w:pStyle w:val="SourceCode"/>
      </w:pPr>
      <w:r>
        <w:rPr>
          <w:rStyle w:val="FunctionTok"/>
        </w:rPr>
        <w:t xml:space="preserve">{</w:t>
      </w:r>
      <w:r>
        <w:br/>
      </w:r>
      <w:r>
        <w:rPr>
          <w:rStyle w:val="NormalTok"/>
        </w:rPr>
        <w:t xml:space="preserve">  </w:t>
      </w:r>
      <w:r>
        <w:rPr>
          <w:rStyle w:val="DataTypeTok"/>
        </w:rPr>
        <w:t xml:space="preserve">"timestamp_s"</w:t>
      </w:r>
      <w:r>
        <w:rPr>
          <w:rStyle w:val="FunctionTok"/>
        </w:rPr>
        <w:t xml:space="preserve">:</w:t>
      </w:r>
      <w:r>
        <w:rPr>
          <w:rStyle w:val="NormalTok"/>
        </w:rPr>
        <w:t xml:space="preserve"> </w:t>
      </w:r>
      <w:r>
        <w:rPr>
          <w:rStyle w:val="DecValTok"/>
        </w:rPr>
        <w:t xml:space="preserve">1714500000</w:t>
      </w:r>
      <w:r>
        <w:rPr>
          <w:rStyle w:val="FunctionTok"/>
        </w:rPr>
        <w:t xml:space="preserve">,</w:t>
      </w:r>
      <w:r>
        <w:br/>
      </w:r>
      <w:r>
        <w:rPr>
          <w:rStyle w:val="NormalTok"/>
        </w:rPr>
        <w:t xml:space="preserve">  </w:t>
      </w:r>
      <w:r>
        <w:rPr>
          <w:rStyle w:val="DataTypeTok"/>
        </w:rPr>
        <w:t xml:space="preserve">"vdiff_v"</w:t>
      </w:r>
      <w:r>
        <w:rPr>
          <w:rStyle w:val="FunctionTok"/>
        </w:rPr>
        <w:t xml:space="preserve">:</w:t>
      </w:r>
      <w:r>
        <w:rPr>
          <w:rStyle w:val="NormalTok"/>
        </w:rPr>
        <w:t xml:space="preserve"> </w:t>
      </w:r>
      <w:r>
        <w:rPr>
          <w:rStyle w:val="FloatTok"/>
        </w:rPr>
        <w:t xml:space="preserve">-1.23e-6</w:t>
      </w:r>
      <w:r>
        <w:rPr>
          <w:rStyle w:val="FunctionTok"/>
        </w:rPr>
        <w:t xml:space="preserve">,</w:t>
      </w:r>
      <w:r>
        <w:br/>
      </w:r>
      <w:r>
        <w:rPr>
          <w:rStyle w:val="NormalTok"/>
        </w:rPr>
        <w:t xml:space="preserve">  </w:t>
      </w:r>
      <w:r>
        <w:rPr>
          <w:rStyle w:val="DataTypeTok"/>
        </w:rPr>
        <w:t xml:space="preserve">"rx_ohm"</w:t>
      </w:r>
      <w:r>
        <w:rPr>
          <w:rStyle w:val="FunctionTok"/>
        </w:rPr>
        <w:t xml:space="preserve">:</w:t>
      </w:r>
      <w:r>
        <w:rPr>
          <w:rStyle w:val="NormalTok"/>
        </w:rPr>
        <w:t xml:space="preserve"> </w:t>
      </w:r>
      <w:r>
        <w:rPr>
          <w:rStyle w:val="FloatTok"/>
        </w:rPr>
        <w:t xml:space="preserve">0.132156</w:t>
      </w:r>
      <w:r>
        <w:rPr>
          <w:rStyle w:val="FunctionTok"/>
        </w:rPr>
        <w:t xml:space="preserve">,</w:t>
      </w:r>
      <w:r>
        <w:br/>
      </w:r>
      <w:r>
        <w:rPr>
          <w:rStyle w:val="NormalTok"/>
        </w:rPr>
        <w:t xml:space="preserve">  </w:t>
      </w:r>
      <w:r>
        <w:rPr>
          <w:rStyle w:val="DataTypeTok"/>
        </w:rPr>
        <w:t xml:space="preserve">"temp_c"</w:t>
      </w:r>
      <w:r>
        <w:rPr>
          <w:rStyle w:val="FunctionTok"/>
        </w:rPr>
        <w:t xml:space="preserve">:</w:t>
      </w:r>
      <w:r>
        <w:rPr>
          <w:rStyle w:val="NormalTok"/>
        </w:rPr>
        <w:t xml:space="preserve"> </w:t>
      </w:r>
      <w:r>
        <w:rPr>
          <w:rStyle w:val="FloatTok"/>
        </w:rPr>
        <w:t xml:space="preserve">26.44</w:t>
      </w:r>
      <w:r>
        <w:rPr>
          <w:rStyle w:val="FunctionTok"/>
        </w:rPr>
        <w:t xml:space="preserve">,</w:t>
      </w:r>
      <w:r>
        <w:br/>
      </w:r>
      <w:r>
        <w:rPr>
          <w:rStyle w:val="NormalTok"/>
        </w:rPr>
        <w:t xml:space="preserve">  </w:t>
      </w:r>
      <w:r>
        <w:rPr>
          <w:rStyle w:val="DataTypeTok"/>
        </w:rPr>
        <w:t xml:space="preserve">"delta_r_per_h"</w:t>
      </w:r>
      <w:r>
        <w:rPr>
          <w:rStyle w:val="FunctionTok"/>
        </w:rPr>
        <w:t xml:space="preserve">:</w:t>
      </w:r>
      <w:r>
        <w:rPr>
          <w:rStyle w:val="NormalTok"/>
        </w:rPr>
        <w:t xml:space="preserve"> </w:t>
      </w:r>
      <w:r>
        <w:rPr>
          <w:rStyle w:val="FloatTok"/>
        </w:rPr>
        <w:t xml:space="preserve">2.7e-7</w:t>
      </w:r>
      <w:r>
        <w:br/>
      </w:r>
      <w:r>
        <w:rPr>
          <w:rStyle w:val="FunctionTok"/>
        </w:rPr>
        <w:t xml:space="preserve">}</w:t>
      </w:r>
    </w:p>
    <w:p>
      <w:pPr>
        <w:pStyle w:val="FirstParagraph"/>
      </w:pPr>
      <w:r>
        <w:t xml:space="preserve">Le code source du firmware est versionné sur GitHub (dépôt</w:t>
      </w:r>
      <w:r>
        <w:t xml:space="preserve"> </w:t>
      </w:r>
      <w:r>
        <w:rPr>
          <w:rStyle w:val="VerbatimChar"/>
        </w:rPr>
        <w:t xml:space="preserve">londola13/predictive-maintenance-corrosion</w:t>
      </w:r>
      <w:r>
        <w:t xml:space="preserve">, répertoire</w:t>
      </w:r>
      <w:r>
        <w:t xml:space="preserve"> </w:t>
      </w:r>
      <w:r>
        <w:rPr>
          <w:rStyle w:val="VerbatimChar"/>
        </w:rPr>
        <w:t xml:space="preserve">firmware/</w:t>
      </w:r>
      <w:r>
        <w:t xml:space="preserve">), de même que l’ensemble du pipeline Python ML, le code de l’application Streamlit, les notebooks d’analyse et le présent mémoire, assurant traçabilité, reproductibilité et historisation des évolutions tout au long du projet.</w:t>
      </w:r>
    </w:p>
    <w:p>
      <w:r>
        <w:pict>
          <v:rect style="width:0;height:1.5pt" o:hralign="center" o:hrstd="t" o:hr="t"/>
        </w:pict>
      </w:r>
    </w:p>
    <w:bookmarkEnd w:id="79"/>
    <w:bookmarkEnd w:id="80"/>
    <w:bookmarkStart w:id="83" w:name="ii.3.-matériels-mobilisés"/>
    <w:p>
      <w:pPr>
        <w:pStyle w:val="Heading2"/>
      </w:pPr>
      <w:r>
        <w:t xml:space="preserve">II.3. Matériels mobilisés</w:t>
      </w:r>
    </w:p>
    <w:bookmarkStart w:id="81" w:name="ii.3.1.-matériels-expérimentaux"/>
    <w:p>
      <w:pPr>
        <w:pStyle w:val="Heading3"/>
      </w:pPr>
      <w:r>
        <w:t xml:space="preserve">II.3.1. Matériels expérimentaux</w:t>
      </w:r>
    </w:p>
    <w:p>
      <w:pPr>
        <w:pStyle w:val="FirstParagraph"/>
      </w:pPr>
      <w:r>
        <w:t xml:space="preserve">Le tableau ci-dessous consolide la totalité des matériels mobilisés dans le cadre de cette recherche.</w:t>
      </w:r>
    </w:p>
    <w:p>
      <w:pPr>
        <w:pStyle w:val="TableCaption"/>
        <w:jc w:val="center"/>
      </w:pPr>
      <w:r>
        <w:t xml:space="preserve">Tableau II.2 — Récapitulatif des matériels expérimentaux</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Élément</w:t>
            </w:r>
          </w:p>
        </w:tc>
        <w:tc>
          <w:tcPr>
            <w:shd w:val="clear" w:color="auto" w:fill="EFEFEF"/>
          </w:tcPr>
          <w:p>
            <w:pPr>
              <w:pStyle w:val="Compact"/>
            </w:pPr>
            <w:r>
              <w:t xml:space="preserve">Utilité</w:t>
            </w:r>
          </w:p>
        </w:tc>
        <w:tc>
          <w:tcPr>
            <w:shd w:val="clear" w:color="auto" w:fill="EFEFEF"/>
          </w:tcPr>
          <w:p>
            <w:pPr>
              <w:pStyle w:val="Compact"/>
            </w:pPr>
            <w:r>
              <w:t xml:space="preserve">Outils / Spécifications</w:t>
            </w:r>
          </w:p>
        </w:tc>
      </w:tr>
      <w:tr>
        <w:tc>
          <w:tcPr/>
          <w:p>
            <w:pPr>
              <w:pStyle w:val="Compact"/>
            </w:pPr>
            <w:r>
              <w:t xml:space="preserve">Microcontrôleur</w:t>
            </w:r>
          </w:p>
        </w:tc>
        <w:tc>
          <w:tcPr/>
          <w:p>
            <w:pPr>
              <w:pStyle w:val="Compact"/>
            </w:pPr>
            <w:r>
              <w:t xml:space="preserve">Acquisition, calcul, transmission</w:t>
            </w:r>
          </w:p>
        </w:tc>
        <w:tc>
          <w:tcPr/>
          <w:p>
            <w:pPr>
              <w:pStyle w:val="Compact"/>
            </w:pPr>
            <w:r>
              <w:t xml:space="preserve">ESP32 DevKit V1 (Espressif)</w:t>
            </w:r>
          </w:p>
        </w:tc>
      </w:tr>
      <w:tr>
        <w:tc>
          <w:tcPr/>
          <w:p>
            <w:pPr>
              <w:pStyle w:val="Compact"/>
            </w:pPr>
            <w:r>
              <w:t xml:space="preserve">Amplificateur ADC</w:t>
            </w:r>
          </w:p>
        </w:tc>
        <w:tc>
          <w:tcPr/>
          <w:p>
            <w:pPr>
              <w:pStyle w:val="Compact"/>
            </w:pPr>
            <w:r>
              <w:t xml:space="preserve">Conversion différentielle 24 bits</w:t>
            </w:r>
          </w:p>
        </w:tc>
        <w:tc>
          <w:tcPr/>
          <w:p>
            <w:pPr>
              <w:pStyle w:val="Compact"/>
            </w:pPr>
            <w:r>
              <w:t xml:space="preserve">HX711, gain 64</w:t>
            </w:r>
          </w:p>
        </w:tc>
      </w:tr>
      <w:tr>
        <w:tc>
          <w:tcPr/>
          <w:p>
            <w:pPr>
              <w:pStyle w:val="Compact"/>
            </w:pPr>
            <w:r>
              <w:t xml:space="preserve">Capteur de température</w:t>
            </w:r>
          </w:p>
        </w:tc>
        <w:tc>
          <w:tcPr/>
          <w:p>
            <w:pPr>
              <w:pStyle w:val="Compact"/>
            </w:pPr>
            <w:r>
              <w:t xml:space="preserve">Compensation thermique</w:t>
            </w:r>
          </w:p>
        </w:tc>
        <w:tc>
          <w:tcPr/>
          <w:p>
            <w:pPr>
              <w:pStyle w:val="Compact"/>
            </w:pPr>
            <w:r>
              <w:t xml:space="preserve">DS18B20, bus 1-Wire, résolution 12 bits</w:t>
            </w:r>
          </w:p>
        </w:tc>
      </w:tr>
      <w:tr>
        <w:tc>
          <w:tcPr/>
          <w:p>
            <w:pPr>
              <w:pStyle w:val="Compact"/>
            </w:pPr>
            <w:r>
              <w:t xml:space="preserve">Fil ER actif</w:t>
            </w:r>
          </w:p>
        </w:tc>
        <w:tc>
          <w:tcPr/>
          <w:p>
            <w:pPr>
              <w:pStyle w:val="Compact"/>
            </w:pPr>
            <w:r>
              <w:t xml:space="preserve">Élément corrodable</w:t>
            </w:r>
          </w:p>
        </w:tc>
        <w:tc>
          <w:tcPr/>
          <w:p>
            <w:pPr>
              <w:pStyle w:val="Compact"/>
            </w:pPr>
            <w:r>
              <w:t xml:space="preserve">Fil de fer recuit, Ø 1,15 mm,</w:t>
            </w:r>
            <w:r>
              <w:t xml:space="preserve"> </w:t>
            </w:r>
            <w:r>
              <w:rPr>
                <w:i/>
                <w:iCs/>
              </w:rPr>
              <w:t xml:space="preserve">L</w:t>
            </w:r>
            <w:r>
              <w:t xml:space="preserve"> </w:t>
            </w:r>
            <w:r>
              <w:t xml:space="preserve">≈ 2 m</w:t>
            </w:r>
          </w:p>
        </w:tc>
      </w:tr>
      <w:tr>
        <w:tc>
          <w:tcPr/>
          <w:p>
            <w:pPr>
              <w:pStyle w:val="Compact"/>
            </w:pPr>
            <w:r>
              <w:t xml:space="preserve">Résistances de polarisation</w:t>
            </w:r>
          </w:p>
        </w:tc>
        <w:tc>
          <w:tcPr/>
          <w:p>
            <w:pPr>
              <w:pStyle w:val="Compact"/>
            </w:pPr>
            <w:r>
              <w:t xml:space="preserve">Injection du courant + relèvement du mode commun</w:t>
            </w:r>
          </w:p>
        </w:tc>
        <w:tc>
          <w:tcPr/>
          <w:p>
            <w:pPr>
              <w:pStyle w:val="Compact"/>
            </w:pPr>
            <w:r>
              <w:rPr>
                <w:i/>
                <w:iCs/>
              </w:rPr>
              <w:t xml:space="preserve">R</w:t>
            </w:r>
            <w:r>
              <w:t xml:space="preserve">_shunt =</w:t>
            </w:r>
            <w:r>
              <w:t xml:space="preserve"> </w:t>
            </w:r>
            <w:r>
              <w:rPr>
                <w:i/>
                <w:iCs/>
              </w:rPr>
              <w:t xml:space="preserve">R</w:t>
            </w:r>
            <w:r>
              <w:t xml:space="preserve">_lift = 970 Ω (1 %)</w:t>
            </w:r>
          </w:p>
        </w:tc>
      </w:tr>
      <w:tr>
        <w:tc>
          <w:tcPr/>
          <w:p>
            <w:pPr>
              <w:pStyle w:val="Compact"/>
            </w:pPr>
            <w:r>
              <w:t xml:space="preserve">Pull-up DS18B20</w:t>
            </w:r>
          </w:p>
        </w:tc>
        <w:tc>
          <w:tcPr/>
          <w:p>
            <w:pPr>
              <w:pStyle w:val="Compact"/>
            </w:pPr>
            <w:r>
              <w:t xml:space="preserve">Bus 1-Wire</w:t>
            </w:r>
          </w:p>
        </w:tc>
        <w:tc>
          <w:tcPr/>
          <w:p>
            <w:pPr>
              <w:pStyle w:val="Compact"/>
            </w:pPr>
            <w:r>
              <w:t xml:space="preserve">4,7 kΩ</w:t>
            </w:r>
          </w:p>
        </w:tc>
      </w:tr>
      <w:tr>
        <w:tc>
          <w:tcPr/>
          <w:p>
            <w:pPr>
              <w:pStyle w:val="Compact"/>
            </w:pPr>
            <w:r>
              <w:t xml:space="preserve">Cellule de corrosion</w:t>
            </w:r>
          </w:p>
        </w:tc>
        <w:tc>
          <w:tcPr/>
          <w:p>
            <w:pPr>
              <w:pStyle w:val="Compact"/>
            </w:pPr>
            <w:r>
              <w:t xml:space="preserve">Contenant milieu</w:t>
            </w:r>
          </w:p>
        </w:tc>
        <w:tc>
          <w:tcPr/>
          <w:p>
            <w:pPr>
              <w:pStyle w:val="Compact"/>
            </w:pPr>
            <w:r>
              <w:t xml:space="preserve">Récipient en plastique</w:t>
            </w:r>
          </w:p>
        </w:tc>
      </w:tr>
      <w:tr>
        <w:tc>
          <w:tcPr/>
          <w:p>
            <w:pPr>
              <w:pStyle w:val="Compact"/>
            </w:pPr>
            <w:r>
              <w:t xml:space="preserve">Milieu corrosif</w:t>
            </w:r>
          </w:p>
        </w:tc>
        <w:tc>
          <w:tcPr/>
          <w:p>
            <w:pPr>
              <w:pStyle w:val="Compact"/>
            </w:pPr>
            <w:r>
              <w:t xml:space="preserve">Environnement test</w:t>
            </w:r>
          </w:p>
        </w:tc>
        <w:tc>
          <w:tcPr/>
          <w:p>
            <w:pPr>
              <w:pStyle w:val="Compact"/>
            </w:pPr>
            <w:r>
              <w:t xml:space="preserve">Acide chlorhydrique concentré (HCl), pH ≈ 1</w:t>
            </w:r>
          </w:p>
        </w:tc>
      </w:tr>
      <w:tr>
        <w:tc>
          <w:tcPr/>
          <w:p>
            <w:pPr>
              <w:pStyle w:val="Compact"/>
            </w:pPr>
            <w:r>
              <w:t xml:space="preserve">Régulation thermique</w:t>
            </w:r>
          </w:p>
        </w:tc>
        <w:tc>
          <w:tcPr/>
          <w:p>
            <w:pPr>
              <w:pStyle w:val="Compact"/>
            </w:pPr>
            <w:r>
              <w:t xml:space="preserve">Contrôle de la température (in situ)</w:t>
            </w:r>
          </w:p>
        </w:tc>
        <w:tc>
          <w:tcPr/>
          <w:p>
            <w:pPr>
              <w:pStyle w:val="Compact"/>
            </w:pPr>
            <w:r>
              <w:t xml:space="preserve">Chauffe-eau d’aquarium 25 W étanche, plage 16–35 °C, immergé directement dans la cellule (phase contrôlée)</w:t>
            </w:r>
          </w:p>
        </w:tc>
      </w:tr>
      <w:tr>
        <w:tc>
          <w:tcPr/>
          <w:p>
            <w:pPr>
              <w:pStyle w:val="Compact"/>
            </w:pPr>
            <w:r>
              <w:t xml:space="preserve">pH-mètre papier</w:t>
            </w:r>
          </w:p>
        </w:tc>
        <w:tc>
          <w:tcPr/>
          <w:p>
            <w:pPr>
              <w:pStyle w:val="Compact"/>
            </w:pPr>
            <w:r>
              <w:t xml:space="preserve">Vérification pH</w:t>
            </w:r>
          </w:p>
        </w:tc>
        <w:tc>
          <w:tcPr/>
          <w:p>
            <w:pPr>
              <w:pStyle w:val="Compact"/>
            </w:pPr>
            <w:r>
              <w:t xml:space="preserve">Plages 0–14, résolution ±0,5</w:t>
            </w:r>
          </w:p>
        </w:tc>
      </w:tr>
      <w:tr>
        <w:tc>
          <w:tcPr/>
          <w:p>
            <w:pPr>
              <w:pStyle w:val="Compact"/>
            </w:pPr>
            <w:r>
              <w:t xml:space="preserve">Câble USB-UART</w:t>
            </w:r>
          </w:p>
        </w:tc>
        <w:tc>
          <w:tcPr/>
          <w:p>
            <w:pPr>
              <w:pStyle w:val="Compact"/>
            </w:pPr>
            <w:r>
              <w:t xml:space="preserve">Liaison ESP32-PC</w:t>
            </w:r>
          </w:p>
        </w:tc>
        <w:tc>
          <w:tcPr/>
          <w:p>
            <w:pPr>
              <w:pStyle w:val="Compact"/>
            </w:pPr>
            <w:r>
              <w:t xml:space="preserve">CP2102 ou CH340</w:t>
            </w:r>
          </w:p>
        </w:tc>
      </w:tr>
      <w:tr>
        <w:tc>
          <w:tcPr/>
          <w:p>
            <w:pPr>
              <w:pStyle w:val="Compact"/>
            </w:pPr>
            <w:r>
              <w:t xml:space="preserve">Multimètre numérique</w:t>
            </w:r>
          </w:p>
        </w:tc>
        <w:tc>
          <w:tcPr/>
          <w:p>
            <w:pPr>
              <w:pStyle w:val="Compact"/>
            </w:pPr>
            <w:r>
              <w:t xml:space="preserve">Mesure</w:t>
            </w:r>
            <w:r>
              <w:t xml:space="preserve"> </w:t>
            </w:r>
            <w:r>
              <w:rPr>
                <w:i/>
                <w:iCs/>
              </w:rPr>
              <w:t xml:space="preserve">R</w:t>
            </w:r>
            <w:r>
              <w:t xml:space="preserve">₀ initiale</w:t>
            </w:r>
          </w:p>
        </w:tc>
        <w:tc>
          <w:tcPr/>
          <w:p>
            <w:pPr>
              <w:pStyle w:val="Compact"/>
            </w:pPr>
            <w:r>
              <w:t xml:space="preserve">Précision 0,1 %</w:t>
            </w:r>
          </w:p>
        </w:tc>
      </w:tr>
      <w:tr>
        <w:tc>
          <w:tcPr/>
          <w:p>
            <w:pPr>
              <w:pStyle w:val="Compact"/>
            </w:pPr>
            <w:r>
              <w:t xml:space="preserve">Ordinateur portable</w:t>
            </w:r>
          </w:p>
        </w:tc>
        <w:tc>
          <w:tcPr/>
          <w:p>
            <w:pPr>
              <w:pStyle w:val="Compact"/>
            </w:pPr>
            <w:r>
              <w:t xml:space="preserve">Acquisition + ML</w:t>
            </w:r>
          </w:p>
        </w:tc>
        <w:tc>
          <w:tcPr/>
          <w:p>
            <w:pPr>
              <w:pStyle w:val="Compact"/>
            </w:pPr>
            <w:r>
              <w:t xml:space="preserve">i7, 16 Go RAM, Python 3.10</w:t>
            </w:r>
          </w:p>
        </w:tc>
      </w:tr>
      <w:tr>
        <w:tc>
          <w:tcPr/>
          <w:p>
            <w:pPr>
              <w:pStyle w:val="Compact"/>
            </w:pPr>
            <w:r>
              <w:t xml:space="preserve">EPI</w:t>
            </w:r>
          </w:p>
        </w:tc>
        <w:tc>
          <w:tcPr/>
          <w:p>
            <w:pPr>
              <w:pStyle w:val="Compact"/>
            </w:pPr>
            <w:r>
              <w:t xml:space="preserve">Sécurité</w:t>
            </w:r>
          </w:p>
        </w:tc>
        <w:tc>
          <w:tcPr/>
          <w:p>
            <w:pPr>
              <w:pStyle w:val="Compact"/>
            </w:pPr>
            <w:r>
              <w:t xml:space="preserve">Lunettes, gants nitrile, blouse</w:t>
            </w:r>
          </w:p>
        </w:tc>
      </w:tr>
    </w:tbl>
    <w:p>
      <w:pPr>
        <w:pStyle w:val="TableCaption"/>
        <w:jc w:val="center"/>
      </w:pPr>
      <w:r>
        <w:t xml:space="preserve">Tableau II.3 — Brochage ESP32</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Signal</w:t>
            </w:r>
          </w:p>
        </w:tc>
        <w:tc>
          <w:tcPr>
            <w:shd w:val="clear" w:color="auto" w:fill="EFEFEF"/>
          </w:tcPr>
          <w:p>
            <w:pPr>
              <w:pStyle w:val="Compact"/>
            </w:pPr>
            <w:r>
              <w:t xml:space="preserve">Pin ESP32</w:t>
            </w:r>
          </w:p>
        </w:tc>
        <w:tc>
          <w:tcPr>
            <w:shd w:val="clear" w:color="auto" w:fill="EFEFEF"/>
          </w:tcPr>
          <w:p>
            <w:pPr>
              <w:pStyle w:val="Compact"/>
            </w:pPr>
            <w:r>
              <w:t xml:space="preserve">Description</w:t>
            </w:r>
          </w:p>
        </w:tc>
      </w:tr>
      <w:tr>
        <w:tc>
          <w:tcPr/>
          <w:p>
            <w:pPr>
              <w:pStyle w:val="Compact"/>
            </w:pPr>
            <w:r>
              <w:t xml:space="preserve">HX711 DOUT</w:t>
            </w:r>
          </w:p>
        </w:tc>
        <w:tc>
          <w:tcPr/>
          <w:p>
            <w:pPr>
              <w:pStyle w:val="Compact"/>
            </w:pPr>
            <w:r>
              <w:t xml:space="preserve">GPIO 21</w:t>
            </w:r>
          </w:p>
        </w:tc>
        <w:tc>
          <w:tcPr/>
          <w:p>
            <w:pPr>
              <w:pStyle w:val="Compact"/>
            </w:pPr>
            <w:r>
              <w:t xml:space="preserve">Données série HX711</w:t>
            </w:r>
          </w:p>
        </w:tc>
      </w:tr>
      <w:tr>
        <w:tc>
          <w:tcPr/>
          <w:p>
            <w:pPr>
              <w:pStyle w:val="Compact"/>
            </w:pPr>
            <w:r>
              <w:t xml:space="preserve">HX711 SCK</w:t>
            </w:r>
          </w:p>
        </w:tc>
        <w:tc>
          <w:tcPr/>
          <w:p>
            <w:pPr>
              <w:pStyle w:val="Compact"/>
            </w:pPr>
            <w:r>
              <w:t xml:space="preserve">GPIO 22</w:t>
            </w:r>
          </w:p>
        </w:tc>
        <w:tc>
          <w:tcPr/>
          <w:p>
            <w:pPr>
              <w:pStyle w:val="Compact"/>
            </w:pPr>
            <w:r>
              <w:t xml:space="preserve">Horloge HX711</w:t>
            </w:r>
          </w:p>
        </w:tc>
      </w:tr>
      <w:tr>
        <w:tc>
          <w:tcPr/>
          <w:p>
            <w:pPr>
              <w:pStyle w:val="Compact"/>
            </w:pPr>
            <w:r>
              <w:t xml:space="preserve">DS18B20 DQ</w:t>
            </w:r>
          </w:p>
        </w:tc>
        <w:tc>
          <w:tcPr/>
          <w:p>
            <w:pPr>
              <w:pStyle w:val="Compact"/>
            </w:pPr>
            <w:r>
              <w:t xml:space="preserve">GPIO 19</w:t>
            </w:r>
          </w:p>
        </w:tc>
        <w:tc>
          <w:tcPr/>
          <w:p>
            <w:pPr>
              <w:pStyle w:val="Compact"/>
            </w:pPr>
            <w:r>
              <w:t xml:space="preserve">Bus 1-Wire température (pull-up 4,7 kΩ)</w:t>
            </w:r>
          </w:p>
        </w:tc>
      </w:tr>
      <w:tr>
        <w:tc>
          <w:tcPr/>
          <w:p>
            <w:pPr>
              <w:pStyle w:val="Compact"/>
            </w:pPr>
            <w:r>
              <w:t xml:space="preserve">Alimentation</w:t>
            </w:r>
          </w:p>
        </w:tc>
        <w:tc>
          <w:tcPr/>
          <w:p>
            <w:pPr>
              <w:pStyle w:val="Compact"/>
            </w:pPr>
            <w:r>
              <w:t xml:space="preserve">3,3 V</w:t>
            </w:r>
          </w:p>
        </w:tc>
        <w:tc>
          <w:tcPr/>
          <w:p>
            <w:pPr>
              <w:pStyle w:val="Compact"/>
            </w:pPr>
            <w:r>
              <w:t xml:space="preserve">Pont + HX711 + DS18B20</w:t>
            </w:r>
          </w:p>
        </w:tc>
      </w:tr>
      <w:tr>
        <w:tc>
          <w:tcPr/>
          <w:p>
            <w:pPr>
              <w:pStyle w:val="Compact"/>
            </w:pPr>
            <w:r>
              <w:t xml:space="preserve">Masse</w:t>
            </w:r>
          </w:p>
        </w:tc>
        <w:tc>
          <w:tcPr/>
          <w:p>
            <w:pPr>
              <w:pStyle w:val="Compact"/>
            </w:pPr>
            <w:r>
              <w:t xml:space="preserve">GND</w:t>
            </w:r>
          </w:p>
        </w:tc>
        <w:tc>
          <w:tcPr/>
          <w:p>
            <w:pPr>
              <w:pStyle w:val="Compact"/>
            </w:pPr>
            <w:r>
              <w:t xml:space="preserve">Commun</w:t>
            </w:r>
          </w:p>
        </w:tc>
      </w:tr>
    </w:tbl>
    <w:bookmarkEnd w:id="81"/>
    <w:bookmarkStart w:id="82" w:name="ii.3.2.-ressources-logicielles"/>
    <w:p>
      <w:pPr>
        <w:pStyle w:val="Heading3"/>
      </w:pPr>
      <w:r>
        <w:t xml:space="preserve">II.3.2. Ressources logicielles</w:t>
      </w:r>
    </w:p>
    <w:p>
      <w:pPr>
        <w:pStyle w:val="TableCaption"/>
        <w:jc w:val="center"/>
      </w:pPr>
      <w:r>
        <w:t xml:space="preserve">Tableau II.4 — Logiciels et bibliothèques utilisés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Logiciel / Bibliothèque</w:t>
            </w:r>
          </w:p>
        </w:tc>
        <w:tc>
          <w:tcPr>
            <w:shd w:val="clear" w:color="auto" w:fill="EFEFEF"/>
          </w:tcPr>
          <w:p>
            <w:pPr>
              <w:pStyle w:val="Compact"/>
            </w:pPr>
            <w:r>
              <w:t xml:space="preserve">Version</w:t>
            </w:r>
          </w:p>
        </w:tc>
        <w:tc>
          <w:tcPr>
            <w:shd w:val="clear" w:color="auto" w:fill="EFEFEF"/>
          </w:tcPr>
          <w:p>
            <w:pPr>
              <w:pStyle w:val="Compact"/>
            </w:pPr>
            <w:r>
              <w:t xml:space="preserve">Rôle</w:t>
            </w:r>
          </w:p>
        </w:tc>
      </w:tr>
      <w:tr>
        <w:tc>
          <w:tcPr/>
          <w:p>
            <w:pPr>
              <w:pStyle w:val="Compact"/>
            </w:pPr>
            <w:r>
              <w:t xml:space="preserve">Arduino IDE</w:t>
            </w:r>
          </w:p>
        </w:tc>
        <w:tc>
          <w:tcPr/>
          <w:p>
            <w:pPr>
              <w:pStyle w:val="Compact"/>
            </w:pPr>
            <w:r>
              <w:t xml:space="preserve">2.x</w:t>
            </w:r>
          </w:p>
        </w:tc>
        <w:tc>
          <w:tcPr/>
          <w:p>
            <w:pPr>
              <w:pStyle w:val="Compact"/>
            </w:pPr>
            <w:r>
              <w:t xml:space="preserve">Programmation firmware ESP32</w:t>
            </w:r>
          </w:p>
        </w:tc>
      </w:tr>
      <w:tr>
        <w:tc>
          <w:tcPr/>
          <w:p>
            <w:pPr>
              <w:pStyle w:val="Compact"/>
            </w:pPr>
            <w:r>
              <w:t xml:space="preserve">Bibliothèque HX711 (bogde)</w:t>
            </w:r>
          </w:p>
        </w:tc>
        <w:tc>
          <w:tcPr/>
          <w:p>
            <w:pPr>
              <w:pStyle w:val="Compact"/>
            </w:pPr>
            <w:r>
              <w:t xml:space="preserve">0.7.5</w:t>
            </w:r>
          </w:p>
        </w:tc>
        <w:tc>
          <w:tcPr/>
          <w:p>
            <w:pPr>
              <w:pStyle w:val="Compact"/>
            </w:pPr>
            <w:r>
              <w:t xml:space="preserve">Lecture HX711</w:t>
            </w:r>
          </w:p>
        </w:tc>
      </w:tr>
      <w:tr>
        <w:tc>
          <w:tcPr/>
          <w:p>
            <w:pPr>
              <w:pStyle w:val="Compact"/>
            </w:pPr>
            <w:r>
              <w:t xml:space="preserve">Bibliothèque OneWire</w:t>
            </w:r>
          </w:p>
        </w:tc>
        <w:tc>
          <w:tcPr/>
          <w:p>
            <w:pPr>
              <w:pStyle w:val="Compact"/>
            </w:pPr>
            <w:r>
              <w:t xml:space="preserve">2.3.x</w:t>
            </w:r>
          </w:p>
        </w:tc>
        <w:tc>
          <w:tcPr/>
          <w:p>
            <w:pPr>
              <w:pStyle w:val="Compact"/>
            </w:pPr>
            <w:r>
              <w:t xml:space="preserve">Bus 1-Wire DS18B20</w:t>
            </w:r>
          </w:p>
        </w:tc>
      </w:tr>
      <w:tr>
        <w:tc>
          <w:tcPr/>
          <w:p>
            <w:pPr>
              <w:pStyle w:val="Compact"/>
            </w:pPr>
            <w:r>
              <w:t xml:space="preserve">Bibliothèque DallasTemperature</w:t>
            </w:r>
          </w:p>
        </w:tc>
        <w:tc>
          <w:tcPr/>
          <w:p>
            <w:pPr>
              <w:pStyle w:val="Compact"/>
            </w:pPr>
            <w:r>
              <w:t xml:space="preserve">3.9.x</w:t>
            </w:r>
          </w:p>
        </w:tc>
        <w:tc>
          <w:tcPr/>
          <w:p>
            <w:pPr>
              <w:pStyle w:val="Compact"/>
            </w:pPr>
            <w:r>
              <w:t xml:space="preserve">Lecture DS18B20</w:t>
            </w:r>
          </w:p>
        </w:tc>
      </w:tr>
      <w:tr>
        <w:tc>
          <w:tcPr/>
          <w:p>
            <w:pPr>
              <w:pStyle w:val="Compact"/>
            </w:pPr>
            <w:r>
              <w:t xml:space="preserve">Python</w:t>
            </w:r>
          </w:p>
        </w:tc>
        <w:tc>
          <w:tcPr/>
          <w:p>
            <w:pPr>
              <w:pStyle w:val="Compact"/>
            </w:pPr>
            <w:r>
              <w:t xml:space="preserve">3.10</w:t>
            </w:r>
          </w:p>
        </w:tc>
        <w:tc>
          <w:tcPr/>
          <w:p>
            <w:pPr>
              <w:pStyle w:val="Compact"/>
            </w:pPr>
            <w:r>
              <w:t xml:space="preserve">Pipeline ML</w:t>
            </w:r>
          </w:p>
        </w:tc>
      </w:tr>
      <w:tr>
        <w:tc>
          <w:tcPr/>
          <w:p>
            <w:pPr>
              <w:pStyle w:val="Compact"/>
            </w:pPr>
            <w:r>
              <w:t xml:space="preserve">Pandas</w:t>
            </w:r>
          </w:p>
        </w:tc>
        <w:tc>
          <w:tcPr/>
          <w:p>
            <w:pPr>
              <w:pStyle w:val="Compact"/>
            </w:pPr>
            <w:r>
              <w:t xml:space="preserve">2.x</w:t>
            </w:r>
          </w:p>
        </w:tc>
        <w:tc>
          <w:tcPr/>
          <w:p>
            <w:pPr>
              <w:pStyle w:val="Compact"/>
            </w:pPr>
            <w:r>
              <w:t xml:space="preserve">Manipulation séries temporelles</w:t>
            </w:r>
          </w:p>
        </w:tc>
      </w:tr>
      <w:tr>
        <w:tc>
          <w:tcPr/>
          <w:p>
            <w:pPr>
              <w:pStyle w:val="Compact"/>
            </w:pPr>
            <w:r>
              <w:t xml:space="preserve">NumPy</w:t>
            </w:r>
          </w:p>
        </w:tc>
        <w:tc>
          <w:tcPr/>
          <w:p>
            <w:pPr>
              <w:pStyle w:val="Compact"/>
            </w:pPr>
            <w:r>
              <w:t xml:space="preserve">1.26</w:t>
            </w:r>
          </w:p>
        </w:tc>
        <w:tc>
          <w:tcPr/>
          <w:p>
            <w:pPr>
              <w:pStyle w:val="Compact"/>
            </w:pPr>
            <w:r>
              <w:t xml:space="preserve">Calculs numériques</w:t>
            </w:r>
          </w:p>
        </w:tc>
      </w:tr>
      <w:tr>
        <w:tc>
          <w:tcPr/>
          <w:p>
            <w:pPr>
              <w:pStyle w:val="Compact"/>
            </w:pPr>
            <w:r>
              <w:t xml:space="preserve">SciPy (savgol_filter)</w:t>
            </w:r>
          </w:p>
        </w:tc>
        <w:tc>
          <w:tcPr/>
          <w:p>
            <w:pPr>
              <w:pStyle w:val="Compact"/>
            </w:pPr>
            <w:r>
              <w:t xml:space="preserve">1.11</w:t>
            </w:r>
          </w:p>
        </w:tc>
        <w:tc>
          <w:tcPr/>
          <w:p>
            <w:pPr>
              <w:pStyle w:val="Compact"/>
            </w:pPr>
            <w:r>
              <w:t xml:space="preserve">Lissage Savitzky-Golay</w:t>
            </w:r>
          </w:p>
        </w:tc>
      </w:tr>
      <w:tr>
        <w:tc>
          <w:tcPr/>
          <w:p>
            <w:pPr>
              <w:pStyle w:val="Compact"/>
            </w:pPr>
            <w:r>
              <w:t xml:space="preserve">XGBoost</w:t>
            </w:r>
          </w:p>
        </w:tc>
        <w:tc>
          <w:tcPr/>
          <w:p>
            <w:pPr>
              <w:pStyle w:val="Compact"/>
            </w:pPr>
            <w:r>
              <w:t xml:space="preserve">2.0</w:t>
            </w:r>
          </w:p>
        </w:tc>
        <w:tc>
          <w:tcPr/>
          <w:p>
            <w:pPr>
              <w:pStyle w:val="Compact"/>
            </w:pPr>
            <w:r>
              <w:t xml:space="preserve">Modèle prédictif</w:t>
            </w:r>
          </w:p>
        </w:tc>
      </w:tr>
      <w:tr>
        <w:tc>
          <w:tcPr/>
          <w:p>
            <w:pPr>
              <w:pStyle w:val="Compact"/>
            </w:pPr>
            <w:r>
              <w:t xml:space="preserve">Scikit-learn</w:t>
            </w:r>
          </w:p>
        </w:tc>
        <w:tc>
          <w:tcPr/>
          <w:p>
            <w:pPr>
              <w:pStyle w:val="Compact"/>
            </w:pPr>
            <w:r>
              <w:t xml:space="preserve">1.3</w:t>
            </w:r>
          </w:p>
        </w:tc>
        <w:tc>
          <w:tcPr/>
          <w:p>
            <w:pPr>
              <w:pStyle w:val="Compact"/>
            </w:pPr>
            <w:r>
              <w:t xml:space="preserve">TimeSeriesSplit, métriques</w:t>
            </w:r>
          </w:p>
        </w:tc>
      </w:tr>
      <w:tr>
        <w:tc>
          <w:tcPr/>
          <w:p>
            <w:pPr>
              <w:pStyle w:val="Compact"/>
            </w:pPr>
            <w:r>
              <w:t xml:space="preserve">SHAP</w:t>
            </w:r>
          </w:p>
        </w:tc>
        <w:tc>
          <w:tcPr/>
          <w:p>
            <w:pPr>
              <w:pStyle w:val="Compact"/>
            </w:pPr>
            <w:r>
              <w:t xml:space="preserve">0.43</w:t>
            </w:r>
          </w:p>
        </w:tc>
        <w:tc>
          <w:tcPr/>
          <w:p>
            <w:pPr>
              <w:pStyle w:val="Compact"/>
            </w:pPr>
            <w:r>
              <w:t xml:space="preserve">Interprétabilité</w:t>
            </w:r>
          </w:p>
        </w:tc>
      </w:tr>
      <w:tr>
        <w:tc>
          <w:tcPr/>
          <w:p>
            <w:pPr>
              <w:pStyle w:val="Compact"/>
            </w:pPr>
            <w:r>
              <w:t xml:space="preserve">Matplotlib / Seaborn</w:t>
            </w:r>
          </w:p>
        </w:tc>
        <w:tc>
          <w:tcPr/>
          <w:p>
            <w:pPr>
              <w:pStyle w:val="Compact"/>
            </w:pPr>
            <w:r>
              <w:t xml:space="preserve">—</w:t>
            </w:r>
          </w:p>
        </w:tc>
        <w:tc>
          <w:tcPr/>
          <w:p>
            <w:pPr>
              <w:pStyle w:val="Compact"/>
            </w:pPr>
            <w:r>
              <w:t xml:space="preserve">Visualisation</w:t>
            </w:r>
          </w:p>
        </w:tc>
      </w:tr>
      <w:tr>
        <w:tc>
          <w:tcPr/>
          <w:p>
            <w:pPr>
              <w:pStyle w:val="Compact"/>
            </w:pPr>
            <w:r>
              <w:t xml:space="preserve">Joblib</w:t>
            </w:r>
          </w:p>
        </w:tc>
        <w:tc>
          <w:tcPr/>
          <w:p>
            <w:pPr>
              <w:pStyle w:val="Compact"/>
            </w:pPr>
            <w:r>
              <w:t xml:space="preserve">—</w:t>
            </w:r>
          </w:p>
        </w:tc>
        <w:tc>
          <w:tcPr/>
          <w:p>
            <w:pPr>
              <w:pStyle w:val="Compact"/>
            </w:pPr>
            <w:r>
              <w:t xml:space="preserve">Persistance modèle</w:t>
            </w:r>
          </w:p>
        </w:tc>
      </w:tr>
    </w:tbl>
    <w:p>
      <w:r>
        <w:pict>
          <v:rect style="width:0;height:1.5pt" o:hralign="center" o:hrstd="t" o:hr="t"/>
        </w:pict>
      </w:r>
    </w:p>
    <w:bookmarkEnd w:id="82"/>
    <w:bookmarkEnd w:id="83"/>
    <w:bookmarkStart w:id="92" w:name="X8236413271ac5e519391d9aebf8ceff17de3c22"/>
    <w:p>
      <w:pPr>
        <w:pStyle w:val="Heading2"/>
      </w:pPr>
      <w:r>
        <w:t xml:space="preserve">II.4. Méthodes d’acquisition et de traitement des données</w:t>
      </w:r>
    </w:p>
    <w:p>
      <w:pPr>
        <w:pStyle w:val="FirstParagraph"/>
      </w:pPr>
      <w:r>
        <w:t xml:space="preserve">La méthodologie de traitement des données suit une chaîne en cinq étapes successives, implémentée dans le script Python</w:t>
      </w:r>
      <w:r>
        <w:t xml:space="preserve"> </w:t>
      </w:r>
      <w:r>
        <w:rPr>
          <w:rStyle w:val="VerbatimChar"/>
        </w:rPr>
        <w:t xml:space="preserve">corrosion_pipeline.py</w:t>
      </w:r>
      <w:r>
        <w:t xml:space="preserve">.</w:t>
      </w:r>
    </w:p>
    <w:p>
      <w:pPr>
        <w:pStyle w:val="CaptionedFigure"/>
        <w:jc w:val="center"/>
      </w:pPr>
      <w:r>
        <w:drawing>
          <wp:inline>
            <wp:extent cx="5296535" cy="1924357"/>
            <wp:effectExtent b="0" l="0" r="0" t="0"/>
            <wp:docPr descr="Figure II.4 — Pipeline Python de traitement des données (5 étapes)" title="" id="85" name="Picture"/>
            <a:graphic>
              <a:graphicData uri="http://schemas.openxmlformats.org/drawingml/2006/picture">
                <pic:pic>
                  <pic:nvPicPr>
                    <pic:cNvPr descr="figures/fig_ii4_pipeline.png" id="86" name="Picture"/>
                    <pic:cNvPicPr>
                      <a:picLocks noChangeArrowheads="1" noChangeAspect="1"/>
                    </pic:cNvPicPr>
                  </pic:nvPicPr>
                  <pic:blipFill>
                    <a:blip r:embed="rId84"/>
                    <a:stretch>
                      <a:fillRect/>
                    </a:stretch>
                  </pic:blipFill>
                  <pic:spPr bwMode="auto">
                    <a:xfrm>
                      <a:off x="0" y="0"/>
                      <a:ext cx="5296535" cy="1924357"/>
                    </a:xfrm>
                    <a:prstGeom prst="rect">
                      <a:avLst/>
                    </a:prstGeom>
                    <a:noFill/>
                    <a:ln w="9525">
                      <a:noFill/>
                      <a:headEnd/>
                      <a:tailEnd/>
                    </a:ln>
                  </pic:spPr>
                </pic:pic>
              </a:graphicData>
            </a:graphic>
          </wp:inline>
        </w:drawing>
      </w:r>
    </w:p>
    <w:p>
      <w:pPr>
        <w:pStyle w:val="ImageCaption"/>
      </w:pPr>
      <w:r>
        <w:t xml:space="preserve">Figure II.4 — Pipeline Python de traitement des données (5 étapes)</w:t>
      </w:r>
    </w:p>
    <w:bookmarkStart w:id="87" w:name="ii.4.1.-acquisition"/>
    <w:p>
      <w:pPr>
        <w:pStyle w:val="Heading3"/>
      </w:pPr>
      <w:r>
        <w:t xml:space="preserve">II.4.1. Acquisition</w:t>
      </w:r>
    </w:p>
    <w:p>
      <w:pPr>
        <w:pStyle w:val="FirstParagraph"/>
      </w:pPr>
      <w:r>
        <w:t xml:space="preserve">Les mesures émises par l’ESP32 sont écrites en temps réel dans la table</w:t>
      </w:r>
      <w:r>
        <w:t xml:space="preserve"> </w:t>
      </w:r>
      <w:r>
        <w:rPr>
          <w:rStyle w:val="VerbatimChar"/>
        </w:rPr>
        <w:t xml:space="preserve">cr_measurements</w:t>
      </w:r>
      <w:r>
        <w:t xml:space="preserve"> </w:t>
      </w:r>
      <w:r>
        <w:t xml:space="preserve">de la base Supabase (PostgreSQL managé) via son API REST PostgREST. Chaque mesure est rattachée à un identifiant de run (</w:t>
      </w:r>
      <w:r>
        <w:rPr>
          <w:rStyle w:val="VerbatimChar"/>
        </w:rPr>
        <w:t xml:space="preserve">run_id</w:t>
      </w:r>
      <w:r>
        <w:t xml:space="preserve">) de la table</w:t>
      </w:r>
      <w:r>
        <w:t xml:space="preserve"> </w:t>
      </w:r>
      <w:r>
        <w:rPr>
          <w:rStyle w:val="VerbatimChar"/>
        </w:rPr>
        <w:t xml:space="preserve">cr_runs</w:t>
      </w:r>
      <w:r>
        <w:t xml:space="preserve">. Le pipeline Python charge ensuite ces données par requête paramétrée et les convertit en</w:t>
      </w:r>
      <w:r>
        <w:t xml:space="preserve"> </w:t>
      </w:r>
      <w:r>
        <w:rPr>
          <w:rStyle w:val="VerbatimChar"/>
        </w:rPr>
        <w:t xml:space="preserve">DataFrame</w:t>
      </w:r>
      <w:r>
        <w:t xml:space="preserve"> </w:t>
      </w:r>
      <w:r>
        <w:t xml:space="preserve">Pandas pour traitement. Les colonnes consommées sont :</w:t>
      </w:r>
      <w:r>
        <w:t xml:space="preserve"> </w:t>
      </w:r>
      <w:r>
        <w:rPr>
          <w:rStyle w:val="VerbatimChar"/>
        </w:rPr>
        <w:t xml:space="preserve">timestamp_s</w:t>
      </w:r>
      <w:r>
        <w:t xml:space="preserve">,</w:t>
      </w:r>
      <w:r>
        <w:t xml:space="preserve"> </w:t>
      </w:r>
      <w:r>
        <w:rPr>
          <w:rStyle w:val="VerbatimChar"/>
        </w:rPr>
        <w:t xml:space="preserve">vdiff_v</w:t>
      </w:r>
      <w:r>
        <w:t xml:space="preserve">,</w:t>
      </w:r>
      <w:r>
        <w:t xml:space="preserve"> </w:t>
      </w:r>
      <w:r>
        <w:rPr>
          <w:rStyle w:val="VerbatimChar"/>
        </w:rPr>
        <w:t xml:space="preserve">rx_ohm</w:t>
      </w:r>
      <w:r>
        <w:t xml:space="preserve">,</w:t>
      </w:r>
      <w:r>
        <w:t xml:space="preserve"> </w:t>
      </w:r>
      <w:r>
        <w:rPr>
          <w:rStyle w:val="VerbatimChar"/>
        </w:rPr>
        <w:t xml:space="preserve">temp_c</w:t>
      </w:r>
      <w:r>
        <w:t xml:space="preserve">,</w:t>
      </w:r>
      <w:r>
        <w:t xml:space="preserve"> </w:t>
      </w:r>
      <w:r>
        <w:rPr>
          <w:rStyle w:val="VerbatimChar"/>
        </w:rPr>
        <w:t xml:space="preserve">delta_r_per_h</w:t>
      </w:r>
      <w:r>
        <w:t xml:space="preserve">.</w:t>
      </w:r>
    </w:p>
    <w:p>
      <w:pPr>
        <w:pStyle w:val="BodyText"/>
      </w:pPr>
      <w:r>
        <w:t xml:space="preserve">Une mesure est émise toutes les 30 secondes, soit environ 120 points par heure. Pour un run de 12 heures, cela représente de l’ordre de 1 400 points de mesure ; pour un run de 20 heures, environ 2 300 points. Cette résolution temporelle fine est nécessaire pour capturer la phase d’emballement final, très rapide. L’historique complet est centralisé sur Supabase et accessible aussi bien à l’application Streamlit qu’aux notebooks d’analyse, sans manipulation manuelle de fichiers.</w:t>
      </w:r>
    </w:p>
    <w:bookmarkEnd w:id="87"/>
    <w:bookmarkStart w:id="88" w:name="ii.4.2.-nettoyage-du-signal"/>
    <w:p>
      <w:pPr>
        <w:pStyle w:val="Heading3"/>
      </w:pPr>
      <w:r>
        <w:t xml:space="preserve">II.4.2. Nettoyage du signal</w:t>
      </w:r>
    </w:p>
    <w:p>
      <w:pPr>
        <w:pStyle w:val="FirstParagraph"/>
      </w:pPr>
      <w:r>
        <w:t xml:space="preserve">Le nettoyage suit deux étapes successives :</w:t>
      </w:r>
    </w:p>
    <w:p>
      <w:pPr>
        <w:pStyle w:val="BodyText"/>
      </w:pPr>
      <w:r>
        <w:t xml:space="preserve">Étape 1, Suppression des outliers par méthode IQR (Interquartile Range) : les points situés hors de l’intervalle [Q5 − 3×IQR ; Q95 + 3×IQR] sont supprimés. Ce seuil large préserve la dynamique de dégradation tout en éliminant les artefacts transitoires du HX711 lors du réveil de l’ESP32 (Tukey, 1977).</w:t>
      </w:r>
    </w:p>
    <w:p>
      <w:pPr>
        <w:pStyle w:val="BodyText"/>
      </w:pPr>
      <w:r>
        <w:t xml:space="preserve">Étape 2, Lissage Savitzky-Golay : un filtre polynomial d’ordre 2 sur une fenêtre glissante de 5 points est appliqué (Savitzky et Golay, 1964). Ce filtre préserve mieux les pentes locales que la moyenne mobile simple, propriété essentielle pour le calcul précis de</w:t>
      </w:r>
      <w:r>
        <w:t xml:space="preserve"> </w:t>
      </w:r>
      <w:r>
        <w:rPr>
          <w:i/>
          <w:iCs/>
        </w:rPr>
        <w:t xml:space="preserve">dr/dt</w:t>
      </w:r>
      <w:r>
        <w:t xml:space="preserve">.</w:t>
      </w:r>
    </w:p>
    <w:bookmarkEnd w:id="88"/>
    <w:bookmarkStart w:id="89" w:name="ii.4.3.-compensation-thermique"/>
    <w:p>
      <w:pPr>
        <w:pStyle w:val="Heading3"/>
      </w:pPr>
      <w:r>
        <w:t xml:space="preserve">II.4.3. Compensation thermique</w:t>
      </w:r>
    </w:p>
    <w:p>
      <w:pPr>
        <w:pStyle w:val="FirstParagraph"/>
      </w:pPr>
      <w:r>
        <w:t xml:space="preserve">La résistivité électrique du fer varie linéairement avec la température selon la loi de Matthiessen (Pollock, 1991) :</w:t>
      </w:r>
    </w:p>
    <w:p>
      <w:pPr>
        <w:pStyle w:val="BodyText"/>
      </w:pPr>
      <m:oMathPara>
        <m:oMathParaPr>
          <m:jc m:val="center"/>
        </m:oMathParaPr>
        <m:oMath>
          <m:sSub>
            <m:e>
              <m:r>
                <m:t>ρ</m:t>
              </m:r>
            </m:e>
            <m:sub>
              <m:r>
                <m:t>F</m:t>
              </m:r>
              <m:r>
                <m:t>e</m:t>
              </m:r>
            </m:sub>
          </m:sSub>
          <m:r>
            <m:rPr>
              <m:sty m:val="p"/>
            </m:rPr>
            <m:t>(</m:t>
          </m:r>
          <m:r>
            <m:t>T</m:t>
          </m:r>
          <m:r>
            <m:rPr>
              <m:sty m:val="p"/>
            </m:rPr>
            <m:t>)</m:t>
          </m:r>
          <m:r>
            <m:rPr>
              <m:sty m:val="p"/>
            </m:rPr>
            <m:t>=</m:t>
          </m:r>
          <m:sSub>
            <m:e>
              <m:r>
                <m:t>ρ</m:t>
              </m:r>
            </m:e>
            <m:sub>
              <m:r>
                <m:t>F</m:t>
              </m:r>
              <m:r>
                <m:t>e</m:t>
              </m:r>
            </m:sub>
          </m:sSub>
          <m:r>
            <m:rPr>
              <m:sty m:val="p"/>
            </m:rPr>
            <m:t>(</m:t>
          </m:r>
          <m:sSub>
            <m:e>
              <m:r>
                <m:t>T</m:t>
              </m:r>
            </m:e>
            <m:sub>
              <m:r>
                <m:t>r</m:t>
              </m:r>
              <m:r>
                <m:t>e</m:t>
              </m:r>
              <m:r>
                <m:t>f</m:t>
              </m:r>
            </m:sub>
          </m:sSub>
          <m:r>
            <m:rPr>
              <m:sty m:val="p"/>
            </m:rPr>
            <m:t>)</m:t>
          </m:r>
          <m:r>
            <m:rPr>
              <m:sty m:val="p"/>
            </m:rPr>
            <m:t>⋅</m:t>
          </m:r>
          <m:r>
            <m:rPr>
              <m:sty m:val="p"/>
            </m:rPr>
            <m:t>[</m:t>
          </m:r>
          <m:r>
            <m:t>1</m:t>
          </m:r>
          <m:r>
            <m:rPr>
              <m:sty m:val="p"/>
            </m:rPr>
            <m:t>+</m:t>
          </m:r>
          <m:sSub>
            <m:e>
              <m:r>
                <m:t>α</m:t>
              </m:r>
            </m:e>
            <m:sub>
              <m:r>
                <m:t>F</m:t>
              </m:r>
              <m:r>
                <m:t>e</m:t>
              </m:r>
            </m:sub>
          </m:sSub>
          <m:r>
            <m:rPr>
              <m:sty m:val="p"/>
            </m:rPr>
            <m:t>⋅</m:t>
          </m:r>
          <m:r>
            <m:rPr>
              <m:sty m:val="p"/>
            </m:rPr>
            <m:t>(</m:t>
          </m:r>
          <m:r>
            <m:t>T</m:t>
          </m:r>
          <m:r>
            <m:rPr>
              <m:sty m:val="p"/>
            </m:rPr>
            <m:t>−</m:t>
          </m:r>
          <m:sSub>
            <m:e>
              <m:r>
                <m:t>T</m:t>
              </m:r>
            </m:e>
            <m:sub>
              <m:r>
                <m:t>r</m:t>
              </m:r>
              <m:r>
                <m:t>e</m:t>
              </m:r>
              <m:r>
                <m:t>f</m:t>
              </m:r>
            </m:sub>
          </m:sSub>
          <m:r>
            <m:rPr>
              <m:sty m:val="p"/>
            </m:rPr>
            <m:t>)</m:t>
          </m:r>
          <m:r>
            <m:rPr>
              <m:sty m:val="p"/>
            </m:rPr>
            <m:t>]</m:t>
          </m:r>
        </m:oMath>
      </m:oMathPara>
    </w:p>
    <w:p>
      <w:pPr>
        <w:pStyle w:val="FirstParagraph"/>
      </w:pPr>
      <w:r>
        <w:t xml:space="preserve">avec α_Fe = 6,5 × 10⁻³ °C⁻¹ et</w:t>
      </w:r>
      <w:r>
        <w:t xml:space="preserve"> </w:t>
      </w:r>
      <w:r>
        <w:rPr>
          <w:i/>
          <w:iCs/>
        </w:rPr>
        <w:t xml:space="preserve">T</w:t>
      </w:r>
      <w:r>
        <w:t xml:space="preserve">_ref = 25 °C. La résistance compensée s’obtient par :</w:t>
      </w:r>
    </w:p>
    <w:p>
      <w:pPr>
        <w:pStyle w:val="BodyText"/>
      </w:pPr>
      <m:oMathPara>
        <m:oMathParaPr>
          <m:jc m:val="center"/>
        </m:oMathParaPr>
        <m:oMath>
          <m:sSub>
            <m:e>
              <m:r>
                <m:t>R</m:t>
              </m:r>
            </m:e>
            <m:sub>
              <m:r>
                <m:t>c</m:t>
              </m:r>
              <m:r>
                <m:t>o</m:t>
              </m:r>
              <m:r>
                <m:t>r</m:t>
              </m:r>
              <m:r>
                <m:t>r</m:t>
              </m:r>
            </m:sub>
          </m:sSub>
          <m:r>
            <m:rPr>
              <m:sty m:val="p"/>
            </m:rPr>
            <m:t>(</m:t>
          </m:r>
          <m:r>
            <m:t>t</m:t>
          </m:r>
          <m:r>
            <m:rPr>
              <m:sty m:val="p"/>
            </m:rPr>
            <m:t>)</m:t>
          </m:r>
          <m:r>
            <m:rPr>
              <m:sty m:val="p"/>
            </m:rPr>
            <m:t>=</m:t>
          </m:r>
          <m:f>
            <m:fPr>
              <m:type m:val="bar"/>
            </m:fPr>
            <m:num>
              <m:sSub>
                <m:e>
                  <m:r>
                    <m:t>R</m:t>
                  </m:r>
                </m:e>
                <m:sub>
                  <m:r>
                    <m:t>l</m:t>
                  </m:r>
                  <m:r>
                    <m:t>i</m:t>
                  </m:r>
                  <m:r>
                    <m:t>s</m:t>
                  </m:r>
                  <m:r>
                    <m:t>s</m:t>
                  </m:r>
                  <m:r>
                    <m:t>e</m:t>
                  </m:r>
                </m:sub>
              </m:sSub>
              <m:r>
                <m:rPr>
                  <m:sty m:val="p"/>
                </m:rPr>
                <m:t>(</m:t>
              </m:r>
              <m:r>
                <m:t>t</m:t>
              </m:r>
              <m:r>
                <m:rPr>
                  <m:sty m:val="p"/>
                </m:rPr>
                <m:t>)</m:t>
              </m:r>
            </m:num>
            <m:den>
              <m:r>
                <m:t>1</m:t>
              </m:r>
              <m:r>
                <m:rPr>
                  <m:sty m:val="p"/>
                </m:rPr>
                <m:t>+</m:t>
              </m:r>
              <m:sSub>
                <m:e>
                  <m:r>
                    <m:t>α</m:t>
                  </m:r>
                </m:e>
                <m:sub>
                  <m:r>
                    <m:t>F</m:t>
                  </m:r>
                  <m:r>
                    <m:t>e</m:t>
                  </m:r>
                </m:sub>
              </m:sSub>
              <m:r>
                <m:rPr>
                  <m:sty m:val="p"/>
                </m:rPr>
                <m:t>⋅</m:t>
              </m:r>
              <m:r>
                <m:rPr>
                  <m:sty m:val="p"/>
                </m:rPr>
                <m:t>(</m:t>
              </m:r>
              <m:r>
                <m:t>T</m:t>
              </m:r>
              <m:r>
                <m:rPr>
                  <m:sty m:val="p"/>
                </m:rPr>
                <m:t>(</m:t>
              </m:r>
              <m:r>
                <m:t>t</m:t>
              </m:r>
              <m:r>
                <m:rPr>
                  <m:sty m:val="p"/>
                </m:rPr>
                <m:t>)</m:t>
              </m:r>
              <m:r>
                <m:rPr>
                  <m:sty m:val="p"/>
                </m:rPr>
                <m:t>−</m:t>
              </m:r>
              <m:sSub>
                <m:e>
                  <m:r>
                    <m:t>T</m:t>
                  </m:r>
                </m:e>
                <m:sub>
                  <m:r>
                    <m:t>r</m:t>
                  </m:r>
                  <m:r>
                    <m:t>e</m:t>
                  </m:r>
                  <m:r>
                    <m:t>f</m:t>
                  </m:r>
                </m:sub>
              </m:sSub>
              <m:r>
                <m:rPr>
                  <m:sty m:val="p"/>
                </m:rPr>
                <m:t>)</m:t>
              </m:r>
            </m:den>
          </m:f>
        </m:oMath>
      </m:oMathPara>
    </w:p>
    <w:p>
      <w:pPr>
        <w:pStyle w:val="FirstParagraph"/>
      </w:pPr>
      <w:r>
        <w:rPr>
          <w:i/>
          <w:iCs/>
        </w:rPr>
        <w:t xml:space="preserve">R</w:t>
      </w:r>
      <w:r>
        <w:t xml:space="preserve">_corr(t) ne dépend plus que de la corrosion, pas de la température ambiante.</w:t>
      </w:r>
    </w:p>
    <w:bookmarkEnd w:id="89"/>
    <w:bookmarkStart w:id="90" w:name="ii.4.4.-feature-engineering"/>
    <w:p>
      <w:pPr>
        <w:pStyle w:val="Heading3"/>
      </w:pPr>
      <w:r>
        <w:t xml:space="preserve">II.4.4. Feature engineering</w:t>
      </w:r>
    </w:p>
    <w:p>
      <w:pPr>
        <w:pStyle w:val="FirstParagraph"/>
      </w:pPr>
      <w:r>
        <w:t xml:space="preserve">Dix variables d’entrée sont construites pour le modèle XGBoost à partir de</w:t>
      </w:r>
      <w:r>
        <w:t xml:space="preserve"> </w:t>
      </w:r>
      <w:r>
        <w:rPr>
          <w:i/>
          <w:iCs/>
        </w:rPr>
        <w:t xml:space="preserve">R</w:t>
      </w:r>
      <w:r>
        <w:t xml:space="preserve">_corr(t),</w:t>
      </w:r>
      <w:r>
        <w:t xml:space="preserve"> </w:t>
      </w:r>
      <w:r>
        <w:rPr>
          <w:i/>
          <w:iCs/>
        </w:rPr>
        <w:t xml:space="preserve">T</w:t>
      </w:r>
      <w:r>
        <w:t xml:space="preserve">(t) et</w:t>
      </w:r>
      <w:r>
        <w:t xml:space="preserve"> </w:t>
      </w:r>
      <w:r>
        <w:rPr>
          <w:i/>
          <w:iCs/>
        </w:rPr>
        <w:t xml:space="preserve">t</w:t>
      </w:r>
      <w:r>
        <w:t xml:space="preserve"> </w:t>
      </w:r>
      <w:r>
        <w:t xml:space="preserve">:</w:t>
      </w:r>
    </w:p>
    <w:p>
      <w:pPr>
        <w:pStyle w:val="TableCaption"/>
        <w:jc w:val="center"/>
      </w:pPr>
      <w:r>
        <w:t xml:space="preserve">Tableau II.5 — Variables d’entrée (features) du modèle XGBoost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Feature</w:t>
            </w:r>
          </w:p>
        </w:tc>
        <w:tc>
          <w:tcPr>
            <w:shd w:val="clear" w:color="auto" w:fill="EFEFEF"/>
          </w:tcPr>
          <w:p>
            <w:pPr>
              <w:pStyle w:val="Compact"/>
            </w:pPr>
            <w:r>
              <w:t xml:space="preserve">Définition</w:t>
            </w:r>
          </w:p>
        </w:tc>
        <w:tc>
          <w:tcPr>
            <w:shd w:val="clear" w:color="auto" w:fill="EFEFEF"/>
          </w:tcPr>
          <w:p>
            <w:pPr>
              <w:pStyle w:val="Compact"/>
            </w:pPr>
            <w:r>
              <w:t xml:space="preserve">Justification physique</w:t>
            </w:r>
          </w:p>
        </w:tc>
      </w:tr>
      <w:tr>
        <w:tc>
          <w:tcPr/>
          <w:p>
            <w:pPr>
              <w:pStyle w:val="Compact"/>
            </w:pPr>
            <w:r>
              <w:rPr>
                <w:rStyle w:val="VerbatimChar"/>
              </w:rPr>
              <w:t xml:space="preserve">rx_corr</w:t>
            </w:r>
          </w:p>
        </w:tc>
        <w:tc>
          <w:tcPr/>
          <w:p>
            <w:pPr>
              <w:pStyle w:val="Compact"/>
            </w:pPr>
            <w:r>
              <w:t xml:space="preserve">Résistance compensée (Ω)</w:t>
            </w:r>
          </w:p>
        </w:tc>
        <w:tc>
          <w:tcPr/>
          <w:p>
            <w:pPr>
              <w:pStyle w:val="Compact"/>
            </w:pPr>
            <w:r>
              <w:t xml:space="preserve">État absolu</w:t>
            </w:r>
          </w:p>
        </w:tc>
      </w:tr>
      <w:tr>
        <w:tc>
          <w:tcPr/>
          <w:p>
            <w:pPr>
              <w:pStyle w:val="Compact"/>
            </w:pPr>
            <w:r>
              <w:rPr>
                <w:rStyle w:val="VerbatimChar"/>
              </w:rPr>
              <w:t xml:space="preserve">delta_R_1h</w:t>
            </w:r>
          </w:p>
        </w:tc>
        <w:tc>
          <w:tcPr/>
          <w:p>
            <w:pPr>
              <w:pStyle w:val="Compact"/>
            </w:pPr>
            <w:r>
              <w:t xml:space="preserve">Δ</w:t>
            </w:r>
            <w:r>
              <w:rPr>
                <w:i/>
                <w:iCs/>
              </w:rPr>
              <w:t xml:space="preserve">R</w:t>
            </w:r>
            <w:r>
              <w:t xml:space="preserve"> </w:t>
            </w:r>
            <w:r>
              <w:t xml:space="preserve">sur 1 h (6 points)</w:t>
            </w:r>
          </w:p>
        </w:tc>
        <w:tc>
          <w:tcPr/>
          <w:p>
            <w:pPr>
              <w:pStyle w:val="Compact"/>
            </w:pPr>
            <w:r>
              <w:t xml:space="preserve">Vitesse court terme</w:t>
            </w:r>
          </w:p>
        </w:tc>
      </w:tr>
      <w:tr>
        <w:tc>
          <w:tcPr/>
          <w:p>
            <w:pPr>
              <w:pStyle w:val="Compact"/>
            </w:pPr>
            <w:r>
              <w:rPr>
                <w:rStyle w:val="VerbatimChar"/>
              </w:rPr>
              <w:t xml:space="preserve">delta_R_6h</w:t>
            </w:r>
          </w:p>
        </w:tc>
        <w:tc>
          <w:tcPr/>
          <w:p>
            <w:pPr>
              <w:pStyle w:val="Compact"/>
            </w:pPr>
            <w:r>
              <w:t xml:space="preserve">Δ</w:t>
            </w:r>
            <w:r>
              <w:rPr>
                <w:i/>
                <w:iCs/>
              </w:rPr>
              <w:t xml:space="preserve">R</w:t>
            </w:r>
            <w:r>
              <w:t xml:space="preserve"> </w:t>
            </w:r>
            <w:r>
              <w:t xml:space="preserve">sur 6 h (36 points)</w:t>
            </w:r>
          </w:p>
        </w:tc>
        <w:tc>
          <w:tcPr/>
          <w:p>
            <w:pPr>
              <w:pStyle w:val="Compact"/>
            </w:pPr>
            <w:r>
              <w:t xml:space="preserve">Vitesse moyen terme</w:t>
            </w:r>
          </w:p>
        </w:tc>
      </w:tr>
      <w:tr>
        <w:tc>
          <w:tcPr/>
          <w:p>
            <w:pPr>
              <w:pStyle w:val="Compact"/>
            </w:pPr>
            <w:r>
              <w:rPr>
                <w:rStyle w:val="VerbatimChar"/>
              </w:rPr>
              <w:t xml:space="preserve">vitesse_CR_1h</w:t>
            </w:r>
          </w:p>
        </w:tc>
        <w:tc>
          <w:tcPr/>
          <w:p>
            <w:pPr>
              <w:pStyle w:val="Compact"/>
            </w:pPr>
            <w:r>
              <w:t xml:space="preserve">CR moyen 1 h (mm/an)</w:t>
            </w:r>
          </w:p>
        </w:tc>
        <w:tc>
          <w:tcPr/>
          <w:p>
            <w:pPr>
              <w:pStyle w:val="Compact"/>
            </w:pPr>
            <w:r>
              <w:t xml:space="preserve">Taux instantané lissé</w:t>
            </w:r>
          </w:p>
        </w:tc>
      </w:tr>
      <w:tr>
        <w:tc>
          <w:tcPr/>
          <w:p>
            <w:pPr>
              <w:pStyle w:val="Compact"/>
            </w:pPr>
            <w:r>
              <w:rPr>
                <w:rStyle w:val="VerbatimChar"/>
              </w:rPr>
              <w:t xml:space="preserve">tendance_6h</w:t>
            </w:r>
          </w:p>
        </w:tc>
        <w:tc>
          <w:tcPr/>
          <w:p>
            <w:pPr>
              <w:pStyle w:val="Compact"/>
            </w:pPr>
            <w:r>
              <w:t xml:space="preserve">Pente linéaire de</w:t>
            </w:r>
            <w:r>
              <w:t xml:space="preserve"> </w:t>
            </w:r>
            <w:r>
              <w:rPr>
                <w:i/>
                <w:iCs/>
              </w:rPr>
              <w:t xml:space="preserve">R</w:t>
            </w:r>
            <w:r>
              <w:t xml:space="preserve">ₓ sur 6 h</w:t>
            </w:r>
          </w:p>
        </w:tc>
        <w:tc>
          <w:tcPr/>
          <w:p>
            <w:pPr>
              <w:pStyle w:val="Compact"/>
            </w:pPr>
            <w:r>
              <w:t xml:space="preserve">Accélération / décélération</w:t>
            </w:r>
          </w:p>
        </w:tc>
      </w:tr>
      <w:tr>
        <w:tc>
          <w:tcPr/>
          <w:p>
            <w:pPr>
              <w:pStyle w:val="Compact"/>
            </w:pPr>
            <w:r>
              <w:rPr>
                <w:rStyle w:val="VerbatimChar"/>
              </w:rPr>
              <w:t xml:space="preserve">temp_lisse</w:t>
            </w:r>
          </w:p>
        </w:tc>
        <w:tc>
          <w:tcPr/>
          <w:p>
            <w:pPr>
              <w:pStyle w:val="Compact"/>
            </w:pPr>
            <w:r>
              <w:t xml:space="preserve">Température lissée (°C)</w:t>
            </w:r>
          </w:p>
        </w:tc>
        <w:tc>
          <w:tcPr/>
          <w:p>
            <w:pPr>
              <w:pStyle w:val="Compact"/>
            </w:pPr>
            <w:r>
              <w:t xml:space="preserve">Compensation résiduelle</w:t>
            </w:r>
          </w:p>
        </w:tc>
      </w:tr>
      <w:tr>
        <w:tc>
          <w:tcPr/>
          <w:p>
            <w:pPr>
              <w:pStyle w:val="Compact"/>
            </w:pPr>
            <w:r>
              <w:rPr>
                <w:rStyle w:val="VerbatimChar"/>
              </w:rPr>
              <w:t xml:space="preserve">temp_moy_6h</w:t>
            </w:r>
          </w:p>
        </w:tc>
        <w:tc>
          <w:tcPr/>
          <w:p>
            <w:pPr>
              <w:pStyle w:val="Compact"/>
            </w:pPr>
            <w:r>
              <w:t xml:space="preserve">Température moyenne 6 h</w:t>
            </w:r>
          </w:p>
        </w:tc>
        <w:tc>
          <w:tcPr/>
          <w:p>
            <w:pPr>
              <w:pStyle w:val="Compact"/>
            </w:pPr>
            <w:r>
              <w:t xml:space="preserve">Effets thermiques lents</w:t>
            </w:r>
          </w:p>
        </w:tc>
      </w:tr>
      <w:tr>
        <w:tc>
          <w:tcPr/>
          <w:p>
            <w:pPr>
              <w:pStyle w:val="Compact"/>
            </w:pPr>
            <w:r>
              <w:rPr>
                <w:rStyle w:val="VerbatimChar"/>
              </w:rPr>
              <w:t xml:space="preserve">temps_immersion_h</w:t>
            </w:r>
          </w:p>
        </w:tc>
        <w:tc>
          <w:tcPr/>
          <w:p>
            <w:pPr>
              <w:pStyle w:val="Compact"/>
            </w:pPr>
            <w:r>
              <w:rPr>
                <w:i/>
                <w:iCs/>
              </w:rPr>
              <w:t xml:space="preserve">t</w:t>
            </w:r>
            <w:r>
              <w:t xml:space="preserve"> </w:t>
            </w:r>
            <w:r>
              <w:t xml:space="preserve">depuis début du run (h)</w:t>
            </w:r>
          </w:p>
        </w:tc>
        <w:tc>
          <w:tcPr/>
          <w:p>
            <w:pPr>
              <w:pStyle w:val="Compact"/>
            </w:pPr>
            <w:r>
              <w:t xml:space="preserve">Stade d’avancement</w:t>
            </w:r>
          </w:p>
        </w:tc>
      </w:tr>
      <w:tr>
        <w:tc>
          <w:tcPr/>
          <w:p>
            <w:pPr>
              <w:pStyle w:val="Compact"/>
            </w:pPr>
            <w:r>
              <w:rPr>
                <w:rStyle w:val="VerbatimChar"/>
              </w:rPr>
              <w:t xml:space="preserve">delta_R_absolu</w:t>
            </w:r>
          </w:p>
        </w:tc>
        <w:tc>
          <w:tcPr/>
          <w:p>
            <w:pPr>
              <w:pStyle w:val="Compact"/>
            </w:pPr>
            <w:r>
              <w:rPr>
                <w:i/>
                <w:iCs/>
              </w:rPr>
              <w:t xml:space="preserve">R</w:t>
            </w:r>
            <w:r>
              <w:t xml:space="preserve">ₓ(t) −</w:t>
            </w:r>
            <w:r>
              <w:t xml:space="preserve"> </w:t>
            </w:r>
            <w:r>
              <w:rPr>
                <w:i/>
                <w:iCs/>
              </w:rPr>
              <w:t xml:space="preserve">R</w:t>
            </w:r>
            <w:r>
              <w:t xml:space="preserve">ₓ(0) (Ω)</w:t>
            </w:r>
          </w:p>
        </w:tc>
        <w:tc>
          <w:tcPr/>
          <w:p>
            <w:pPr>
              <w:pStyle w:val="Compact"/>
            </w:pPr>
            <w:r>
              <w:t xml:space="preserve">Perte cumulée</w:t>
            </w:r>
          </w:p>
        </w:tc>
      </w:tr>
      <w:tr>
        <w:tc>
          <w:tcPr/>
          <w:p>
            <w:pPr>
              <w:pStyle w:val="Compact"/>
            </w:pPr>
            <w:r>
              <w:rPr>
                <w:rStyle w:val="VerbatimChar"/>
              </w:rPr>
              <w:t xml:space="preserve">section_perdue_pct</w:t>
            </w:r>
          </w:p>
        </w:tc>
        <w:tc>
          <w:tcPr/>
          <w:p>
            <w:pPr>
              <w:pStyle w:val="Compact"/>
            </w:pPr>
            <w:r>
              <w:t xml:space="preserve">1 − (</w:t>
            </w:r>
            <w:r>
              <w:rPr>
                <w:i/>
                <w:iCs/>
              </w:rPr>
              <w:t xml:space="preserve">r</w:t>
            </w:r>
            <w:r>
              <w:t xml:space="preserve">(t)/</w:t>
            </w:r>
            <w:r>
              <w:rPr>
                <w:i/>
                <w:iCs/>
              </w:rPr>
              <w:t xml:space="preserve">r</w:t>
            </w:r>
            <w:r>
              <w:t xml:space="preserve">(0))² (%)</w:t>
            </w:r>
          </w:p>
        </w:tc>
        <w:tc>
          <w:tcPr/>
          <w:p>
            <w:pPr>
              <w:pStyle w:val="Compact"/>
            </w:pPr>
            <w:r>
              <w:t xml:space="preserve">Fraction de durée de vie consommée</w:t>
            </w:r>
          </w:p>
        </w:tc>
      </w:tr>
    </w:tbl>
    <w:p>
      <w:pPr>
        <w:pStyle w:val="BodyText"/>
      </w:pPr>
      <w:r>
        <w:t xml:space="preserve">Les deux variables cibles sont :</w:t>
      </w:r>
    </w:p>
    <w:p>
      <w:pPr>
        <w:pStyle w:val="Compact"/>
        <w:numPr>
          <w:ilvl w:val="0"/>
          <w:numId w:val="1023"/>
        </w:numPr>
      </w:pPr>
      <w:r>
        <w:t xml:space="preserve">CR_lisse (mm/an) : taux de corrosion lissé Savitzky-Golay ;</w:t>
      </w:r>
    </w:p>
    <w:p>
      <w:pPr>
        <w:pStyle w:val="Compact"/>
        <w:numPr>
          <w:ilvl w:val="0"/>
          <w:numId w:val="1023"/>
        </w:numPr>
      </w:pPr>
      <w:r>
        <w:t xml:space="preserve">RUL_h (heures) : durée de vie résiduelle.</w:t>
      </w:r>
    </w:p>
    <w:p>
      <w:pPr>
        <w:pStyle w:val="FirstParagraph"/>
      </w:pPr>
      <w:r>
        <w:t xml:space="preserve">La cible visée étant la vitesse de corrosion stable (et non l’emballement terminal, qui relève de la défaillance, §III.4.1), les valeurs de</w:t>
      </w:r>
      <w:r>
        <w:t xml:space="preserve"> </w:t>
      </w:r>
      <w:r>
        <w:rPr>
          <w:i/>
          <w:iCs/>
        </w:rPr>
        <w:t xml:space="preserve">CR</w:t>
      </w:r>
      <w:r>
        <w:t xml:space="preserve"> </w:t>
      </w:r>
      <w:r>
        <w:t xml:space="preserve">de la phase de pré-rupture, fortement non stationnaires, sont écrêtées à 2 000 µm/an. Ce plafond est une convention de prétraitement documentée, destinée à empêcher les pics aberrants de cette phase de biaiser l’apprentissage du régime stationnaire ; il n’affecte pas la plage de fonctionnement nominale.</w:t>
      </w:r>
    </w:p>
    <w:bookmarkEnd w:id="90"/>
    <w:bookmarkStart w:id="91" w:name="ii.4.5.-calcul-du-rul"/>
    <w:p>
      <w:pPr>
        <w:pStyle w:val="Heading3"/>
      </w:pPr>
      <w:r>
        <w:t xml:space="preserve">II.4.5. Calcul du RUL</w:t>
      </w:r>
    </w:p>
    <w:p>
      <w:pPr>
        <w:pStyle w:val="FirstParagraph"/>
      </w:pPr>
      <w:r>
        <w:t xml:space="preserve">Le critère de fin de vie répond à une question simple : à partir de quand considère-t-on le fil « mort » ? À mesure que la corrosion ronge le fil, son rayon</w:t>
      </w:r>
      <w:r>
        <w:t xml:space="preserve"> </w:t>
      </w:r>
      <w:r>
        <w:rPr>
          <w:i/>
          <w:iCs/>
        </w:rPr>
        <w:t xml:space="preserve">r</w:t>
      </w:r>
      <w:r>
        <w:t xml:space="preserve"> </w:t>
      </w:r>
      <w:r>
        <w:t xml:space="preserve">diminue ; la section variant comme</w:t>
      </w:r>
      <w:r>
        <w:t xml:space="preserve"> </w:t>
      </w:r>
      <w:r>
        <w:rPr>
          <w:i/>
          <w:iCs/>
        </w:rPr>
        <w:t xml:space="preserve">r</w:t>
      </w:r>
      <w:r>
        <w:t xml:space="preserve">², elle chute bien plus vite que le rayon. On fixe le seuil de fin de vie à</w:t>
      </w:r>
      <w:r>
        <w:t xml:space="preserve"> </w:t>
      </w:r>
      <w:r>
        <w:rPr>
          <w:i/>
          <w:iCs/>
        </w:rPr>
        <w:t xml:space="preserve">r</w:t>
      </w:r>
      <w:r>
        <w:t xml:space="preserve">_critique = 0,15 ×</w:t>
      </w:r>
      <w:r>
        <w:t xml:space="preserve"> </w:t>
      </w:r>
      <w:r>
        <w:rPr>
          <w:i/>
          <w:iCs/>
        </w:rPr>
        <w:t xml:space="preserve">r</w:t>
      </w:r>
      <w:r>
        <w:t xml:space="preserve">(0) : lorsqu’il ne reste que 15 % du rayon initial, il ne subsiste plus qu’environ 2 % de la section (≈ 98 % de section perdue), le fil n’a alors quasiment plus de matière porteuse et sa rupture mécanique est imminente. On ne retient pas 0 % strict car, en pratique, le fil casse (et la mesure sature) avant que la section n’atteigne réellement zéro : 0,15 est donc un curseur pragmatique placé juste avant la rupture. Ce seuil est une convention de laboratoire, la norme ISO 13381-1 impose le</w:t>
      </w:r>
      <w:r>
        <w:t xml:space="preserve"> </w:t>
      </w:r>
      <w:r>
        <w:rPr>
          <w:i/>
          <w:iCs/>
        </w:rPr>
        <w:t xml:space="preserve">principe</w:t>
      </w:r>
      <w:r>
        <w:t xml:space="preserve"> </w:t>
      </w:r>
      <w:r>
        <w:t xml:space="preserve">d’un « seuil de santé prédéfini » mais pas sa valeur (ISO, 2025), réglable, validé a posteriori par sa concordance avec les instants de rupture réellement observés, et assumé provisoire (à recaler sur un critère mécanique, contrainte à rupture, en conditions réelles). Pour les runs RTF complets (rupture observée), la durée de vie résiduelle est mesurée directement depuis l’instant de rupture :</w:t>
      </w:r>
    </w:p>
    <w:p>
      <w:pPr>
        <w:pStyle w:val="BodyText"/>
      </w:pPr>
      <m:oMathPara>
        <m:oMathParaPr>
          <m:jc m:val="center"/>
        </m:oMathParaPr>
        <m:oMath>
          <m:r>
            <m:t>R</m:t>
          </m:r>
          <m:r>
            <m:t>U</m:t>
          </m:r>
          <m:r>
            <m:t>L</m:t>
          </m:r>
          <m:r>
            <m:rPr>
              <m:sty m:val="p"/>
            </m:rPr>
            <m:t>(</m:t>
          </m:r>
          <m:r>
            <m:t>t</m:t>
          </m:r>
          <m:r>
            <m:rPr>
              <m:sty m:val="p"/>
            </m:rPr>
            <m:t>)</m:t>
          </m:r>
          <m:r>
            <m:rPr>
              <m:sty m:val="p"/>
            </m:rPr>
            <m:t>=</m:t>
          </m:r>
          <m:sSub>
            <m:e>
              <m:r>
                <m:t>t</m:t>
              </m:r>
            </m:e>
            <m:sub>
              <m:r>
                <m:t>r</m:t>
              </m:r>
              <m:r>
                <m:t>u</m:t>
              </m:r>
              <m:r>
                <m:t>p</m:t>
              </m:r>
              <m:r>
                <m:t>t</m:t>
              </m:r>
              <m:r>
                <m:t>u</m:t>
              </m:r>
              <m:r>
                <m:t>r</m:t>
              </m:r>
              <m:r>
                <m:t>e</m:t>
              </m:r>
            </m:sub>
          </m:sSub>
          <m:r>
            <m:rPr>
              <m:sty m:val="p"/>
            </m:rPr>
            <m:t>−</m:t>
          </m:r>
          <m:r>
            <m:t>t</m:t>
          </m:r>
        </m:oMath>
      </m:oMathPara>
    </w:p>
    <w:p>
      <w:pPr>
        <w:pStyle w:val="FirstParagraph"/>
      </w:pPr>
      <w:r>
        <w:t xml:space="preserve">Pour les prédictions en cours de run (rupture non encore atteinte) :</w:t>
      </w:r>
    </w:p>
    <w:p>
      <w:pPr>
        <w:pStyle w:val="BodyText"/>
      </w:pPr>
      <m:oMathPara>
        <m:oMathParaPr>
          <m:jc m:val="center"/>
        </m:oMathParaPr>
        <m:oMath>
          <m:r>
            <m:t>R</m:t>
          </m:r>
          <m:r>
            <m:t>U</m:t>
          </m:r>
          <m:r>
            <m:t>L</m:t>
          </m:r>
          <m:r>
            <m:rPr>
              <m:sty m:val="p"/>
            </m:rPr>
            <m:t>(</m:t>
          </m:r>
          <m:r>
            <m:t>t</m:t>
          </m:r>
          <m:r>
            <m:rPr>
              <m:sty m:val="p"/>
            </m:rPr>
            <m:t>)</m:t>
          </m:r>
          <m:r>
            <m:rPr>
              <m:sty m:val="p"/>
            </m:rPr>
            <m:t>=</m:t>
          </m:r>
          <m:f>
            <m:fPr>
              <m:type m:val="bar"/>
            </m:fPr>
            <m:num>
              <m:r>
                <m:t>r</m:t>
              </m:r>
              <m:r>
                <m:rPr>
                  <m:sty m:val="p"/>
                </m:rPr>
                <m:t>(</m:t>
              </m:r>
              <m:r>
                <m:t>t</m:t>
              </m:r>
              <m:r>
                <m:rPr>
                  <m:sty m:val="p"/>
                </m:rPr>
                <m:t>)</m:t>
              </m:r>
              <m:r>
                <m:rPr>
                  <m:sty m:val="p"/>
                </m:rPr>
                <m:t>−</m:t>
              </m:r>
              <m:sSub>
                <m:e>
                  <m:r>
                    <m:t>r</m:t>
                  </m:r>
                </m:e>
                <m:sub>
                  <m:r>
                    <m:t>c</m:t>
                  </m:r>
                  <m:r>
                    <m:t>r</m:t>
                  </m:r>
                  <m:r>
                    <m:t>i</m:t>
                  </m:r>
                  <m:r>
                    <m:t>t</m:t>
                  </m:r>
                  <m:r>
                    <m:t>i</m:t>
                  </m:r>
                  <m:r>
                    <m:t>q</m:t>
                  </m:r>
                  <m:r>
                    <m:t>u</m:t>
                  </m:r>
                  <m:r>
                    <m:t>e</m:t>
                  </m:r>
                </m:sub>
              </m:sSub>
            </m:num>
            <m:den>
              <m:r>
                <m:rPr>
                  <m:sty m:val="p"/>
                </m:rPr>
                <m:t>|</m:t>
              </m:r>
              <m:r>
                <m:t>d</m:t>
              </m:r>
              <m:r>
                <m:t>r</m:t>
              </m:r>
              <m:r>
                <m:rPr>
                  <m:sty m:val="p"/>
                </m:rPr>
                <m:t>/</m:t>
              </m:r>
              <m:r>
                <m:t>d</m:t>
              </m:r>
              <m:r>
                <m:t>t</m:t>
              </m:r>
              <m:r>
                <m:rPr>
                  <m:sty m:val="p"/>
                </m:rPr>
                <m:t>|</m:t>
              </m:r>
            </m:den>
          </m:f>
        </m:oMath>
      </m:oMathPara>
    </w:p>
    <w:p>
      <w:r>
        <w:pict>
          <v:rect style="width:0;height:1.5pt" o:hralign="center" o:hrstd="t" o:hr="t"/>
        </w:pict>
      </w:r>
    </w:p>
    <w:bookmarkEnd w:id="91"/>
    <w:bookmarkEnd w:id="92"/>
    <w:bookmarkStart w:id="98" w:name="Xa8014f60c555bd98b3c58e7b198d9c87054b6ca"/>
    <w:p>
      <w:pPr>
        <w:pStyle w:val="Heading2"/>
      </w:pPr>
      <w:r>
        <w:t xml:space="preserve">II.5. Méthodologie d’entraînement du modèle XGBoost</w:t>
      </w:r>
    </w:p>
    <w:bookmarkStart w:id="93" w:name="Xe595405e66a16ab31c2842380ee0f609d29fcd6"/>
    <w:p>
      <w:pPr>
        <w:pStyle w:val="Heading3"/>
      </w:pPr>
      <w:r>
        <w:t xml:space="preserve">II.5.1. Stratégie de validation : du</w:t>
      </w:r>
      <w:r>
        <w:t xml:space="preserve"> </w:t>
      </w:r>
      <w:r>
        <w:rPr>
          <w:i/>
          <w:iCs/>
        </w:rPr>
        <w:t xml:space="preserve">walk-forward</w:t>
      </w:r>
      <w:r>
        <w:t xml:space="preserve"> </w:t>
      </w:r>
      <w:r>
        <w:t xml:space="preserve">au</w:t>
      </w:r>
      <w:r>
        <w:t xml:space="preserve"> </w:t>
      </w:r>
      <w:r>
        <w:rPr>
          <w:i/>
          <w:iCs/>
        </w:rPr>
        <w:t xml:space="preserve">leave-one-run-out</w:t>
      </w:r>
    </w:p>
    <w:p>
      <w:pPr>
        <w:pStyle w:val="FirstParagraph"/>
      </w:pPr>
      <w:r>
        <w:t xml:space="preserve">Parmi les stratégies comparées au tableau II.0.6, deux sont pertinentes ici. La validation walk-forward (</w:t>
      </w:r>
      <w:r>
        <w:rPr>
          <w:rStyle w:val="VerbatimChar"/>
        </w:rPr>
        <w:t xml:space="preserve">TimeSeriesSplit</w:t>
      </w:r>
      <w:r>
        <w:t xml:space="preserve">) respecte la causalité temporelle au sein d’un même essai, chaque fold entraîne sur le passé et teste sur le futur (Bergmeir et Benítez, 2012), mais ne renseigne que sur la prédiction</w:t>
      </w:r>
      <w:r>
        <w:t xml:space="preserve"> </w:t>
      </w:r>
      <w:r>
        <w:rPr>
          <w:i/>
          <w:iCs/>
        </w:rPr>
        <w:t xml:space="preserve">au sein</w:t>
      </w:r>
      <w:r>
        <w:t xml:space="preserve"> </w:t>
      </w:r>
      <w:r>
        <w:t xml:space="preserve">d’un run déjà observé. Or l’objectif industriel est la généralisation à un essai nouveau, jamais vu : la stratégie principale retenue est donc la validation</w:t>
      </w:r>
      <w:r>
        <w:t xml:space="preserve"> </w:t>
      </w:r>
      <w:r>
        <w:rPr>
          <w:i/>
          <w:iCs/>
        </w:rPr>
        <w:t xml:space="preserve">leave-one-run-out</w:t>
      </w:r>
      <w:r>
        <w:t xml:space="preserve"> </w:t>
      </w:r>
      <w:r>
        <w:t xml:space="preserve">(LORO), où un run complet est retiré de l’entraînement et sert exclusivement de test. Plus exigeante, elle mesure la capacité réelle du modèle à prédire un essai indépendant et constitue le cœur de la démonstration du Chapitre III, sa fiabilité dépendant de la couverture des conditions (notamment thermiques) par les runs d’entraînement.</w:t>
      </w:r>
    </w:p>
    <w:bookmarkEnd w:id="93"/>
    <w:bookmarkStart w:id="94" w:name="ii.5.2.-hyperparamètres-xgboost"/>
    <w:p>
      <w:pPr>
        <w:pStyle w:val="Heading3"/>
      </w:pPr>
      <w:r>
        <w:t xml:space="preserve">II.5.2. Hyperparamètres XGBoost</w:t>
      </w:r>
    </w:p>
    <w:p>
      <w:pPr>
        <w:pStyle w:val="TableCaption"/>
        <w:jc w:val="center"/>
      </w:pPr>
      <w:r>
        <w:t xml:space="preserve">Tableau II.6 — Hyperparamètres du modèle XGBoost</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Hyperparamètre</w:t>
            </w:r>
          </w:p>
        </w:tc>
        <w:tc>
          <w:tcPr>
            <w:shd w:val="clear" w:color="auto" w:fill="EFEFEF"/>
          </w:tcPr>
          <w:p>
            <w:pPr>
              <w:pStyle w:val="Compact"/>
            </w:pPr>
            <w:r>
              <w:t xml:space="preserve">Valeur</w:t>
            </w:r>
          </w:p>
        </w:tc>
        <w:tc>
          <w:tcPr>
            <w:shd w:val="clear" w:color="auto" w:fill="EFEFEF"/>
          </w:tcPr>
          <w:p>
            <w:pPr>
              <w:pStyle w:val="Compact"/>
            </w:pPr>
            <w:r>
              <w:t xml:space="preserve">Justification</w:t>
            </w:r>
          </w:p>
        </w:tc>
      </w:tr>
      <w:tr>
        <w:tc>
          <w:tcPr/>
          <w:p>
            <w:pPr>
              <w:pStyle w:val="Compact"/>
            </w:pPr>
            <w:r>
              <w:rPr>
                <w:rStyle w:val="VerbatimChar"/>
              </w:rPr>
              <w:t xml:space="preserve">n_estimators</w:t>
            </w:r>
          </w:p>
        </w:tc>
        <w:tc>
          <w:tcPr/>
          <w:p>
            <w:pPr>
              <w:pStyle w:val="Compact"/>
            </w:pPr>
            <w:r>
              <w:t xml:space="preserve">500</w:t>
            </w:r>
          </w:p>
        </w:tc>
        <w:tc>
          <w:tcPr/>
          <w:p>
            <w:pPr>
              <w:pStyle w:val="Compact"/>
            </w:pPr>
            <w:r>
              <w:t xml:space="preserve">Compromis biais-variance</w:t>
            </w:r>
          </w:p>
        </w:tc>
      </w:tr>
      <w:tr>
        <w:tc>
          <w:tcPr/>
          <w:p>
            <w:pPr>
              <w:pStyle w:val="Compact"/>
            </w:pPr>
            <w:r>
              <w:rPr>
                <w:rStyle w:val="VerbatimChar"/>
              </w:rPr>
              <w:t xml:space="preserve">max_depth</w:t>
            </w:r>
          </w:p>
        </w:tc>
        <w:tc>
          <w:tcPr/>
          <w:p>
            <w:pPr>
              <w:pStyle w:val="Compact"/>
            </w:pPr>
            <w:r>
              <w:t xml:space="preserve">4</w:t>
            </w:r>
          </w:p>
        </w:tc>
        <w:tc>
          <w:tcPr/>
          <w:p>
            <w:pPr>
              <w:pStyle w:val="Compact"/>
            </w:pPr>
            <w:r>
              <w:t xml:space="preserve">Contrôle complexité, évite surapprentissage</w:t>
            </w:r>
          </w:p>
        </w:tc>
      </w:tr>
      <w:tr>
        <w:tc>
          <w:tcPr/>
          <w:p>
            <w:pPr>
              <w:pStyle w:val="Compact"/>
            </w:pPr>
            <w:r>
              <w:rPr>
                <w:rStyle w:val="VerbatimChar"/>
              </w:rPr>
              <w:t xml:space="preserve">learning_rate</w:t>
            </w:r>
          </w:p>
        </w:tc>
        <w:tc>
          <w:tcPr/>
          <w:p>
            <w:pPr>
              <w:pStyle w:val="Compact"/>
            </w:pPr>
            <w:r>
              <w:t xml:space="preserve">0,05</w:t>
            </w:r>
          </w:p>
        </w:tc>
        <w:tc>
          <w:tcPr/>
          <w:p>
            <w:pPr>
              <w:pStyle w:val="Compact"/>
            </w:pPr>
            <w:r>
              <w:t xml:space="preserve">Convergence stable avec 500 arbres</w:t>
            </w:r>
          </w:p>
        </w:tc>
      </w:tr>
      <w:tr>
        <w:tc>
          <w:tcPr/>
          <w:p>
            <w:pPr>
              <w:pStyle w:val="Compact"/>
            </w:pPr>
            <w:r>
              <w:rPr>
                <w:rStyle w:val="VerbatimChar"/>
              </w:rPr>
              <w:t xml:space="preserve">reg_alpha</w:t>
            </w:r>
            <w:r>
              <w:t xml:space="preserve"> </w:t>
            </w:r>
            <w:r>
              <w:t xml:space="preserve">(L1)</w:t>
            </w:r>
          </w:p>
        </w:tc>
        <w:tc>
          <w:tcPr/>
          <w:p>
            <w:pPr>
              <w:pStyle w:val="Compact"/>
            </w:pPr>
            <w:r>
              <w:t xml:space="preserve">0,1</w:t>
            </w:r>
          </w:p>
        </w:tc>
        <w:tc>
          <w:tcPr/>
          <w:p>
            <w:pPr>
              <w:pStyle w:val="Compact"/>
            </w:pPr>
            <w:r>
              <w:t xml:space="preserve">Sélection sparse des features</w:t>
            </w:r>
          </w:p>
        </w:tc>
      </w:tr>
      <w:tr>
        <w:tc>
          <w:tcPr/>
          <w:p>
            <w:pPr>
              <w:pStyle w:val="Compact"/>
            </w:pPr>
            <w:r>
              <w:rPr>
                <w:rStyle w:val="VerbatimChar"/>
              </w:rPr>
              <w:t xml:space="preserve">reg_lambda</w:t>
            </w:r>
            <w:r>
              <w:t xml:space="preserve"> </w:t>
            </w:r>
            <w:r>
              <w:t xml:space="preserve">(L2)</w:t>
            </w:r>
          </w:p>
        </w:tc>
        <w:tc>
          <w:tcPr/>
          <w:p>
            <w:pPr>
              <w:pStyle w:val="Compact"/>
            </w:pPr>
            <w:r>
              <w:t xml:space="preserve">1,0</w:t>
            </w:r>
          </w:p>
        </w:tc>
        <w:tc>
          <w:tcPr/>
          <w:p>
            <w:pPr>
              <w:pStyle w:val="Compact"/>
            </w:pPr>
            <w:r>
              <w:t xml:space="preserve">Stabilité numérique</w:t>
            </w:r>
          </w:p>
        </w:tc>
      </w:tr>
      <w:tr>
        <w:tc>
          <w:tcPr/>
          <w:p>
            <w:pPr>
              <w:pStyle w:val="Compact"/>
            </w:pPr>
            <w:r>
              <w:rPr>
                <w:rStyle w:val="VerbatimChar"/>
              </w:rPr>
              <w:t xml:space="preserve">subsample</w:t>
            </w:r>
          </w:p>
        </w:tc>
        <w:tc>
          <w:tcPr/>
          <w:p>
            <w:pPr>
              <w:pStyle w:val="Compact"/>
            </w:pPr>
            <w:r>
              <w:t xml:space="preserve">0,8</w:t>
            </w:r>
          </w:p>
        </w:tc>
        <w:tc>
          <w:tcPr/>
          <w:p>
            <w:pPr>
              <w:pStyle w:val="Compact"/>
            </w:pPr>
            <w:r>
              <w:t xml:space="preserve">Réduction variance</w:t>
            </w:r>
          </w:p>
        </w:tc>
      </w:tr>
      <w:tr>
        <w:tc>
          <w:tcPr/>
          <w:p>
            <w:pPr>
              <w:pStyle w:val="Compact"/>
            </w:pPr>
            <w:r>
              <w:rPr>
                <w:rStyle w:val="VerbatimChar"/>
              </w:rPr>
              <w:t xml:space="preserve">colsample_bytree</w:t>
            </w:r>
          </w:p>
        </w:tc>
        <w:tc>
          <w:tcPr/>
          <w:p>
            <w:pPr>
              <w:pStyle w:val="Compact"/>
            </w:pPr>
            <w:r>
              <w:t xml:space="preserve">0,8</w:t>
            </w:r>
          </w:p>
        </w:tc>
        <w:tc>
          <w:tcPr/>
          <w:p>
            <w:pPr>
              <w:pStyle w:val="Compact"/>
            </w:pPr>
            <w:r>
              <w:t xml:space="preserve">Diversité des arbres</w:t>
            </w:r>
          </w:p>
        </w:tc>
      </w:tr>
      <w:tr>
        <w:tc>
          <w:tcPr/>
          <w:p>
            <w:pPr>
              <w:pStyle w:val="Compact"/>
            </w:pPr>
            <w:r>
              <w:rPr>
                <w:rStyle w:val="VerbatimChar"/>
              </w:rPr>
              <w:t xml:space="preserve">objective</w:t>
            </w:r>
          </w:p>
        </w:tc>
        <w:tc>
          <w:tcPr/>
          <w:p>
            <w:pPr>
              <w:pStyle w:val="Compact"/>
            </w:pPr>
            <w:r>
              <w:rPr>
                <w:rStyle w:val="VerbatimChar"/>
              </w:rPr>
              <w:t xml:space="preserve">reg:squarederror</w:t>
            </w:r>
          </w:p>
        </w:tc>
        <w:tc>
          <w:tcPr/>
          <w:p>
            <w:pPr>
              <w:pStyle w:val="Compact"/>
            </w:pPr>
            <w:r>
              <w:t xml:space="preserve">Régression standard</w:t>
            </w:r>
          </w:p>
        </w:tc>
      </w:tr>
    </w:tbl>
    <w:p>
      <w:pPr>
        <w:pStyle w:val="BodyText"/>
      </w:pPr>
      <w:r>
        <w:t xml:space="preserve">Source : Chen et Guestrin (2016) ; XGBoost (2024).</w:t>
      </w:r>
    </w:p>
    <w:bookmarkEnd w:id="94"/>
    <w:bookmarkStart w:id="95" w:name="ii.5.3.-métriques-dévaluation"/>
    <w:p>
      <w:pPr>
        <w:pStyle w:val="Heading3"/>
      </w:pPr>
      <w:r>
        <w:t xml:space="preserve">II.5.3. Métriques d’évaluation</w:t>
      </w:r>
    </w:p>
    <w:p>
      <w:pPr>
        <w:pStyle w:val="FirstParagraph"/>
      </w:pPr>
      <w:r>
        <w:t xml:space="preserve">Trois métriques classiques sont utilisées (Hyndman et Koehler, 2006) :</w:t>
      </w:r>
    </w:p>
    <w:p>
      <w:pPr>
        <w:pStyle w:val="Compact"/>
        <w:numPr>
          <w:ilvl w:val="0"/>
          <w:numId w:val="1024"/>
        </w:numPr>
      </w:pPr>
      <w:r>
        <w:t xml:space="preserve">MAE (Mean Absolute Error) :</w:t>
      </w:r>
      <w:r>
        <w:t xml:space="preserve"> </w:t>
      </w:r>
      <m:oMath>
        <m:r>
          <m:rPr>
            <m:nor/>
            <m:sty m:val="p"/>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oMath>
    </w:p>
    <w:p>
      <w:pPr>
        <w:pStyle w:val="Compact"/>
        <w:numPr>
          <w:ilvl w:val="0"/>
          <w:numId w:val="1024"/>
        </w:numPr>
      </w:pPr>
      <w:r>
        <w:t xml:space="preserve">RMSE (Root Mean Square Error) :</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w:p>
    <w:p>
      <w:pPr>
        <w:pStyle w:val="Compact"/>
        <w:numPr>
          <w:ilvl w:val="0"/>
          <w:numId w:val="1024"/>
        </w:numPr>
      </w:pPr>
      <w:r>
        <w:t xml:space="preserve">R² (coefficient de détermination) :</w:t>
      </w:r>
      <w:r>
        <w:t xml:space="preserve"> </w:t>
      </w:r>
      <m:oMath>
        <m:sSup>
          <m:e>
            <m:r>
              <m:t>R</m:t>
            </m:r>
          </m:e>
          <m:sup>
            <m:r>
              <m:t>2</m:t>
            </m:r>
          </m:sup>
        </m:sSup>
        <m:r>
          <m:rPr>
            <m:sty m:val="p"/>
          </m:rPr>
          <m:t>=</m:t>
        </m:r>
        <m:r>
          <m:t>1</m:t>
        </m:r>
        <m:r>
          <m:rPr>
            <m:sty m:val="p"/>
          </m:rPr>
          <m:t>−</m:t>
        </m:r>
        <m:f>
          <m:fPr>
            <m:type m:val="bar"/>
          </m:fPr>
          <m:num>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num>
          <m:den>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den>
        </m:f>
      </m:oMath>
    </w:p>
    <w:p>
      <w:pPr>
        <w:pStyle w:val="FirstParagraph"/>
      </w:pPr>
      <w:r>
        <w:t xml:space="preserve">Une baseline naïve (prédiction = moyenne du training set) sert de comparaison pour vérifier que le modèle apporte effectivement une valeur ajoutée.</w:t>
      </w:r>
    </w:p>
    <w:bookmarkEnd w:id="95"/>
    <w:bookmarkStart w:id="96" w:name="ii.5.4.-interprétabilité-par-shap"/>
    <w:p>
      <w:pPr>
        <w:pStyle w:val="Heading3"/>
      </w:pPr>
      <w:r>
        <w:t xml:space="preserve">II.5.4. Interprétabilité par SHAP</w:t>
      </w:r>
    </w:p>
    <w:p>
      <w:pPr>
        <w:pStyle w:val="FirstParagraph"/>
      </w:pPr>
      <w:r>
        <w:t xml:space="preserve">L’analyse SHAP (SHapley Additive exPlanations) est conduite après entraînement pour identifier les variables dominantes (Lundberg et Lee, 2017). Trois visualisations sont produites :</w:t>
      </w:r>
    </w:p>
    <w:p>
      <w:pPr>
        <w:pStyle w:val="Compact"/>
        <w:numPr>
          <w:ilvl w:val="0"/>
          <w:numId w:val="1025"/>
        </w:numPr>
      </w:pPr>
      <w:r>
        <w:t xml:space="preserve">SHAP summary plot (beeswarm) : distribution des contributions par feature ;</w:t>
      </w:r>
    </w:p>
    <w:p>
      <w:pPr>
        <w:pStyle w:val="Compact"/>
        <w:numPr>
          <w:ilvl w:val="0"/>
          <w:numId w:val="1025"/>
        </w:numPr>
      </w:pPr>
      <w:r>
        <w:t xml:space="preserve">SHAP bar chart : importance moyenne absolue des features ;</w:t>
      </w:r>
    </w:p>
    <w:p>
      <w:pPr>
        <w:pStyle w:val="Compact"/>
        <w:numPr>
          <w:ilvl w:val="0"/>
          <w:numId w:val="1025"/>
        </w:numPr>
      </w:pPr>
      <w:r>
        <w:t xml:space="preserve">SHAP dependence plot : interaction entre features.</w:t>
      </w:r>
    </w:p>
    <w:p>
      <w:pPr>
        <w:pStyle w:val="FirstParagraph"/>
      </w:pPr>
      <w:r>
        <w:t xml:space="preserve">L’objectif est d’identifier les 3 variables les plus influentes et de vérifier la cohérence avec la physique du phénomène.</w:t>
      </w:r>
    </w:p>
    <w:bookmarkEnd w:id="96"/>
    <w:bookmarkStart w:id="97" w:name="Xa84e41cc3fff3ce0d5a7c2fab658d87d03b5676"/>
    <w:p>
      <w:pPr>
        <w:pStyle w:val="Heading3"/>
      </w:pPr>
      <w:r>
        <w:t xml:space="preserve">II.5.5. Module de diagnostic des régimes de corrosion</w:t>
      </w:r>
    </w:p>
    <w:p>
      <w:pPr>
        <w:pStyle w:val="FirstParagraph"/>
      </w:pPr>
      <w:r>
        <w:t xml:space="preserve">Au-delà de la prédiction quantitative (CR, RUL), le pipeline implémente un module de diagnostic classifiant le régime de corrosion observé, conformément à l’étape</w:t>
      </w:r>
      <w:r>
        <w:t xml:space="preserve"> </w:t>
      </w:r>
      <w:r>
        <w:rPr>
          <w:i/>
          <w:iCs/>
        </w:rPr>
        <w:t xml:space="preserve">Diagnostic</w:t>
      </w:r>
      <w:r>
        <w:t xml:space="preserve"> </w:t>
      </w:r>
      <w:r>
        <w:t xml:space="preserve">de la norme ISO 13381-1. Plutôt qu’une classification supervisée ou une détection non-supervisée d’anomalies, l’approche retenue repose sur des règles métier explicables, simple à valider et transparente pour le jury comme pour les utilisateurs industriels, les approches ML de classification restant une perspective d’évolution.</w:t>
      </w:r>
    </w:p>
    <w:p>
      <w:pPr>
        <w:pStyle w:val="BodyText"/>
      </w:pPr>
      <w:r>
        <w:t xml:space="preserve">Les régimes correspondent aux phases physiques observées sur un essai RTF du fil de fer en milieu HCl :</w:t>
      </w:r>
    </w:p>
    <w:p>
      <w:pPr>
        <w:pStyle w:val="TableCaption"/>
        <w:jc w:val="center"/>
      </w:pPr>
      <w:r>
        <w:t xml:space="preserve">Tableau II.7 — Régimes de corrosion diagnostiqués et signatures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Régime</w:t>
            </w:r>
          </w:p>
        </w:tc>
        <w:tc>
          <w:tcPr>
            <w:shd w:val="clear" w:color="auto" w:fill="EFEFEF"/>
          </w:tcPr>
          <w:p>
            <w:pPr>
              <w:pStyle w:val="Compact"/>
            </w:pPr>
            <w:r>
              <w:t xml:space="preserve">Signature dans le signal</w:t>
            </w:r>
          </w:p>
        </w:tc>
        <w:tc>
          <w:tcPr>
            <w:shd w:val="clear" w:color="auto" w:fill="EFEFEF"/>
          </w:tcPr>
          <w:p>
            <w:pPr>
              <w:pStyle w:val="Compact"/>
            </w:pPr>
            <w:r>
              <w:t xml:space="preserve">Niveau d’alerte</w:t>
            </w:r>
          </w:p>
        </w:tc>
      </w:tr>
      <w:tr>
        <w:tc>
          <w:tcPr/>
          <w:p>
            <w:pPr>
              <w:pStyle w:val="Compact"/>
            </w:pPr>
            <w:r>
              <w:t xml:space="preserve">Induction</w:t>
            </w:r>
          </w:p>
        </w:tc>
        <w:tc>
          <w:tcPr/>
          <w:p>
            <w:pPr>
              <w:pStyle w:val="Compact"/>
            </w:pPr>
            <w:r>
              <w:t xml:space="preserve">dR/dt ≈ 0, résistance quasi stable (début d’immersion)</w:t>
            </w:r>
          </w:p>
        </w:tc>
        <w:tc>
          <w:tcPr/>
          <w:p>
            <w:pPr>
              <w:pStyle w:val="Compact"/>
            </w:pPr>
            <w:r>
              <w:t xml:space="preserve">Vert</w:t>
            </w:r>
          </w:p>
        </w:tc>
      </w:tr>
      <w:tr>
        <w:tc>
          <w:tcPr/>
          <w:p>
            <w:pPr>
              <w:pStyle w:val="Compact"/>
            </w:pPr>
            <w:r>
              <w:t xml:space="preserve">Croissance</w:t>
            </w:r>
          </w:p>
        </w:tc>
        <w:tc>
          <w:tcPr/>
          <w:p>
            <w:pPr>
              <w:pStyle w:val="Compact"/>
            </w:pPr>
            <w:r>
              <w:t xml:space="preserve">dR/dt &gt; 0 régulier, tendance_6h positive et stable</w:t>
            </w:r>
          </w:p>
        </w:tc>
        <w:tc>
          <w:tcPr/>
          <w:p>
            <w:pPr>
              <w:pStyle w:val="Compact"/>
            </w:pPr>
            <w:r>
              <w:t xml:space="preserve">Vert</w:t>
            </w:r>
          </w:p>
        </w:tc>
      </w:tr>
      <w:tr>
        <w:tc>
          <w:tcPr/>
          <w:p>
            <w:pPr>
              <w:pStyle w:val="Compact"/>
            </w:pPr>
            <w:r>
              <w:t xml:space="preserve">Emballement</w:t>
            </w:r>
          </w:p>
        </w:tc>
        <w:tc>
          <w:tcPr/>
          <w:p>
            <w:pPr>
              <w:pStyle w:val="Compact"/>
            </w:pPr>
            <w:r>
              <w:t xml:space="preserve">accélération marquée de dR/dt, tendance_6h croissante</w:t>
            </w:r>
          </w:p>
        </w:tc>
        <w:tc>
          <w:tcPr/>
          <w:p>
            <w:pPr>
              <w:pStyle w:val="Compact"/>
            </w:pPr>
            <w:r>
              <w:t xml:space="preserve">Orange</w:t>
            </w:r>
          </w:p>
        </w:tc>
      </w:tr>
      <w:tr>
        <w:tc>
          <w:tcPr/>
          <w:p>
            <w:pPr>
              <w:pStyle w:val="Compact"/>
            </w:pPr>
            <w:r>
              <w:t xml:space="preserve">Pré-rupture</w:t>
            </w:r>
          </w:p>
        </w:tc>
        <w:tc>
          <w:tcPr/>
          <w:p>
            <w:pPr>
              <w:pStyle w:val="Compact"/>
            </w:pPr>
            <w:r>
              <w:t xml:space="preserve">dR/dt diverge ET RUL &lt; 12 h</w:t>
            </w:r>
          </w:p>
        </w:tc>
        <w:tc>
          <w:tcPr/>
          <w:p>
            <w:pPr>
              <w:pStyle w:val="Compact"/>
            </w:pPr>
            <w:r>
              <w:t xml:space="preserve">Rouge</w:t>
            </w:r>
          </w:p>
        </w:tc>
      </w:tr>
    </w:tbl>
    <w:p>
      <w:pPr>
        <w:pStyle w:val="BodyText"/>
      </w:pPr>
      <w:r>
        <w:t xml:space="preserve">Les seuils de transition entre régimes sont calibrés sur les distributions observées dans les runs de référence, conformément au principe de « seuil de santé prédéfini » de l’ISO 13381-1 (ISO, 2025). Ils constituent à ce stade une convention de laboratoire provisoire, à consolider sur un volume d’essais accru. Le seuil de pré-rupture (</w:t>
      </w:r>
      <w:r>
        <w:rPr>
          <w:i/>
          <w:iCs/>
        </w:rPr>
        <w:t xml:space="preserve">RUL</w:t>
      </w:r>
      <w:r>
        <w:t xml:space="preserve"> </w:t>
      </w:r>
      <w:r>
        <w:t xml:space="preserve">&lt; 12 h) est un objectif de conception, l’horizon d’anticipation visé pour déclencher une intervention, et non une valeur normative.</w:t>
      </w:r>
    </w:p>
    <w:p>
      <w:pPr>
        <w:pStyle w:val="BodyText"/>
      </w:pPr>
      <w:r>
        <w:t xml:space="preserve">La fonction</w:t>
      </w:r>
      <w:r>
        <w:t xml:space="preserve"> </w:t>
      </w:r>
      <w:r>
        <w:rPr>
          <w:rStyle w:val="VerbatimChar"/>
        </w:rPr>
        <w:t xml:space="preserve">diagnostiquer(features)</w:t>
      </w:r>
      <w:r>
        <w:t xml:space="preserve"> </w:t>
      </w:r>
      <w:r>
        <w:t xml:space="preserve">du pipeline Python prend en entrée le vecteur de features de l’instant courant et retourne un dictionnaire</w:t>
      </w:r>
      <w:r>
        <w:t xml:space="preserve"> </w:t>
      </w:r>
      <w:r>
        <w:rPr>
          <w:rStyle w:val="VerbatimChar"/>
        </w:rPr>
        <w:t xml:space="preserve">{régime: str, confiance: float, signal: dict}</w:t>
      </w:r>
      <w:r>
        <w:t xml:space="preserve"> </w:t>
      </w:r>
      <w:r>
        <w:t xml:space="preserve">exploité ensuite par le module GMAO (OS4) pour générer les alertes.</w:t>
      </w:r>
    </w:p>
    <w:p>
      <w:r>
        <w:pict>
          <v:rect style="width:0;height:1.5pt" o:hralign="center" o:hrstd="t" o:hr="t"/>
        </w:pict>
      </w:r>
    </w:p>
    <w:bookmarkEnd w:id="97"/>
    <w:bookmarkEnd w:id="98"/>
    <w:bookmarkStart w:id="103" w:name="X8f2c3d1b22491317b619a97563f1a03b47db684"/>
    <w:p>
      <w:pPr>
        <w:pStyle w:val="Heading2"/>
      </w:pPr>
      <w:r>
        <w:t xml:space="preserve">II.6. Protocole expérimental run-to-failure</w:t>
      </w:r>
    </w:p>
    <w:bookmarkStart w:id="99" w:name="ii.6.1.-justification-du-protocole-rtf"/>
    <w:p>
      <w:pPr>
        <w:pStyle w:val="Heading3"/>
      </w:pPr>
      <w:r>
        <w:t xml:space="preserve">II.6.1. Justification du protocole RTF</w:t>
      </w:r>
    </w:p>
    <w:p>
      <w:pPr>
        <w:pStyle w:val="FirstParagraph"/>
      </w:pPr>
      <w:r>
        <w:t xml:space="preserve">Face aux essais électrochimiques (grandeurs instantanées, mais instrument coûteux) et à la perte de masse (simple, mais réduite à une vitesse moyenne, sans dynamique temporelle ni événement de défaillance), le protocole retenu est le run-to-failure (RTF) : seul à constituer un jeu d’apprentissage couvrant l’intégralité du cycle de dégradation, de l’état initial à la rupture, et à fournir un événement de défaillance réellement observé, indispensable à l’apprentissage de la durée de vie résiduelle (RUL). Ce choix est conforme à l’esprit de la norme ISO 13381-1 :2025 sur la maintenance prévisionnelle (ISO, 2025 ; Akash, 2024).</w:t>
      </w:r>
    </w:p>
    <w:bookmarkEnd w:id="99"/>
    <w:bookmarkStart w:id="100" w:name="ii.6.2.-plan-expérimental"/>
    <w:p>
      <w:pPr>
        <w:pStyle w:val="Heading3"/>
      </w:pPr>
      <w:r>
        <w:t xml:space="preserve">II.6.2. Plan expérimental</w:t>
      </w:r>
    </w:p>
    <w:p>
      <w:pPr>
        <w:pStyle w:val="FirstParagraph"/>
      </w:pPr>
      <w:r>
        <w:t xml:space="preserve">Le plan expérimental ne repose pas sur un nombre figé de runs, mais sur une série d’essais RTF répétés dans des conditions nominales identiques (même milieu HCl, même montage), conçue de manière itérative. Deux phases structurent la campagne :</w:t>
      </w:r>
    </w:p>
    <w:p>
      <w:pPr>
        <w:pStyle w:val="Compact"/>
        <w:numPr>
          <w:ilvl w:val="0"/>
          <w:numId w:val="1026"/>
        </w:numPr>
      </w:pPr>
      <w:r>
        <w:t xml:space="preserve">une phase exploratoire, à température ambiante</w:t>
      </w:r>
      <w:r>
        <w:t xml:space="preserve"> </w:t>
      </w:r>
      <w:r>
        <w:rPr>
          <w:i/>
          <w:iCs/>
        </w:rPr>
        <w:t xml:space="preserve">subie</w:t>
      </w:r>
      <w:r>
        <w:t xml:space="preserve"> </w:t>
      </w:r>
      <w:r>
        <w:t xml:space="preserve">(non régulée), destinée à constituer les premières séries et à identifier les facteurs de variabilité ;</w:t>
      </w:r>
    </w:p>
    <w:p>
      <w:pPr>
        <w:pStyle w:val="Compact"/>
        <w:numPr>
          <w:ilvl w:val="0"/>
          <w:numId w:val="1026"/>
        </w:numPr>
      </w:pPr>
      <w:r>
        <w:t xml:space="preserve">une phase contrôlée, à température</w:t>
      </w:r>
      <w:r>
        <w:t xml:space="preserve"> </w:t>
      </w:r>
      <w:r>
        <w:rPr>
          <w:i/>
          <w:iCs/>
        </w:rPr>
        <w:t xml:space="preserve">régulée</w:t>
      </w:r>
      <w:r>
        <w:t xml:space="preserve"> </w:t>
      </w:r>
      <w:r>
        <w:t xml:space="preserve">par un chauffe-eau d’aquarium étanche immergé directement dans la cellule, destinée à isoler l’effet de la température et à démontrer la répétabilité.</w:t>
      </w:r>
    </w:p>
    <w:p>
      <w:pPr>
        <w:pStyle w:val="TableCaption"/>
        <w:jc w:val="center"/>
      </w:pPr>
      <w:r>
        <w:t xml:space="preserve">Tableau II.8 — Plan de la série d’essais run-to-failure (campagne en cours)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Phase</w:t>
            </w:r>
          </w:p>
        </w:tc>
        <w:tc>
          <w:tcPr>
            <w:shd w:val="clear" w:color="auto" w:fill="EFEFEF"/>
          </w:tcPr>
          <w:p>
            <w:pPr>
              <w:pStyle w:val="Compact"/>
            </w:pPr>
            <w:r>
              <w:t xml:space="preserve">Essais réalisés à ce stade</w:t>
            </w:r>
          </w:p>
        </w:tc>
        <w:tc>
          <w:tcPr>
            <w:shd w:val="clear" w:color="auto" w:fill="EFEFEF"/>
          </w:tcPr>
          <w:p>
            <w:pPr>
              <w:pStyle w:val="Compact"/>
            </w:pPr>
            <w:r>
              <w:t xml:space="preserve">Conditions</w:t>
            </w:r>
          </w:p>
        </w:tc>
        <w:tc>
          <w:tcPr>
            <w:shd w:val="clear" w:color="auto" w:fill="EFEFEF"/>
          </w:tcPr>
          <w:p>
            <w:pPr>
              <w:pStyle w:val="Compact"/>
            </w:pPr>
            <w:r>
              <w:t xml:space="preserve">Rôle</w:t>
            </w:r>
          </w:p>
        </w:tc>
      </w:tr>
      <w:tr>
        <w:tc>
          <w:tcPr/>
          <w:p>
            <w:pPr>
              <w:pStyle w:val="Compact"/>
            </w:pPr>
            <w:r>
              <w:t xml:space="preserve">Exploratoire</w:t>
            </w:r>
          </w:p>
        </w:tc>
        <w:tc>
          <w:tcPr/>
          <w:p>
            <w:pPr>
              <w:pStyle w:val="Compact"/>
            </w:pPr>
            <w:r>
              <w:t xml:space="preserve">Run #1, #11, #12, #14</w:t>
            </w:r>
          </w:p>
        </w:tc>
        <w:tc>
          <w:tcPr/>
          <w:p>
            <w:pPr>
              <w:pStyle w:val="Compact"/>
            </w:pPr>
            <w:r>
              <w:t xml:space="preserve">HCl, température ambiante subie (≈ 29–33 °C)</w:t>
            </w:r>
          </w:p>
        </w:tc>
        <w:tc>
          <w:tcPr/>
          <w:p>
            <w:pPr>
              <w:pStyle w:val="Compact"/>
            </w:pPr>
            <w:r>
              <w:t xml:space="preserve">Entraînement + mise en évidence de l’effet température</w:t>
            </w:r>
          </w:p>
        </w:tc>
      </w:tr>
      <w:tr>
        <w:tc>
          <w:tcPr/>
          <w:p>
            <w:pPr>
              <w:pStyle w:val="Compact"/>
            </w:pPr>
            <w:r>
              <w:t xml:space="preserve">Contrôlée</w:t>
            </w:r>
          </w:p>
        </w:tc>
        <w:tc>
          <w:tcPr/>
          <w:p>
            <w:pPr>
              <w:pStyle w:val="Compact"/>
            </w:pPr>
            <w:r>
              <w:t xml:space="preserve">Run #16, #17 (+ runs en cours)</w:t>
            </w:r>
          </w:p>
        </w:tc>
        <w:tc>
          <w:tcPr/>
          <w:p>
            <w:pPr>
              <w:pStyle w:val="Compact"/>
            </w:pPr>
            <w:r>
              <w:t xml:space="preserve">HCl, température régulée (consignes 30 °C puis 32 °C)</w:t>
            </w:r>
          </w:p>
        </w:tc>
        <w:tc>
          <w:tcPr/>
          <w:p>
            <w:pPr>
              <w:pStyle w:val="Compact"/>
            </w:pPr>
            <w:r>
              <w:t xml:space="preserve">Démonstration de répétabilité + validation</w:t>
            </w:r>
          </w:p>
        </w:tc>
      </w:tr>
    </w:tbl>
    <w:p>
      <w:pPr>
        <w:pStyle w:val="BodyText"/>
      </w:pPr>
      <w:r>
        <w:t xml:space="preserve">La campagne se poursuit : des essais complémentaires aux consignes 30 °C et 32 °C sont en cours afin de consolider la couverture thermique (voir Chapitre III, perspectives). Le détail des essais retenus, écartés et utilisés comme contre-exemples est présenté au Chapitre III.</w:t>
      </w:r>
    </w:p>
    <w:bookmarkEnd w:id="100"/>
    <w:bookmarkStart w:id="101" w:name="ii.6.3.-procédure-standard-par-run"/>
    <w:p>
      <w:pPr>
        <w:pStyle w:val="Heading3"/>
      </w:pPr>
      <w:r>
        <w:t xml:space="preserve">II.6.3. Procédure standard par run</w:t>
      </w:r>
    </w:p>
    <w:p>
      <w:pPr>
        <w:pStyle w:val="FirstParagraph"/>
      </w:pPr>
      <w:r>
        <w:t xml:space="preserve">Pour chaque run, la procédure suivante est appliquée :</w:t>
      </w:r>
    </w:p>
    <w:p>
      <w:pPr>
        <w:pStyle w:val="Compact"/>
        <w:numPr>
          <w:ilvl w:val="0"/>
          <w:numId w:val="1027"/>
        </w:numPr>
      </w:pPr>
      <w:r>
        <w:t xml:space="preserve">Préparation de la cellule et du fil : nettoyage du récipient, découpe d’un fil de fer neuf, nettoyage, séchage ; isolation d’environ 10 cm à chaque extrémité du fil (vernis/gaine) afin d’exclure la zone de ligne de flottaison, siège d’une corrosion par aération différentielle (cellule à concentration d’oxygène à l’interface air-liquide), et de garantir une corrosion uniforme sur la seule longueur immergée (Roberge, 2008) ; mesure de</w:t>
      </w:r>
      <w:r>
        <w:t xml:space="preserve"> </w:t>
      </w:r>
      <w:r>
        <w:rPr>
          <w:i/>
          <w:iCs/>
        </w:rPr>
        <w:t xml:space="preserve">R</w:t>
      </w:r>
      <w:r>
        <w:t xml:space="preserve">₀ au multimètre, vérification du pH ;</w:t>
      </w:r>
    </w:p>
    <w:p>
      <w:pPr>
        <w:pStyle w:val="Compact"/>
        <w:numPr>
          <w:ilvl w:val="0"/>
          <w:numId w:val="1027"/>
        </w:numPr>
      </w:pPr>
      <w:r>
        <w:t xml:space="preserve">Câblage de la sonde : montage du fil, connexion HX711 → ESP32, vérification de la réception des premiers points dans la table Supabase</w:t>
      </w:r>
      <w:r>
        <w:t xml:space="preserve"> </w:t>
      </w:r>
      <w:r>
        <w:rPr>
          <w:rStyle w:val="VerbatimChar"/>
        </w:rPr>
        <w:t xml:space="preserve">cr_measurements</w:t>
      </w:r>
      <w:r>
        <w:t xml:space="preserve"> </w:t>
      </w:r>
      <w:r>
        <w:t xml:space="preserve">via l’application Streamlit ;</w:t>
      </w:r>
    </w:p>
    <w:p>
      <w:pPr>
        <w:pStyle w:val="Compact"/>
        <w:numPr>
          <w:ilvl w:val="0"/>
          <w:numId w:val="1027"/>
        </w:numPr>
      </w:pPr>
      <w:r>
        <w:t xml:space="preserve">Mise en condition thermique (phase contrôlée) : le chauffe-eau d’aquarium étanche est immergé directement dans la cellule (au même titre que le DS18B20) et porte le milieu à la consigne ; la cellule est couverte pour limiter l’évaporation du HCl accélérée par le chauffage ;</w:t>
      </w:r>
    </w:p>
    <w:p>
      <w:pPr>
        <w:pStyle w:val="Compact"/>
        <w:numPr>
          <w:ilvl w:val="0"/>
          <w:numId w:val="1027"/>
        </w:numPr>
      </w:pPr>
      <w:r>
        <w:t xml:space="preserve">Démarrage de l’acquisition : préparation d’acide frais et immersion immédiate du fil (sans délai d’exposition de l’acide à l’air, le HCl étant volatil), récipient couvert pour limiter l’évaporation ; création du run dans Supabase (</w:t>
      </w:r>
      <w:r>
        <w:rPr>
          <w:rStyle w:val="VerbatimChar"/>
        </w:rPr>
        <w:t xml:space="preserve">cr_runs.started_at</w:t>
      </w:r>
      <w:r>
        <w:t xml:space="preserve">) et début de l’envoi des mesures ;</w:t>
      </w:r>
    </w:p>
    <w:p>
      <w:pPr>
        <w:pStyle w:val="Compact"/>
        <w:numPr>
          <w:ilvl w:val="0"/>
          <w:numId w:val="1027"/>
        </w:numPr>
      </w:pPr>
      <w:r>
        <w:t xml:space="preserve">Surveillance périodique : vérification de la continuité de l’acquisition via le dashboard Streamlit ;</w:t>
      </w:r>
    </w:p>
    <w:p>
      <w:pPr>
        <w:pStyle w:val="Compact"/>
        <w:numPr>
          <w:ilvl w:val="0"/>
          <w:numId w:val="1027"/>
        </w:numPr>
      </w:pPr>
      <w:r>
        <w:t xml:space="preserve">Détection de la fin de run : la rupture du fil est identifiée par un critère objectif, saturation de</w:t>
      </w:r>
      <w:r>
        <w:t xml:space="preserve"> </w:t>
      </w:r>
      <w:r>
        <w:rPr>
          <w:i/>
          <w:iCs/>
        </w:rPr>
        <w:t xml:space="preserve">R</w:t>
      </w:r>
      <w:r>
        <w:t xml:space="preserve">ₓ (circuit ouvert), la valeur se figeant à sa borne haute. Le run est clôturé au premier point de saturation (</w:t>
      </w:r>
      <w:r>
        <w:rPr>
          <w:rStyle w:val="VerbatimChar"/>
        </w:rPr>
        <w:t xml:space="preserve">cr_runs.ended_at</w:t>
      </w:r>
      <w:r>
        <w:t xml:space="preserve">) ;</w:t>
      </w:r>
    </w:p>
    <w:p>
      <w:pPr>
        <w:pStyle w:val="Compact"/>
        <w:numPr>
          <w:ilvl w:val="0"/>
          <w:numId w:val="1027"/>
        </w:numPr>
      </w:pPr>
      <w:r>
        <w:t xml:space="preserve">Post-run : photographie du fil corrodé, nettoyage et préparation du run suivant.</w:t>
      </w:r>
    </w:p>
    <w:p>
      <w:pPr>
        <w:pStyle w:val="BlockText"/>
      </w:pPr>
      <w:r>
        <w:t xml:space="preserve">Note de protocole. Deux exigences se sont révélées critiques pour la répétabilité (Chapitre III) : (i) la stabilité thermique du milieu à la consigne ; (ii) l’emploi d’acide frais immergé sans délai, l’exposition prolongée de l’acide à l’air abaissant sa concentration par volatilisation du HCl.</w:t>
      </w:r>
    </w:p>
    <w:bookmarkEnd w:id="101"/>
    <w:bookmarkStart w:id="102" w:name="ii.6.4.-seuils-dalerte-gradués"/>
    <w:p>
      <w:pPr>
        <w:pStyle w:val="Heading3"/>
      </w:pPr>
      <w:r>
        <w:t xml:space="preserve">II.6.4. Seuils d’alerte gradués</w:t>
      </w:r>
    </w:p>
    <w:p>
      <w:pPr>
        <w:pStyle w:val="FirstParagraph"/>
      </w:pPr>
      <w:r>
        <w:t xml:space="preserve">Les seuils d’alerte sont définis à partir des deux sorties du modèle (taux de corrosion CR et durée de vie résiduelle RUL), sans recourir à une action chimique corrective (hors périmètre de ce travail).</w:t>
      </w:r>
    </w:p>
    <w:p>
      <w:pPr>
        <w:pStyle w:val="TableCaption"/>
        <w:jc w:val="center"/>
      </w:pPr>
      <w:r>
        <w:t xml:space="preserve">Tableau II.9 — Seuils d’alerte gradués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Niveau</w:t>
            </w:r>
          </w:p>
        </w:tc>
        <w:tc>
          <w:tcPr>
            <w:shd w:val="clear" w:color="auto" w:fill="EFEFEF"/>
          </w:tcPr>
          <w:p>
            <w:pPr>
              <w:pStyle w:val="Compact"/>
            </w:pPr>
            <w:r>
              <w:t xml:space="preserve">Condition</w:t>
            </w:r>
          </w:p>
        </w:tc>
        <w:tc>
          <w:tcPr>
            <w:shd w:val="clear" w:color="auto" w:fill="EFEFEF"/>
          </w:tcPr>
          <w:p>
            <w:pPr>
              <w:pStyle w:val="Compact"/>
            </w:pPr>
            <w:r>
              <w:t xml:space="preserve">Recommandation</w:t>
            </w:r>
          </w:p>
        </w:tc>
      </w:tr>
      <w:tr>
        <w:tc>
          <w:tcPr/>
          <w:p>
            <w:pPr>
              <w:pStyle w:val="Compact"/>
            </w:pPr>
            <w:r>
              <w:t xml:space="preserve">Vert (nominal)</w:t>
            </w:r>
          </w:p>
        </w:tc>
        <w:tc>
          <w:tcPr/>
          <w:p>
            <w:pPr>
              <w:pStyle w:val="Compact"/>
            </w:pPr>
            <w:r>
              <w:rPr>
                <w:i/>
                <w:iCs/>
              </w:rPr>
              <w:t xml:space="preserve">CR</w:t>
            </w:r>
            <w:r>
              <w:t xml:space="preserve"> </w:t>
            </w:r>
            <w:r>
              <w:t xml:space="preserve">&lt; 1 mm/an ET</w:t>
            </w:r>
            <w:r>
              <w:t xml:space="preserve"> </w:t>
            </w:r>
            <w:r>
              <w:rPr>
                <w:i/>
                <w:iCs/>
              </w:rPr>
              <w:t xml:space="preserve">RUL</w:t>
            </w:r>
            <w:r>
              <w:t xml:space="preserve"> </w:t>
            </w:r>
            <w:r>
              <w:t xml:space="preserve">&gt; 48 h</w:t>
            </w:r>
          </w:p>
        </w:tc>
        <w:tc>
          <w:tcPr/>
          <w:p>
            <w:pPr>
              <w:pStyle w:val="Compact"/>
            </w:pPr>
            <w:r>
              <w:t xml:space="preserve">Surveillance normale</w:t>
            </w:r>
          </w:p>
        </w:tc>
      </w:tr>
      <w:tr>
        <w:tc>
          <w:tcPr/>
          <w:p>
            <w:pPr>
              <w:pStyle w:val="Compact"/>
            </w:pPr>
            <w:r>
              <w:t xml:space="preserve">Orange (vigilance)</w:t>
            </w:r>
          </w:p>
        </w:tc>
        <w:tc>
          <w:tcPr/>
          <w:p>
            <w:pPr>
              <w:pStyle w:val="Compact"/>
            </w:pPr>
            <w:r>
              <w:t xml:space="preserve">1 ≤</w:t>
            </w:r>
            <w:r>
              <w:t xml:space="preserve"> </w:t>
            </w:r>
            <w:r>
              <w:rPr>
                <w:i/>
                <w:iCs/>
              </w:rPr>
              <w:t xml:space="preserve">CR</w:t>
            </w:r>
            <w:r>
              <w:t xml:space="preserve"> </w:t>
            </w:r>
            <w:r>
              <w:t xml:space="preserve">&lt; 5 mm/an OU 12 ≤</w:t>
            </w:r>
            <w:r>
              <w:t xml:space="preserve"> </w:t>
            </w:r>
            <w:r>
              <w:rPr>
                <w:i/>
                <w:iCs/>
              </w:rPr>
              <w:t xml:space="preserve">RUL</w:t>
            </w:r>
            <w:r>
              <w:t xml:space="preserve"> </w:t>
            </w:r>
            <w:r>
              <w:t xml:space="preserve">&lt; 48 h</w:t>
            </w:r>
          </w:p>
        </w:tc>
        <w:tc>
          <w:tcPr/>
          <w:p>
            <w:pPr>
              <w:pStyle w:val="Compact"/>
            </w:pPr>
            <w:r>
              <w:t xml:space="preserve">Planifier une inspection / intervention</w:t>
            </w:r>
          </w:p>
        </w:tc>
      </w:tr>
      <w:tr>
        <w:tc>
          <w:tcPr/>
          <w:p>
            <w:pPr>
              <w:pStyle w:val="Compact"/>
            </w:pPr>
            <w:r>
              <w:t xml:space="preserve">Rouge (critique)</w:t>
            </w:r>
          </w:p>
        </w:tc>
        <w:tc>
          <w:tcPr/>
          <w:p>
            <w:pPr>
              <w:pStyle w:val="Compact"/>
            </w:pPr>
            <w:r>
              <w:rPr>
                <w:i/>
                <w:iCs/>
              </w:rPr>
              <w:t xml:space="preserve">CR</w:t>
            </w:r>
            <w:r>
              <w:t xml:space="preserve"> </w:t>
            </w:r>
            <w:r>
              <w:t xml:space="preserve">≥ 5 mm/an OU</w:t>
            </w:r>
            <w:r>
              <w:t xml:space="preserve"> </w:t>
            </w:r>
            <w:r>
              <w:rPr>
                <w:i/>
                <w:iCs/>
              </w:rPr>
              <w:t xml:space="preserve">RUL</w:t>
            </w:r>
            <w:r>
              <w:t xml:space="preserve"> </w:t>
            </w:r>
            <w:r>
              <w:t xml:space="preserve">&lt; 12 h</w:t>
            </w:r>
          </w:p>
        </w:tc>
        <w:tc>
          <w:tcPr/>
          <w:p>
            <w:pPr>
              <w:pStyle w:val="Compact"/>
            </w:pPr>
            <w:r>
              <w:t xml:space="preserve">Inspection immédiate + arrêt préventif</w:t>
            </w:r>
          </w:p>
        </w:tc>
      </w:tr>
    </w:tbl>
    <w:p>
      <w:pPr>
        <w:pStyle w:val="BlockText"/>
      </w:pPr>
      <w:r>
        <w:t xml:space="preserve">Provenance et statut de ces seuils (important). Les valeurs de</w:t>
      </w:r>
      <w:r>
        <w:t xml:space="preserve"> </w:t>
      </w:r>
      <w:r>
        <w:rPr>
          <w:i/>
          <w:iCs/>
        </w:rPr>
        <w:t xml:space="preserve">CR</w:t>
      </w:r>
      <w:r>
        <w:t xml:space="preserve"> </w:t>
      </w:r>
      <w:r>
        <w:t xml:space="preserve">ci-dessus constituent un cadre cible industriel illustratif, destiné à un acier de pipeline ; elles ne sont ni des bandes normatives NACE, ni les seuils opérationnels du prototype. À titre de référence normative, la norme NACE/AMPP SP0775 classe la sévérité de corrosion de l’acier au carbone en bandes faible / modérée / élevée / sévère aux alentours de 0,025 / 0,12 / 0,25 mm/an (AMPP, 2023), c’est sur ces bandes qu’un déploiement réel devra être recalibré. Le prototype de laboratoire, dont le fil de fer en HCl corrode à des vitesses très supérieures à celles d’un pipeline acier (et dont le</w:t>
      </w:r>
      <w:r>
        <w:t xml:space="preserve"> </w:t>
      </w:r>
      <w:r>
        <w:rPr>
          <w:i/>
          <w:iCs/>
        </w:rPr>
        <w:t xml:space="preserve">CR</w:t>
      </w:r>
      <w:r>
        <w:t xml:space="preserve"> </w:t>
      </w:r>
      <w:r>
        <w:t xml:space="preserve">est écrêté à 2 mm/an, §II.4.4), n’utilise pas ces seuils absolus : il déclenche ses alertes sur la section perdue (%) et le RUL (h) (§III.4.3), grandeurs intrinsèques indépendantes de l’échelle de</w:t>
      </w:r>
      <w:r>
        <w:t xml:space="preserve"> </w:t>
      </w:r>
      <w:r>
        <w:rPr>
          <w:i/>
          <w:iCs/>
        </w:rPr>
        <w:t xml:space="preserve">CR</w:t>
      </w:r>
      <w:r>
        <w:t xml:space="preserve">. Ces seuils opérationnels sont provisoires, calibrés sur les essais de référence et à consolider (§III.6.4).</w:t>
      </w:r>
    </w:p>
    <w:p>
      <w:r>
        <w:pict>
          <v:rect style="width:0;height:1.5pt" o:hralign="center" o:hrstd="t" o:hr="t"/>
        </w:pict>
      </w:r>
    </w:p>
    <w:bookmarkEnd w:id="102"/>
    <w:bookmarkEnd w:id="103"/>
    <w:bookmarkStart w:id="113" w:name="X7f6fc5d9d937f79007415265945dc6449a14409"/>
    <w:p>
      <w:pPr>
        <w:pStyle w:val="Heading2"/>
      </w:pPr>
      <w:r>
        <w:t xml:space="preserve">II.7. Boucle décision → action : module GMAO intégré, transposable à un CMMS open-source (OS4)</w:t>
      </w:r>
    </w:p>
    <w:bookmarkStart w:id="104" w:name="Xe4c6045e9672fb7e8ac670f4984bed3a1a5ff70"/>
    <w:p>
      <w:pPr>
        <w:pStyle w:val="Heading3"/>
      </w:pPr>
      <w:r>
        <w:t xml:space="preserve">II.7.1. Choix d’architecture : module GMAO maison + transposabilité à un CMMS open-source</w:t>
      </w:r>
    </w:p>
    <w:p>
      <w:pPr>
        <w:pStyle w:val="FirstParagraph"/>
      </w:pPr>
      <w:r>
        <w:t xml:space="preserve">L’objectif d’OS4 est de structurer la boucle décision → action en aval du système prédictif. Deux approches étaient envisageables :</w:t>
      </w:r>
    </w:p>
    <w:p>
      <w:pPr>
        <w:pStyle w:val="Compact"/>
        <w:numPr>
          <w:ilvl w:val="0"/>
          <w:numId w:val="1028"/>
        </w:numPr>
      </w:pPr>
    </w:p>
    <w:p>
      <w:pPr>
        <w:pStyle w:val="Compact"/>
        <w:numPr>
          <w:ilvl w:val="1"/>
          <w:numId w:val="1029"/>
        </w:numPr>
      </w:pPr>
      <w:r>
        <w:t xml:space="preserve">Développer un module GMAO maison léger, intégré à l’application Streamlit (table d’ordres de travail + interface de gestion), couvrant le strict nécessaire : création d’OT sur alerte, assignation, clôture, KPIs ;</w:t>
      </w:r>
    </w:p>
    <w:p>
      <w:pPr>
        <w:pStyle w:val="Compact"/>
        <w:numPr>
          <w:ilvl w:val="0"/>
          <w:numId w:val="1028"/>
        </w:numPr>
      </w:pPr>
    </w:p>
    <w:p>
      <w:pPr>
        <w:pStyle w:val="Compact"/>
        <w:numPr>
          <w:ilvl w:val="1"/>
          <w:numId w:val="1030"/>
        </w:numPr>
      </w:pPr>
      <w:r>
        <w:t xml:space="preserve">Réutiliser un CMMS open-source mature (GLPI, OpenMaint, Snipe-IT…) et y connecter, par API REST, l’application web Streamlit.</w:t>
      </w:r>
    </w:p>
    <w:p>
      <w:pPr>
        <w:pStyle w:val="FirstParagraph"/>
      </w:pPr>
      <w:r>
        <w:t xml:space="preserve">L’approche retenue pour le prototype est (A), un module GMAO maison, son architecture étant conçue pour être directement transposable à l’approche (B). Justification :</w:t>
      </w:r>
    </w:p>
    <w:p>
      <w:pPr>
        <w:pStyle w:val="Compact"/>
        <w:numPr>
          <w:ilvl w:val="0"/>
          <w:numId w:val="1031"/>
        </w:numPr>
      </w:pPr>
      <w:r>
        <w:t xml:space="preserve">Périmètre suffisant : la boucle visée (OT générés à partir des alertes + traçabilité + KPIs) est couverte par un module léger, sans imposer le déploiement d’un CMMS complet pour la démonstration ;</w:t>
      </w:r>
    </w:p>
    <w:p>
      <w:pPr>
        <w:pStyle w:val="Compact"/>
        <w:numPr>
          <w:ilvl w:val="0"/>
          <w:numId w:val="1031"/>
        </w:numPr>
      </w:pPr>
      <w:r>
        <w:t xml:space="preserve">Disponibilité de l’API (raison décisive) : aucune des solutions évaluées (§II.7.2) ne met à disposition une API exploitable dans une version gratuite ou d’essai déployable dans le cadre du projet, l’accès programmatique étant réservé aux offres payantes (Fiix, MaintainX) ou conditionné à l’hébergement d’une instance serveur complète (GLPI, OpenMaint), hors périmètre. Le module maison évite cette dépendance et garantit une démonstration de bout en bout reproductible ;</w:t>
      </w:r>
    </w:p>
    <w:p>
      <w:pPr>
        <w:pStyle w:val="Compact"/>
        <w:numPr>
          <w:ilvl w:val="0"/>
          <w:numId w:val="1031"/>
        </w:numPr>
      </w:pPr>
      <w:r>
        <w:t xml:space="preserve">Transposabilité : le mapping prédiction → ordre de travail (§II.7.5) est défini de façon générique et se reporterait sur tout CMMS open-source exposant une API (GLPI, OpenMaint, Snipe-IT) ;</w:t>
      </w:r>
    </w:p>
    <w:p>
      <w:pPr>
        <w:pStyle w:val="Compact"/>
        <w:numPr>
          <w:ilvl w:val="0"/>
          <w:numId w:val="1031"/>
        </w:numPr>
      </w:pPr>
      <w:r>
        <w:t xml:space="preserve">Compatibilité industrielle : le module maison comme le CMMS open-source sont auto-hébergeables (on-premise), compatibles avec un réseau OT isolé.</w:t>
      </w:r>
    </w:p>
    <w:bookmarkEnd w:id="104"/>
    <w:bookmarkStart w:id="105" w:name="X873e9712944516e59d3f156fb9139b734617e3b"/>
    <w:p>
      <w:pPr>
        <w:pStyle w:val="Heading3"/>
      </w:pPr>
      <w:r>
        <w:t xml:space="preserve">II.7.2. Matrice comparative des CMMS open-source candidats</w:t>
      </w:r>
    </w:p>
    <w:p>
      <w:pPr>
        <w:pStyle w:val="TableCaption"/>
        <w:jc w:val="center"/>
      </w:pPr>
      <w:r>
        <w:t xml:space="preserve">Tableau II.10 — Comparaison des CMMS open-source candidats (OS4)</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31"/>
        <w:gridCol w:w="1131"/>
        <w:gridCol w:w="1131"/>
        <w:gridCol w:w="1131"/>
        <w:gridCol w:w="1131"/>
        <w:gridCol w:w="1131"/>
        <w:gridCol w:w="1131"/>
      </w:tblGrid>
      <w:tr>
        <w:trPr>
          <w:tblHeader w:val="on"/>
        </w:trPr>
        <w:tc>
          <w:tcPr>
            <w:shd w:val="clear" w:color="auto" w:fill="EFEFEF"/>
          </w:tcPr>
          <w:p>
            <w:pPr>
              <w:pStyle w:val="Compact"/>
            </w:pPr>
            <w:r>
              <w:t xml:space="preserve">CMMS</w:t>
            </w:r>
          </w:p>
        </w:tc>
        <w:tc>
          <w:tcPr>
            <w:shd w:val="clear" w:color="auto" w:fill="EFEFEF"/>
          </w:tcPr>
          <w:p>
            <w:pPr>
              <w:pStyle w:val="Compact"/>
            </w:pPr>
            <w:r>
              <w:t xml:space="preserve">Maturité</w:t>
            </w:r>
          </w:p>
        </w:tc>
        <w:tc>
          <w:tcPr>
            <w:shd w:val="clear" w:color="auto" w:fill="EFEFEF"/>
          </w:tcPr>
          <w:p>
            <w:pPr>
              <w:pStyle w:val="Compact"/>
            </w:pPr>
            <w:r>
              <w:t xml:space="preserve">API REST</w:t>
            </w:r>
          </w:p>
        </w:tc>
        <w:tc>
          <w:tcPr>
            <w:shd w:val="clear" w:color="auto" w:fill="EFEFEF"/>
          </w:tcPr>
          <w:p>
            <w:pPr>
              <w:pStyle w:val="Compact"/>
            </w:pPr>
            <w:r>
              <w:t xml:space="preserve">Modules ticketing</w:t>
            </w:r>
          </w:p>
        </w:tc>
        <w:tc>
          <w:tcPr>
            <w:shd w:val="clear" w:color="auto" w:fill="EFEFEF"/>
          </w:tcPr>
          <w:p>
            <w:pPr>
              <w:pStyle w:val="Compact"/>
            </w:pPr>
            <w:r>
              <w:t xml:space="preserve">Auto-hébergeable</w:t>
            </w:r>
          </w:p>
        </w:tc>
        <w:tc>
          <w:tcPr>
            <w:shd w:val="clear" w:color="auto" w:fill="EFEFEF"/>
          </w:tcPr>
          <w:p>
            <w:pPr>
              <w:pStyle w:val="Compact"/>
            </w:pPr>
            <w:r>
              <w:t xml:space="preserve">Communauté</w:t>
            </w:r>
          </w:p>
        </w:tc>
        <w:tc>
          <w:tcPr>
            <w:shd w:val="clear" w:color="auto" w:fill="EFEFEF"/>
          </w:tcPr>
          <w:p>
            <w:pPr>
              <w:pStyle w:val="Compact"/>
            </w:pPr>
            <w:r>
              <w:t xml:space="preserve">Verdict</w:t>
            </w:r>
          </w:p>
        </w:tc>
      </w:tr>
      <w:tr>
        <w:tc>
          <w:tcPr/>
          <w:p>
            <w:pPr>
              <w:pStyle w:val="Compact"/>
            </w:pPr>
            <w:r>
              <w:t xml:space="preserve">GLPI</w:t>
            </w:r>
          </w:p>
        </w:tc>
        <w:tc>
          <w:tcPr/>
          <w:p>
            <w:pPr>
              <w:pStyle w:val="Compact"/>
            </w:pPr>
            <w:r>
              <w:t xml:space="preserve">20 ans, v10 stable</w:t>
            </w:r>
          </w:p>
        </w:tc>
        <w:tc>
          <w:tcPr/>
          <w:p>
            <w:pPr>
              <w:pStyle w:val="Compact"/>
            </w:pPr>
            <w:r>
              <w:t xml:space="preserve">API en auto-hébergement</w:t>
            </w:r>
          </w:p>
        </w:tc>
        <w:tc>
          <w:tcPr/>
          <w:p>
            <w:pPr>
              <w:pStyle w:val="Compact"/>
            </w:pPr>
            <w:r>
              <w:t xml:space="preserve">Tickets / Problems / Changes (ITIL)</w:t>
            </w:r>
          </w:p>
        </w:tc>
        <w:tc>
          <w:tcPr/>
          <w:p>
            <w:pPr>
              <w:pStyle w:val="Compact"/>
            </w:pPr>
            <w:r>
              <w:t xml:space="preserve">✅ Linux/Docker</w:t>
            </w:r>
          </w:p>
        </w:tc>
        <w:tc>
          <w:tcPr/>
          <w:p>
            <w:pPr>
              <w:pStyle w:val="Compact"/>
            </w:pPr>
            <w:r>
              <w:t xml:space="preserve">Très large (FR + INT)</w:t>
            </w:r>
          </w:p>
        </w:tc>
        <w:tc>
          <w:tcPr/>
          <w:p>
            <w:pPr>
              <w:pStyle w:val="Compact"/>
            </w:pPr>
            <w:r>
              <w:t xml:space="preserve">Instance serveur requise (hors périmètre)</w:t>
            </w:r>
          </w:p>
        </w:tc>
      </w:tr>
      <w:tr>
        <w:tc>
          <w:tcPr/>
          <w:p>
            <w:pPr>
              <w:pStyle w:val="Compact"/>
            </w:pPr>
            <w:r>
              <w:t xml:space="preserve">OpenMaint (CMDBuild)</w:t>
            </w:r>
          </w:p>
        </w:tc>
        <w:tc>
          <w:tcPr/>
          <w:p>
            <w:pPr>
              <w:pStyle w:val="Compact"/>
            </w:pPr>
            <w:r>
              <w:t xml:space="preserve">12 ans</w:t>
            </w:r>
          </w:p>
        </w:tc>
        <w:tc>
          <w:tcPr/>
          <w:p>
            <w:pPr>
              <w:pStyle w:val="Compact"/>
            </w:pPr>
            <w:r>
              <w:t xml:space="preserve">✅ REST + SOAP</w:t>
            </w:r>
          </w:p>
        </w:tc>
        <w:tc>
          <w:tcPr/>
          <w:p>
            <w:pPr>
              <w:pStyle w:val="Compact"/>
            </w:pPr>
            <w:r>
              <w:t xml:space="preserve">Work orders + Assets</w:t>
            </w:r>
          </w:p>
        </w:tc>
        <w:tc>
          <w:tcPr/>
          <w:p>
            <w:pPr>
              <w:pStyle w:val="Compact"/>
            </w:pPr>
            <w:r>
              <w:t xml:space="preserve">✅ Tomcat</w:t>
            </w:r>
          </w:p>
        </w:tc>
        <w:tc>
          <w:tcPr/>
          <w:p>
            <w:pPr>
              <w:pStyle w:val="Compact"/>
            </w:pPr>
            <w:r>
              <w:t xml:space="preserve">Moyenne (IT)</w:t>
            </w:r>
          </w:p>
        </w:tc>
        <w:tc>
          <w:tcPr/>
          <w:p>
            <w:pPr>
              <w:pStyle w:val="Compact"/>
            </w:pPr>
            <w:r>
              <w:t xml:space="preserve">Alternative crédible</w:t>
            </w:r>
          </w:p>
        </w:tc>
      </w:tr>
      <w:tr>
        <w:tc>
          <w:tcPr/>
          <w:p>
            <w:pPr>
              <w:pStyle w:val="Compact"/>
            </w:pPr>
            <w:r>
              <w:t xml:space="preserve">Snipe-IT</w:t>
            </w:r>
          </w:p>
        </w:tc>
        <w:tc>
          <w:tcPr/>
          <w:p>
            <w:pPr>
              <w:pStyle w:val="Compact"/>
            </w:pPr>
            <w:r>
              <w:t xml:space="preserve">10 ans</w:t>
            </w:r>
          </w:p>
        </w:tc>
        <w:tc>
          <w:tcPr/>
          <w:p>
            <w:pPr>
              <w:pStyle w:val="Compact"/>
            </w:pPr>
            <w:r>
              <w:t xml:space="preserve">✅ REST documenté</w:t>
            </w:r>
          </w:p>
        </w:tc>
        <w:tc>
          <w:tcPr/>
          <w:p>
            <w:pPr>
              <w:pStyle w:val="Compact"/>
            </w:pPr>
            <w:r>
              <w:t xml:space="preserve">Asset-centric (limité OT)</w:t>
            </w:r>
          </w:p>
        </w:tc>
        <w:tc>
          <w:tcPr/>
          <w:p>
            <w:pPr>
              <w:pStyle w:val="Compact"/>
            </w:pPr>
            <w:r>
              <w:t xml:space="preserve">✅ PHP/Laravel</w:t>
            </w:r>
          </w:p>
        </w:tc>
        <w:tc>
          <w:tcPr/>
          <w:p>
            <w:pPr>
              <w:pStyle w:val="Compact"/>
            </w:pPr>
            <w:r>
              <w:t xml:space="preserve">Large</w:t>
            </w:r>
          </w:p>
        </w:tc>
        <w:tc>
          <w:tcPr/>
          <w:p>
            <w:pPr>
              <w:pStyle w:val="Compact"/>
            </w:pPr>
            <w:r>
              <w:t xml:space="preserve">Trop asset-centric</w:t>
            </w:r>
          </w:p>
        </w:tc>
      </w:tr>
      <w:tr>
        <w:tc>
          <w:tcPr/>
          <w:p>
            <w:pPr>
              <w:pStyle w:val="Compact"/>
            </w:pPr>
            <w:r>
              <w:t xml:space="preserve">Fiix Free</w:t>
            </w:r>
          </w:p>
        </w:tc>
        <w:tc>
          <w:tcPr/>
          <w:p>
            <w:pPr>
              <w:pStyle w:val="Compact"/>
            </w:pPr>
            <w:r>
              <w:t xml:space="preserve">15 ans</w:t>
            </w:r>
          </w:p>
        </w:tc>
        <w:tc>
          <w:tcPr/>
          <w:p>
            <w:pPr>
              <w:pStyle w:val="Compact"/>
            </w:pPr>
            <w:r>
              <w:t xml:space="preserve">API limitée free tier</w:t>
            </w:r>
          </w:p>
        </w:tc>
        <w:tc>
          <w:tcPr/>
          <w:p>
            <w:pPr>
              <w:pStyle w:val="Compact"/>
            </w:pPr>
            <w:r>
              <w:t xml:space="preserve">Complet (cloud)</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r>
        <w:tc>
          <w:tcPr/>
          <w:p>
            <w:pPr>
              <w:pStyle w:val="Compact"/>
            </w:pPr>
            <w:r>
              <w:t xml:space="preserve">MaintainX Free</w:t>
            </w:r>
          </w:p>
        </w:tc>
        <w:tc>
          <w:tcPr/>
          <w:p>
            <w:pPr>
              <w:pStyle w:val="Compact"/>
            </w:pPr>
            <w:r>
              <w:t xml:space="preserve">6 ans</w:t>
            </w:r>
          </w:p>
        </w:tc>
        <w:tc>
          <w:tcPr/>
          <w:p>
            <w:pPr>
              <w:pStyle w:val="Compact"/>
            </w:pPr>
            <w:r>
              <w:t xml:space="preserve">API limitée free tier</w:t>
            </w:r>
          </w:p>
        </w:tc>
        <w:tc>
          <w:tcPr/>
          <w:p>
            <w:pPr>
              <w:pStyle w:val="Compact"/>
            </w:pPr>
            <w:r>
              <w:t xml:space="preserve">Mobile-first</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bl>
    <w:p>
      <w:pPr>
        <w:pStyle w:val="BodyText"/>
      </w:pPr>
      <w:r>
        <w:t xml:space="preserve">Sources : GLPI Project (2024) ; CMMS Wikipedia (2024) ; documentations officielles consultées 2026.</w:t>
      </w:r>
    </w:p>
    <w:p>
      <w:pPr>
        <w:pStyle w:val="BodyText"/>
      </w:pPr>
      <w:r>
        <w:t xml:space="preserve">Conclusion de la comparaison. Aucune des solutions ne combine une API exploitable et un déploiement gratuit/léger compatible avec les contraintes du projet : les offres SaaS gratuites (Fiix, MaintainX) réservent l’API au plan payant, tandis que les solutions auto-hébergeables (GLPI, OpenMaint, Snipe-IT) imposent le déploiement et la maintenance d’une instance serveur complète. C’est précisément ce constat qui a motivé le choix d’un module GMAO maison (§II.0.5.8), implémentant le périmètre nécessaire (création/suivi d’OT, KPIs) dans l’application Streamlit, tout en restant transposable à l’une de ces solutions si l’opérateur en exploite déjà une.</w:t>
      </w:r>
    </w:p>
    <w:bookmarkEnd w:id="105"/>
    <w:bookmarkStart w:id="106" w:name="X0a8739849a0b901515e810b8ddb928a83aa71ab"/>
    <w:p>
      <w:pPr>
        <w:pStyle w:val="Heading3"/>
      </w:pPr>
      <w:r>
        <w:t xml:space="preserve">II.7.3. Stack technologique de la chaîne intégrée</w:t>
      </w:r>
    </w:p>
    <w:p>
      <w:pPr>
        <w:pStyle w:val="TableCaption"/>
        <w:jc w:val="center"/>
      </w:pPr>
      <w:r>
        <w:t xml:space="preserve">Tableau II.11 — Stack technologique du prototype intégré</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Couche</w:t>
            </w:r>
          </w:p>
        </w:tc>
        <w:tc>
          <w:tcPr>
            <w:shd w:val="clear" w:color="auto" w:fill="EFEFEF"/>
          </w:tcPr>
          <w:p>
            <w:pPr>
              <w:pStyle w:val="Compact"/>
            </w:pPr>
            <w:r>
              <w:t xml:space="preserve">Technologie</w:t>
            </w:r>
          </w:p>
        </w:tc>
        <w:tc>
          <w:tcPr>
            <w:shd w:val="clear" w:color="auto" w:fill="EFEFEF"/>
          </w:tcPr>
          <w:p>
            <w:pPr>
              <w:pStyle w:val="Compact"/>
            </w:pPr>
            <w:r>
              <w:t xml:space="preserve">Rôle</w:t>
            </w:r>
          </w:p>
        </w:tc>
        <w:tc>
          <w:tcPr>
            <w:shd w:val="clear" w:color="auto" w:fill="EFEFEF"/>
          </w:tcPr>
          <w:p>
            <w:pPr>
              <w:pStyle w:val="Compact"/>
            </w:pPr>
            <w:r>
              <w:t xml:space="preserve">Coût</w:t>
            </w:r>
          </w:p>
        </w:tc>
      </w:tr>
      <w:tr>
        <w:tc>
          <w:tcPr/>
          <w:p>
            <w:pPr>
              <w:pStyle w:val="Compact"/>
            </w:pPr>
            <w:r>
              <w:t xml:space="preserve">Capteur + acquisition</w:t>
            </w:r>
          </w:p>
        </w:tc>
        <w:tc>
          <w:tcPr/>
          <w:p>
            <w:pPr>
              <w:pStyle w:val="Compact"/>
            </w:pPr>
            <w:r>
              <w:t xml:space="preserve">ESP32 + HX711 + DS18B20</w:t>
            </w:r>
          </w:p>
        </w:tc>
        <w:tc>
          <w:tcPr/>
          <w:p>
            <w:pPr>
              <w:pStyle w:val="Compact"/>
            </w:pPr>
            <w:r>
              <w:t xml:space="preserve">Mesure ER + température</w:t>
            </w:r>
          </w:p>
        </w:tc>
        <w:tc>
          <w:tcPr/>
          <w:p>
            <w:pPr>
              <w:pStyle w:val="Compact"/>
            </w:pPr>
            <w:r>
              <w:t xml:space="preserve">Matériel ~50 000 FCFA</w:t>
            </w:r>
          </w:p>
        </w:tc>
      </w:tr>
      <w:tr>
        <w:tc>
          <w:tcPr/>
          <w:p>
            <w:pPr>
              <w:pStyle w:val="Compact"/>
            </w:pPr>
            <w:r>
              <w:t xml:space="preserve">Stockage mesures + prédictions + OT</w:t>
            </w:r>
          </w:p>
        </w:tc>
        <w:tc>
          <w:tcPr/>
          <w:p>
            <w:pPr>
              <w:pStyle w:val="Compact"/>
            </w:pPr>
            <w:r>
              <w:t xml:space="preserve">Supabase (PostgreSQL)</w:t>
            </w:r>
          </w:p>
        </w:tc>
        <w:tc>
          <w:tcPr/>
          <w:p>
            <w:pPr>
              <w:pStyle w:val="Compact"/>
            </w:pPr>
            <w:r>
              <w:t xml:space="preserve">Persistance time-series + sorties ML + ordres de travail</w:t>
            </w:r>
          </w:p>
        </w:tc>
        <w:tc>
          <w:tcPr/>
          <w:p>
            <w:pPr>
              <w:pStyle w:val="Compact"/>
            </w:pPr>
            <w:r>
              <w:t xml:space="preserve">Gratuit (free-tier)</w:t>
            </w:r>
          </w:p>
        </w:tc>
      </w:tr>
      <w:tr>
        <w:tc>
          <w:tcPr/>
          <w:p>
            <w:pPr>
              <w:pStyle w:val="Compact"/>
            </w:pPr>
            <w:r>
              <w:t xml:space="preserve">Pipeline ML</w:t>
            </w:r>
          </w:p>
        </w:tc>
        <w:tc>
          <w:tcPr/>
          <w:p>
            <w:pPr>
              <w:pStyle w:val="Compact"/>
            </w:pPr>
            <w:r>
              <w:t xml:space="preserve">Python (Pandas, SciPy, XGBoost, SHAP)</w:t>
            </w:r>
          </w:p>
        </w:tc>
        <w:tc>
          <w:tcPr/>
          <w:p>
            <w:pPr>
              <w:pStyle w:val="Compact"/>
            </w:pPr>
            <w:r>
              <w:t xml:space="preserve">CR + RUL + diagnostic + interprétabilité</w:t>
            </w:r>
          </w:p>
        </w:tc>
        <w:tc>
          <w:tcPr/>
          <w:p>
            <w:pPr>
              <w:pStyle w:val="Compact"/>
            </w:pPr>
            <w:r>
              <w:t xml:space="preserve">Gratuit (open-source)</w:t>
            </w:r>
          </w:p>
        </w:tc>
      </w:tr>
      <w:tr>
        <w:tc>
          <w:tcPr/>
          <w:p>
            <w:pPr>
              <w:pStyle w:val="Compact"/>
            </w:pPr>
            <w:r>
              <w:t xml:space="preserve">Frontend ML / dashboard</w:t>
            </w:r>
          </w:p>
        </w:tc>
        <w:tc>
          <w:tcPr/>
          <w:p>
            <w:pPr>
              <w:pStyle w:val="Compact"/>
            </w:pPr>
            <w:r>
              <w:t xml:space="preserve">Streamlit</w:t>
            </w:r>
          </w:p>
        </w:tc>
        <w:tc>
          <w:tcPr/>
          <w:p>
            <w:pPr>
              <w:pStyle w:val="Compact"/>
            </w:pPr>
            <w:r>
              <w:t xml:space="preserve">UI temps réel, courbes, alertes</w:t>
            </w:r>
          </w:p>
        </w:tc>
        <w:tc>
          <w:tcPr/>
          <w:p>
            <w:pPr>
              <w:pStyle w:val="Compact"/>
            </w:pPr>
            <w:r>
              <w:t xml:space="preserve">Gratuit (open-source)</w:t>
            </w:r>
          </w:p>
        </w:tc>
      </w:tr>
      <w:tr>
        <w:tc>
          <w:tcPr/>
          <w:p>
            <w:pPr>
              <w:pStyle w:val="Compact"/>
            </w:pPr>
            <w:r>
              <w:t xml:space="preserve">Hébergement frontend</w:t>
            </w:r>
          </w:p>
        </w:tc>
        <w:tc>
          <w:tcPr/>
          <w:p>
            <w:pPr>
              <w:pStyle w:val="Compact"/>
            </w:pPr>
            <w:r>
              <w:t xml:space="preserve">Streamlit Community Cloud</w:t>
            </w:r>
          </w:p>
        </w:tc>
        <w:tc>
          <w:tcPr/>
          <w:p>
            <w:pPr>
              <w:pStyle w:val="Compact"/>
            </w:pPr>
            <w:r>
              <w:t xml:space="preserve">Déploiement public</w:t>
            </w:r>
          </w:p>
        </w:tc>
        <w:tc>
          <w:tcPr/>
          <w:p>
            <w:pPr>
              <w:pStyle w:val="Compact"/>
            </w:pPr>
            <w:r>
              <w:t xml:space="preserve">Gratuit</w:t>
            </w:r>
          </w:p>
        </w:tc>
      </w:tr>
      <w:tr>
        <w:tc>
          <w:tcPr/>
          <w:p>
            <w:pPr>
              <w:pStyle w:val="Compact"/>
            </w:pPr>
            <w:r>
              <w:t xml:space="preserve">Module GMAO</w:t>
            </w:r>
          </w:p>
        </w:tc>
        <w:tc>
          <w:tcPr/>
          <w:p>
            <w:pPr>
              <w:pStyle w:val="Compact"/>
            </w:pPr>
            <w:r>
              <w:t xml:space="preserve">Maison (table</w:t>
            </w:r>
            <w:r>
              <w:t xml:space="preserve"> </w:t>
            </w:r>
            <w:r>
              <w:rPr>
                <w:rStyle w:val="VerbatimChar"/>
              </w:rPr>
              <w:t xml:space="preserve">cr_work_orders</w:t>
            </w:r>
            <w:r>
              <w:t xml:space="preserve">, Supabase)</w:t>
            </w:r>
          </w:p>
        </w:tc>
        <w:tc>
          <w:tcPr/>
          <w:p>
            <w:pPr>
              <w:pStyle w:val="Compact"/>
            </w:pPr>
            <w:r>
              <w:t xml:space="preserve">Ordres de travail, assignation, clôture, KPIs</w:t>
            </w:r>
          </w:p>
        </w:tc>
        <w:tc>
          <w:tcPr/>
          <w:p>
            <w:pPr>
              <w:pStyle w:val="Compact"/>
            </w:pPr>
            <w:r>
              <w:t xml:space="preserve">Gratuit</w:t>
            </w:r>
          </w:p>
        </w:tc>
      </w:tr>
      <w:tr>
        <w:tc>
          <w:tcPr/>
          <w:p>
            <w:pPr>
              <w:pStyle w:val="Compact"/>
            </w:pPr>
            <w:r>
              <w:t xml:space="preserve">Communication app ↔ données</w:t>
            </w:r>
          </w:p>
        </w:tc>
        <w:tc>
          <w:tcPr/>
          <w:p>
            <w:pPr>
              <w:pStyle w:val="Compact"/>
            </w:pPr>
            <w:r>
              <w:t xml:space="preserve">Client / REST Supabase (PostgREST)</w:t>
            </w:r>
          </w:p>
        </w:tc>
        <w:tc>
          <w:tcPr/>
          <w:p>
            <w:pPr>
              <w:pStyle w:val="Compact"/>
            </w:pPr>
            <w:r>
              <w:t xml:space="preserve">Lecture-écriture des mesures, prédictions et OT</w:t>
            </w:r>
          </w:p>
        </w:tc>
        <w:tc>
          <w:tcPr/>
          <w:p>
            <w:pPr>
              <w:pStyle w:val="Compact"/>
            </w:pPr>
            <w:r>
              <w:t xml:space="preserve">Gratuit</w:t>
            </w:r>
          </w:p>
        </w:tc>
      </w:tr>
      <w:tr>
        <w:tc>
          <w:tcPr/>
          <w:p>
            <w:pPr>
              <w:pStyle w:val="Compact"/>
            </w:pPr>
            <w:r>
              <w:t xml:space="preserve">Communication ESP32 → Supabase</w:t>
            </w:r>
          </w:p>
        </w:tc>
        <w:tc>
          <w:tcPr/>
          <w:p>
            <w:pPr>
              <w:pStyle w:val="Compact"/>
            </w:pPr>
            <w:r>
              <w:t xml:space="preserve">HTTPS POST</w:t>
            </w:r>
          </w:p>
        </w:tc>
        <w:tc>
          <w:tcPr/>
          <w:p>
            <w:pPr>
              <w:pStyle w:val="Compact"/>
            </w:pPr>
            <w:r>
              <w:t xml:space="preserve">Ingestion mesures</w:t>
            </w:r>
          </w:p>
        </w:tc>
        <w:tc>
          <w:tcPr/>
          <w:p>
            <w:pPr>
              <w:pStyle w:val="Compact"/>
            </w:pPr>
            <w:r>
              <w:t xml:space="preserve">Gratuit</w:t>
            </w:r>
          </w:p>
        </w:tc>
      </w:tr>
    </w:tbl>
    <w:p>
      <w:pPr>
        <w:pStyle w:val="BodyText"/>
      </w:pPr>
      <w:r>
        <w:t xml:space="preserve">Sources : Streamlit (2024) ; Supabase (2024) ; XGBoost Documentation (Chen et Guestrin, 2016).</w:t>
      </w:r>
    </w:p>
    <w:bookmarkEnd w:id="106"/>
    <w:bookmarkStart w:id="110" w:name="X3074847b1602fc8740aedbd5f3227b4dd48acd3"/>
    <w:p>
      <w:pPr>
        <w:pStyle w:val="Heading3"/>
      </w:pPr>
      <w:r>
        <w:t xml:space="preserve">II.7.4. Architecture de la boucle complète intégrée</w:t>
      </w:r>
    </w:p>
    <w:p>
      <w:pPr>
        <w:pStyle w:val="CaptionedFigure"/>
        <w:jc w:val="center"/>
      </w:pPr>
      <w:r>
        <w:drawing>
          <wp:inline>
            <wp:extent cx="4460240" cy="4961672"/>
            <wp:effectExtent b="0" l="0" r="0" t="0"/>
            <wp:docPr descr="Figure II.1 — Architecture de la boucle intégrée Sonde ER → Supabase → Streamlit (module GMAO)" title="" id="108" name="Picture"/>
            <a:graphic>
              <a:graphicData uri="http://schemas.openxmlformats.org/drawingml/2006/picture">
                <pic:pic>
                  <pic:nvPicPr>
                    <pic:cNvPr descr="figures/fig_ii1_architecture.png" id="109" name="Picture"/>
                    <pic:cNvPicPr>
                      <a:picLocks noChangeArrowheads="1" noChangeAspect="1"/>
                    </pic:cNvPicPr>
                  </pic:nvPicPr>
                  <pic:blipFill>
                    <a:blip r:embed="rId107"/>
                    <a:stretch>
                      <a:fillRect/>
                    </a:stretch>
                  </pic:blipFill>
                  <pic:spPr bwMode="auto">
                    <a:xfrm>
                      <a:off x="0" y="0"/>
                      <a:ext cx="4460240" cy="4961672"/>
                    </a:xfrm>
                    <a:prstGeom prst="rect">
                      <a:avLst/>
                    </a:prstGeom>
                    <a:noFill/>
                    <a:ln w="9525">
                      <a:noFill/>
                      <a:headEnd/>
                      <a:tailEnd/>
                    </a:ln>
                  </pic:spPr>
                </pic:pic>
              </a:graphicData>
            </a:graphic>
          </wp:inline>
        </w:drawing>
      </w:r>
    </w:p>
    <w:p>
      <w:pPr>
        <w:pStyle w:val="ImageCaption"/>
      </w:pPr>
      <w:r>
        <w:t xml:space="preserve">Figure II.1 — Architecture de la boucle intégrée Sonde ER → Supabase → Streamlit (module GMAO)</w:t>
      </w:r>
    </w:p>
    <w:bookmarkEnd w:id="110"/>
    <w:bookmarkStart w:id="111" w:name="Xa54098f5c876703d474dcf20159de7a51b6515b"/>
    <w:p>
      <w:pPr>
        <w:pStyle w:val="Heading3"/>
      </w:pPr>
      <w:r>
        <w:t xml:space="preserve">II.7.5. Mapping prédiction ML → ordre de travail</w:t>
      </w:r>
    </w:p>
    <w:p>
      <w:pPr>
        <w:pStyle w:val="FirstParagraph"/>
      </w:pPr>
      <w:r>
        <w:t xml:space="preserve">Le tableau ci-dessous décrit le mapping entre les sorties du pipeline ML et les champs d’un ordre de travail, tel qu’implémenté par le module GMAO maison (les mêmes champs se reporteraient sur un CMMS open-source exposant une API) :</w:t>
      </w:r>
    </w:p>
    <w:p>
      <w:pPr>
        <w:pStyle w:val="TableCaption"/>
        <w:jc w:val="center"/>
      </w:pPr>
      <w:r>
        <w:t xml:space="preserve">Tableau II.12 — Mapping des champs prédiction ML → ordre de travail</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Champ de l’ordre de travail</w:t>
            </w:r>
          </w:p>
        </w:tc>
        <w:tc>
          <w:tcPr>
            <w:shd w:val="clear" w:color="auto" w:fill="EFEFEF"/>
          </w:tcPr>
          <w:p>
            <w:pPr>
              <w:pStyle w:val="Compact"/>
            </w:pPr>
            <w:r>
              <w:t xml:space="preserve">Source dans la prédiction ML</w:t>
            </w:r>
          </w:p>
        </w:tc>
        <w:tc>
          <w:tcPr>
            <w:shd w:val="clear" w:color="auto" w:fill="EFEFEF"/>
          </w:tcPr>
          <w:p>
            <w:pPr>
              <w:pStyle w:val="Compact"/>
            </w:pPr>
            <w:r>
              <w:t xml:space="preserve">Exemple</w:t>
            </w:r>
          </w:p>
        </w:tc>
      </w:tr>
      <w:tr>
        <w:tc>
          <w:tcPr/>
          <w:p>
            <w:pPr>
              <w:pStyle w:val="Compact"/>
            </w:pPr>
            <w:r>
              <w:t xml:space="preserve">Titre</w:t>
            </w:r>
          </w:p>
        </w:tc>
        <w:tc>
          <w:tcPr/>
          <w:p>
            <w:pPr>
              <w:pStyle w:val="Compact"/>
            </w:pPr>
            <w:r>
              <w:rPr>
                <w:rStyle w:val="VerbatimChar"/>
              </w:rPr>
              <w:t xml:space="preserve">asset</w:t>
            </w:r>
            <w:r>
              <w:t xml:space="preserve"> </w:t>
            </w:r>
            <w:r>
              <w:t xml:space="preserve">+ diagnostic</w:t>
            </w:r>
          </w:p>
        </w:tc>
        <w:tc>
          <w:tcPr/>
          <w:p>
            <w:pPr>
              <w:pStyle w:val="Compact"/>
            </w:pPr>
            <w:r>
              <w:t xml:space="preserve">“Pipeline-Komé-Sect-12 — Corrosion accélérée détectée”</w:t>
            </w:r>
          </w:p>
        </w:tc>
      </w:tr>
      <w:tr>
        <w:tc>
          <w:tcPr/>
          <w:p>
            <w:pPr>
              <w:pStyle w:val="Compact"/>
            </w:pPr>
            <w:r>
              <w:t xml:space="preserve">Urgence</w:t>
            </w:r>
          </w:p>
        </w:tc>
        <w:tc>
          <w:tcPr/>
          <w:p>
            <w:pPr>
              <w:pStyle w:val="Compact"/>
            </w:pPr>
            <w:r>
              <w:t xml:space="preserve">Niveau d’alerte (vert = 1, orange = 3, rouge = 5)</w:t>
            </w:r>
          </w:p>
        </w:tc>
        <w:tc>
          <w:tcPr/>
          <w:p>
            <w:pPr>
              <w:pStyle w:val="Compact"/>
            </w:pPr>
            <w:r>
              <w:t xml:space="preserve">5</w:t>
            </w:r>
          </w:p>
        </w:tc>
      </w:tr>
      <w:tr>
        <w:tc>
          <w:tcPr/>
          <w:p>
            <w:pPr>
              <w:pStyle w:val="Compact"/>
            </w:pPr>
            <w:r>
              <w:t xml:space="preserve">Impact</w:t>
            </w:r>
          </w:p>
        </w:tc>
        <w:tc>
          <w:tcPr/>
          <w:p>
            <w:pPr>
              <w:pStyle w:val="Compact"/>
            </w:pPr>
            <w:r>
              <w:t xml:space="preserve">Criticité de l’asset (configuration)</w:t>
            </w:r>
          </w:p>
        </w:tc>
        <w:tc>
          <w:tcPr/>
          <w:p>
            <w:pPr>
              <w:pStyle w:val="Compact"/>
            </w:pPr>
            <w:r>
              <w:t xml:space="preserve">5</w:t>
            </w:r>
          </w:p>
        </w:tc>
      </w:tr>
      <w:tr>
        <w:tc>
          <w:tcPr/>
          <w:p>
            <w:pPr>
              <w:pStyle w:val="Compact"/>
            </w:pPr>
            <w:r>
              <w:t xml:space="preserve">Priorité</w:t>
            </w:r>
          </w:p>
        </w:tc>
        <w:tc>
          <w:tcPr/>
          <w:p>
            <w:pPr>
              <w:pStyle w:val="Compact"/>
            </w:pPr>
            <w:r>
              <w:t xml:space="preserve">f(urgence, impact)</w:t>
            </w:r>
          </w:p>
        </w:tc>
        <w:tc>
          <w:tcPr/>
          <w:p>
            <w:pPr>
              <w:pStyle w:val="Compact"/>
            </w:pPr>
            <w:r>
              <w:t xml:space="preserve">“Très haute”</w:t>
            </w:r>
          </w:p>
        </w:tc>
      </w:tr>
      <w:tr>
        <w:tc>
          <w:tcPr/>
          <w:p>
            <w:pPr>
              <w:pStyle w:val="Compact"/>
            </w:pPr>
            <w:r>
              <w:t xml:space="preserve">Description</w:t>
            </w:r>
          </w:p>
        </w:tc>
        <w:tc>
          <w:tcPr/>
          <w:p>
            <w:pPr>
              <w:pStyle w:val="Compact"/>
            </w:pPr>
            <w:r>
              <w:t xml:space="preserve">Template enrichi : CR_pred, RUL_pred, top-3 SHAP, régime diagnostiqué</w:t>
            </w:r>
          </w:p>
        </w:tc>
        <w:tc>
          <w:tcPr/>
          <w:p>
            <w:pPr>
              <w:pStyle w:val="Compact"/>
            </w:pPr>
            <w:r>
              <w:t xml:space="preserve">“CR=4,2 mm/an ; RUL=18 h ; régime : emballement ; top-3 SHAP : ΔR/Δt, T_avg, Rx_corr. Recommandation : inspection immédiate.”</w:t>
            </w:r>
          </w:p>
        </w:tc>
      </w:tr>
      <w:tr>
        <w:tc>
          <w:tcPr/>
          <w:p>
            <w:pPr>
              <w:pStyle w:val="Compact"/>
            </w:pPr>
            <w:r>
              <w:t xml:space="preserve">Asset</w:t>
            </w:r>
          </w:p>
        </w:tc>
        <w:tc>
          <w:tcPr/>
          <w:p>
            <w:pPr>
              <w:pStyle w:val="Compact"/>
            </w:pPr>
            <w:r>
              <w:t xml:space="preserve">Section surveillée</w:t>
            </w:r>
          </w:p>
        </w:tc>
        <w:tc>
          <w:tcPr/>
          <w:p>
            <w:pPr>
              <w:pStyle w:val="Compact"/>
            </w:pPr>
            <w:r>
              <w:t xml:space="preserve">ID de la section pipeline</w:t>
            </w:r>
          </w:p>
        </w:tc>
      </w:tr>
      <w:tr>
        <w:tc>
          <w:tcPr/>
          <w:p>
            <w:pPr>
              <w:pStyle w:val="Compact"/>
            </w:pPr>
            <w:r>
              <w:t xml:space="preserve">Catégorie</w:t>
            </w:r>
          </w:p>
        </w:tc>
        <w:tc>
          <w:tcPr/>
          <w:p>
            <w:pPr>
              <w:pStyle w:val="Compact"/>
            </w:pPr>
            <w:r>
              <w:t xml:space="preserve">« Corrosion »</w:t>
            </w:r>
          </w:p>
        </w:tc>
        <w:tc>
          <w:tcPr/>
          <w:p>
            <w:pPr>
              <w:pStyle w:val="Compact"/>
            </w:pPr>
            <w:r>
              <w:t xml:space="preserve">—</w:t>
            </w:r>
          </w:p>
        </w:tc>
      </w:tr>
      <w:tr>
        <w:tc>
          <w:tcPr/>
          <w:p>
            <w:pPr>
              <w:pStyle w:val="Compact"/>
            </w:pPr>
            <w:r>
              <w:t xml:space="preserve">Assigné à</w:t>
            </w:r>
          </w:p>
        </w:tc>
        <w:tc>
          <w:tcPr/>
          <w:p>
            <w:pPr>
              <w:pStyle w:val="Compact"/>
            </w:pPr>
            <w:r>
              <w:t xml:space="preserve">Technicien d’astreinte (configuration)</w:t>
            </w:r>
          </w:p>
        </w:tc>
        <w:tc>
          <w:tcPr/>
          <w:p>
            <w:pPr>
              <w:pStyle w:val="Compact"/>
            </w:pPr>
            <w:r>
              <w:t xml:space="preserve">ID utilisateur</w:t>
            </w:r>
          </w:p>
        </w:tc>
      </w:tr>
    </w:tbl>
    <w:p>
      <w:pPr>
        <w:pStyle w:val="BodyText"/>
      </w:pPr>
      <w:r>
        <w:t xml:space="preserve">En pratique, l’ordre de travail est écrit dans la table</w:t>
      </w:r>
      <w:r>
        <w:t xml:space="preserve"> </w:t>
      </w:r>
      <w:r>
        <w:rPr>
          <w:rStyle w:val="VerbatimChar"/>
        </w:rPr>
        <w:t xml:space="preserve">cr_work_orders</w:t>
      </w:r>
      <w:r>
        <w:t xml:space="preserve"> </w:t>
      </w:r>
      <w:r>
        <w:t xml:space="preserve">de Supabase depuis l’application Streamlit, aucun appel n’est émis vers un CMMS externe. La seule API REST mobilisée est celle de Supabase (PostgREST), via le client Python :</w:t>
      </w:r>
    </w:p>
    <w:p>
      <w:pPr>
        <w:pStyle w:val="SourceCode"/>
      </w:pPr>
      <w:r>
        <w:rPr>
          <w:rStyle w:val="NormalTok"/>
        </w:rPr>
        <w:t xml:space="preserve">ot </w:t>
      </w:r>
      <w:r>
        <w:rPr>
          <w:rStyle w:val="OperatorTok"/>
        </w:rPr>
        <w:t xml:space="preserve">=</w:t>
      </w:r>
      <w:r>
        <w:rPr>
          <w:rStyle w:val="NormalTok"/>
        </w:rPr>
        <w:t xml:space="preserve"> {</w:t>
      </w:r>
      <w:r>
        <w:br/>
      </w:r>
      <w:r>
        <w:rPr>
          <w:rStyle w:val="NormalTok"/>
        </w:rPr>
        <w:t xml:space="preserve">    </w:t>
      </w:r>
      <w:r>
        <w:rPr>
          <w:rStyle w:val="StringTok"/>
        </w:rPr>
        <w:t xml:space="preserve">"run_id"</w:t>
      </w:r>
      <w:r>
        <w:rPr>
          <w:rStyle w:val="NormalTok"/>
        </w:rPr>
        <w:t xml:space="preserve">: run_id, </w:t>
      </w:r>
      <w:r>
        <w:rPr>
          <w:rStyle w:val="StringTok"/>
        </w:rPr>
        <w:t xml:space="preserve">"niveau"</w:t>
      </w:r>
      <w:r>
        <w:rPr>
          <w:rStyle w:val="NormalTok"/>
        </w:rPr>
        <w:t xml:space="preserve">: alerte.niveau,</w:t>
      </w:r>
      <w:r>
        <w:br/>
      </w:r>
      <w:r>
        <w:rPr>
          <w:rStyle w:val="NormalTok"/>
        </w:rPr>
        <w:t xml:space="preserve">    </w:t>
      </w:r>
      <w:r>
        <w:rPr>
          <w:rStyle w:val="StringTok"/>
        </w:rPr>
        <w:t xml:space="preserve">"titre"</w:t>
      </w:r>
      <w:r>
        <w:rPr>
          <w:rStyle w:val="NormalTok"/>
        </w:rPr>
        <w:t xml:space="preserve">: </w:t>
      </w:r>
      <w:r>
        <w:rPr>
          <w:rStyle w:val="SpecialStringTok"/>
        </w:rPr>
        <w:t xml:space="preserve">f"</w:t>
      </w:r>
      <w:r>
        <w:rPr>
          <w:rStyle w:val="SpecialCharTok"/>
        </w:rPr>
        <w:t xml:space="preserve">{</w:t>
      </w:r>
      <w:r>
        <w:rPr>
          <w:rStyle w:val="NormalTok"/>
        </w:rPr>
        <w:t xml:space="preserve">asset</w:t>
      </w:r>
      <w:r>
        <w:rPr>
          <w:rStyle w:val="SpecialCharTok"/>
        </w:rPr>
        <w:t xml:space="preserve">}</w:t>
      </w:r>
      <w:r>
        <w:rPr>
          <w:rStyle w:val="SpecialStringTok"/>
        </w:rPr>
        <w:t xml:space="preserve">, </w:t>
      </w:r>
      <w:r>
        <w:rPr>
          <w:rStyle w:val="SpecialCharTok"/>
        </w:rPr>
        <w:t xml:space="preserve">{</w:t>
      </w:r>
      <w:r>
        <w:rPr>
          <w:rStyle w:val="NormalTok"/>
        </w:rPr>
        <w:t xml:space="preserve">diagnostic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"cr_pred"</w:t>
      </w:r>
      <w:r>
        <w:rPr>
          <w:rStyle w:val="NormalTok"/>
        </w:rPr>
        <w:t xml:space="preserve">: prediction[</w:t>
      </w:r>
      <w:r>
        <w:rPr>
          <w:rStyle w:val="StringTok"/>
        </w:rPr>
        <w:t xml:space="preserve">"CR"</w:t>
      </w:r>
      <w:r>
        <w:rPr>
          <w:rStyle w:val="NormalTok"/>
        </w:rPr>
        <w:t xml:space="preserve">], </w:t>
      </w:r>
      <w:r>
        <w:rPr>
          <w:rStyle w:val="StringTok"/>
        </w:rPr>
        <w:t xml:space="preserve">"rul_pred"</w:t>
      </w:r>
      <w:r>
        <w:rPr>
          <w:rStyle w:val="NormalTok"/>
        </w:rPr>
        <w:t xml:space="preserve">: prediction[</w:t>
      </w:r>
      <w:r>
        <w:rPr>
          <w:rStyle w:val="StringTok"/>
        </w:rPr>
        <w:t xml:space="preserve">"RUL"</w:t>
      </w:r>
      <w:r>
        <w:rPr>
          <w:rStyle w:val="NormalTok"/>
        </w:rPr>
        <w:t xml:space="preserve">],</w:t>
      </w:r>
      <w:r>
        <w:br/>
      </w:r>
      <w:r>
        <w:rPr>
          <w:rStyle w:val="NormalTok"/>
        </w:rPr>
        <w:t xml:space="preserve">    </w:t>
      </w:r>
      <w:r>
        <w:rPr>
          <w:rStyle w:val="StringTok"/>
        </w:rPr>
        <w:t xml:space="preserve">"section_pct"</w:t>
      </w:r>
      <w:r>
        <w:rPr>
          <w:rStyle w:val="NormalTok"/>
        </w:rPr>
        <w:t xml:space="preserve">: prediction[</w:t>
      </w:r>
      <w:r>
        <w:rPr>
          <w:rStyle w:val="StringTok"/>
        </w:rPr>
        <w:t xml:space="preserve">"section"</w:t>
      </w:r>
      <w:r>
        <w:rPr>
          <w:rStyle w:val="NormalTok"/>
        </w:rPr>
        <w:t xml:space="preserve">], </w:t>
      </w:r>
      <w:r>
        <w:rPr>
          <w:rStyle w:val="StringTok"/>
        </w:rPr>
        <w:t xml:space="preserve">"statut"</w:t>
      </w:r>
      <w:r>
        <w:rPr>
          <w:rStyle w:val="NormalTok"/>
        </w:rPr>
        <w:t xml:space="preserve">: </w:t>
      </w:r>
      <w:r>
        <w:rPr>
          <w:rStyle w:val="StringTok"/>
        </w:rPr>
        <w:t xml:space="preserve">"ouvert"</w:t>
      </w:r>
      <w:r>
        <w:rPr>
          <w:rStyle w:val="NormalTok"/>
        </w:rPr>
        <w:t xml:space="preserve">,</w:t>
      </w:r>
      <w:r>
        <w:br/>
      </w:r>
      <w:r>
        <w:rPr>
          <w:rStyle w:val="NormalTok"/>
        </w:rPr>
        <w:t xml:space="preserve">}</w:t>
      </w:r>
      <w:r>
        <w:br/>
      </w:r>
      <w:r>
        <w:rPr>
          <w:rStyle w:val="NormalTok"/>
        </w:rPr>
        <w:t xml:space="preserve">supabase.table(</w:t>
      </w:r>
      <w:r>
        <w:rPr>
          <w:rStyle w:val="StringTok"/>
        </w:rPr>
        <w:t xml:space="preserve">"cr_work_orders"</w:t>
      </w:r>
      <w:r>
        <w:rPr>
          <w:rStyle w:val="NormalTok"/>
        </w:rPr>
        <w:t xml:space="preserve">).insert(ot).execute()</w:t>
      </w:r>
    </w:p>
    <w:p>
      <w:pPr>
        <w:pStyle w:val="FirstParagraph"/>
      </w:pPr>
      <w:r>
        <w:t xml:space="preserve">La transposition vers un CMMS open-source (GLPI…) consisterait simplement à rediriger cette écriture vers l’API du CMMS, sans changer le mapping ci-dessus.</w:t>
      </w:r>
    </w:p>
    <w:bookmarkEnd w:id="111"/>
    <w:bookmarkStart w:id="112" w:name="X0db33a446b9a3c96f2902c9101543895f5328ba"/>
    <w:p>
      <w:pPr>
        <w:pStyle w:val="Heading3"/>
      </w:pPr>
      <w:r>
        <w:t xml:space="preserve">II.7.6. KPIs maintenance calculés à partir de l’historique des ordres de travail</w:t>
      </w:r>
    </w:p>
    <w:p>
      <w:pPr>
        <w:pStyle w:val="FirstParagraph"/>
      </w:pPr>
      <w:r>
        <w:t xml:space="preserve">Les KPIs maintenance suivants sont calculés à partir de l’historique des ordres de travail tenu par le module GMAO maison (table</w:t>
      </w:r>
      <w:r>
        <w:t xml:space="preserve"> </w:t>
      </w:r>
      <w:r>
        <w:rPr>
          <w:rStyle w:val="VerbatimChar"/>
        </w:rPr>
        <w:t xml:space="preserve">cr_work_orders</w:t>
      </w:r>
      <w:r>
        <w:t xml:space="preserve">) ; ils se calculeraient à l’identique côté CMMS après transposition :</w:t>
      </w:r>
    </w:p>
    <w:p>
      <w:pPr>
        <w:pStyle w:val="TableCaption"/>
        <w:jc w:val="center"/>
      </w:pPr>
      <w:r>
        <w:t xml:space="preserve">Tableau II.13 — Indicateurs de performance maintenance (KPIs)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KPI</w:t>
            </w:r>
          </w:p>
        </w:tc>
        <w:tc>
          <w:tcPr>
            <w:shd w:val="clear" w:color="auto" w:fill="EFEFEF"/>
          </w:tcPr>
          <w:p>
            <w:pPr>
              <w:pStyle w:val="Compact"/>
            </w:pPr>
            <w:r>
              <w:t xml:space="preserve">Formule</w:t>
            </w:r>
          </w:p>
        </w:tc>
        <w:tc>
          <w:tcPr>
            <w:shd w:val="clear" w:color="auto" w:fill="EFEFEF"/>
          </w:tcPr>
          <w:p>
            <w:pPr>
              <w:pStyle w:val="Compact"/>
            </w:pPr>
            <w:r>
              <w:t xml:space="preserve">Source (module OT)</w:t>
            </w:r>
          </w:p>
        </w:tc>
        <w:tc>
          <w:tcPr>
            <w:shd w:val="clear" w:color="auto" w:fill="EFEFEF"/>
          </w:tcPr>
          <w:p>
            <w:pPr>
              <w:pStyle w:val="Compact"/>
            </w:pPr>
            <w:r>
              <w:t xml:space="preserve">Cible</w:t>
            </w:r>
          </w:p>
        </w:tc>
      </w:tr>
      <w:tr>
        <w:tc>
          <w:tcPr/>
          <w:p>
            <w:pPr>
              <w:pStyle w:val="Compact"/>
            </w:pPr>
            <w:r>
              <w:t xml:space="preserve">MTBF (Mean Time Between Failures)</w:t>
            </w:r>
          </w:p>
        </w:tc>
        <w:tc>
          <w:tcPr/>
          <w:p>
            <w:pPr>
              <w:pStyle w:val="Compact"/>
            </w:pPr>
            <w:r>
              <w:t xml:space="preserve">Σ temps entre OT corrosion / nb OT</w:t>
            </w:r>
          </w:p>
        </w:tc>
        <w:tc>
          <w:tcPr/>
          <w:p>
            <w:pPr>
              <w:pStyle w:val="Compact"/>
            </w:pPr>
            <w:r>
              <w:t xml:space="preserve">Table</w:t>
            </w:r>
            <w:r>
              <w:t xml:space="preserve"> </w:t>
            </w:r>
            <w:r>
              <w:rPr>
                <w:rStyle w:val="VerbatimChar"/>
              </w:rPr>
              <w:t xml:space="preserve">cr_work_orders</w:t>
            </w:r>
          </w:p>
        </w:tc>
        <w:tc>
          <w:tcPr/>
          <w:p>
            <w:pPr>
              <w:pStyle w:val="Compact"/>
            </w:pPr>
            <w:r>
              <w:t xml:space="preserve">maximiser</w:t>
            </w:r>
          </w:p>
        </w:tc>
      </w:tr>
      <w:tr>
        <w:tc>
          <w:tcPr/>
          <w:p>
            <w:pPr>
              <w:pStyle w:val="Compact"/>
            </w:pPr>
            <w:r>
              <w:t xml:space="preserve">MTTR (Mean Time To Repair)</w:t>
            </w:r>
          </w:p>
        </w:tc>
        <w:tc>
          <w:tcPr/>
          <w:p>
            <w:pPr>
              <w:pStyle w:val="Compact"/>
            </w:pPr>
            <w:r>
              <w:t xml:space="preserve">Σ (</w:t>
            </w:r>
            <w:r>
              <w:rPr>
                <w:rStyle w:val="VerbatimChar"/>
              </w:rPr>
              <w:t xml:space="preserve">closed_at</w:t>
            </w:r>
            <w:r>
              <w:t xml:space="preserve"> </w:t>
            </w:r>
            <w:r>
              <w:t xml:space="preserve">−</w:t>
            </w:r>
            <w:r>
              <w:t xml:space="preserve"> </w:t>
            </w:r>
            <w:r>
              <w:rPr>
                <w:rStyle w:val="VerbatimChar"/>
              </w:rPr>
              <w:t xml:space="preserve">created_at</w:t>
            </w:r>
            <w:r>
              <w:t xml:space="preserve">) / nb OT</w:t>
            </w:r>
          </w:p>
        </w:tc>
        <w:tc>
          <w:tcPr/>
          <w:p>
            <w:pPr>
              <w:pStyle w:val="Compact"/>
            </w:pPr>
            <w:r>
              <w:t xml:space="preserve">Table</w:t>
            </w:r>
            <w:r>
              <w:t xml:space="preserve"> </w:t>
            </w:r>
            <w:r>
              <w:rPr>
                <w:rStyle w:val="VerbatimChar"/>
              </w:rPr>
              <w:t xml:space="preserve">cr_work_orders</w:t>
            </w:r>
          </w:p>
        </w:tc>
        <w:tc>
          <w:tcPr/>
          <w:p>
            <w:pPr>
              <w:pStyle w:val="Compact"/>
            </w:pPr>
            <w:r>
              <w:t xml:space="preserve">minimiser</w:t>
            </w:r>
          </w:p>
        </w:tc>
      </w:tr>
      <w:tr>
        <w:tc>
          <w:tcPr/>
          <w:p>
            <w:pPr>
              <w:pStyle w:val="Compact"/>
            </w:pPr>
            <w:r>
              <w:t xml:space="preserve">Disponibilité</w:t>
            </w:r>
          </w:p>
        </w:tc>
        <w:tc>
          <w:tcPr/>
          <w:p>
            <w:pPr>
              <w:pStyle w:val="Compact"/>
            </w:pPr>
            <w:r>
              <w:t xml:space="preserve">MTBF / (MTBF + MTTR)</w:t>
            </w:r>
          </w:p>
        </w:tc>
        <w:tc>
          <w:tcPr/>
          <w:p>
            <w:pPr>
              <w:pStyle w:val="Compact"/>
            </w:pPr>
            <w:r>
              <w:t xml:space="preserve">Calculé</w:t>
            </w:r>
          </w:p>
        </w:tc>
        <w:tc>
          <w:tcPr/>
          <w:p>
            <w:pPr>
              <w:pStyle w:val="Compact"/>
            </w:pPr>
            <w:r>
              <w:t xml:space="preserve">&gt; 95 %</w:t>
            </w:r>
          </w:p>
        </w:tc>
      </w:tr>
      <w:tr>
        <w:tc>
          <w:tcPr/>
          <w:p>
            <w:pPr>
              <w:pStyle w:val="Compact"/>
            </w:pPr>
            <w:r>
              <w:t xml:space="preserve">Efficacité d’inhibition</w:t>
            </w:r>
          </w:p>
        </w:tc>
        <w:tc>
          <w:tcPr/>
          <w:p>
            <w:pPr>
              <w:pStyle w:val="Compact"/>
            </w:pPr>
            <w:r>
              <w:t xml:space="preserve">(CR_avant − CR_après) / CR_avant × 100</w:t>
            </w:r>
          </w:p>
        </w:tc>
        <w:tc>
          <w:tcPr/>
          <w:p>
            <w:pPr>
              <w:pStyle w:val="Compact"/>
            </w:pPr>
            <w:r>
              <w:t xml:space="preserve">Pipeline ML + tags OT</w:t>
            </w:r>
          </w:p>
        </w:tc>
        <w:tc>
          <w:tcPr/>
          <w:p>
            <w:pPr>
              <w:pStyle w:val="Compact"/>
            </w:pPr>
            <w:r>
              <w:t xml:space="preserve">&gt; 90 %</w:t>
            </w:r>
          </w:p>
        </w:tc>
      </w:tr>
      <w:tr>
        <w:tc>
          <w:tcPr/>
          <w:p>
            <w:pPr>
              <w:pStyle w:val="Compact"/>
            </w:pPr>
            <w:r>
              <w:t xml:space="preserve">Précision du modèle</w:t>
            </w:r>
          </w:p>
        </w:tc>
        <w:tc>
          <w:tcPr/>
          <w:p>
            <w:pPr>
              <w:pStyle w:val="Compact"/>
            </w:pPr>
            <w:r>
              <w:t xml:space="preserve">1 − (alertes annulées / alertes totales)</w:t>
            </w:r>
          </w:p>
        </w:tc>
        <w:tc>
          <w:tcPr/>
          <w:p>
            <w:pPr>
              <w:pStyle w:val="Compact"/>
            </w:pPr>
            <w:r>
              <w:t xml:space="preserve">Champ statut/résolution de l’OT</w:t>
            </w:r>
          </w:p>
        </w:tc>
        <w:tc>
          <w:tcPr/>
          <w:p>
            <w:pPr>
              <w:pStyle w:val="Compact"/>
            </w:pPr>
            <w:r>
              <w:t xml:space="preserve">&gt; 85 %</w:t>
            </w:r>
          </w:p>
        </w:tc>
      </w:tr>
      <w:tr>
        <w:tc>
          <w:tcPr/>
          <w:p>
            <w:pPr>
              <w:pStyle w:val="Compact"/>
            </w:pPr>
            <w:r>
              <w:t xml:space="preserve">Taux de fausses alertes</w:t>
            </w:r>
          </w:p>
        </w:tc>
        <w:tc>
          <w:tcPr/>
          <w:p>
            <w:pPr>
              <w:pStyle w:val="Compact"/>
            </w:pPr>
            <w:r>
              <w:t xml:space="preserve">OT résolus en</w:t>
            </w:r>
            <w:r>
              <w:t xml:space="preserve"> </w:t>
            </w:r>
            <w:r>
              <w:rPr>
                <w:rStyle w:val="VerbatimChar"/>
              </w:rPr>
              <w:t xml:space="preserve">false positive</w:t>
            </w:r>
            <w:r>
              <w:t xml:space="preserve"> </w:t>
            </w:r>
            <w:r>
              <w:t xml:space="preserve">/ total</w:t>
            </w:r>
          </w:p>
        </w:tc>
        <w:tc>
          <w:tcPr/>
          <w:p>
            <w:pPr>
              <w:pStyle w:val="Compact"/>
            </w:pPr>
            <w:r>
              <w:t xml:space="preserve">Champ</w:t>
            </w:r>
            <w:r>
              <w:t xml:space="preserve"> </w:t>
            </w:r>
            <w:r>
              <w:rPr>
                <w:rStyle w:val="VerbatimChar"/>
              </w:rPr>
              <w:t xml:space="preserve">statut</w:t>
            </w:r>
            <w:r>
              <w:t xml:space="preserve"> </w:t>
            </w:r>
            <w:r>
              <w:t xml:space="preserve">+ résolution</w:t>
            </w:r>
          </w:p>
        </w:tc>
        <w:tc>
          <w:tcPr/>
          <w:p>
            <w:pPr>
              <w:pStyle w:val="Compact"/>
            </w:pPr>
            <w:r>
              <w:t xml:space="preserve">&lt; 15 %</w:t>
            </w:r>
          </w:p>
        </w:tc>
      </w:tr>
    </w:tbl>
    <w:p>
      <w:pPr>
        <w:pStyle w:val="BlockText"/>
      </w:pPr>
      <w:r>
        <w:rPr>
          <w:i/>
          <w:iCs/>
        </w:rPr>
        <w:t xml:space="preserve">La colonne « Cible » liste des objectifs de conception (valeurs usuelles de l’ingénierie de maintenance : p. ex. disponibilité &gt; 95 %), et non des seuils normatifs ; ils servent de référence d’évaluation et seront confrontés aux performances réelles sur un historique d’interventions suffisant (§III.5, §III.6.4).</w:t>
      </w:r>
    </w:p>
    <w:p>
      <w:r>
        <w:pict>
          <v:rect style="width:0;height:1.5pt" o:hralign="center" o:hrstd="t" o:hr="t"/>
        </w:pict>
      </w:r>
    </w:p>
    <w:bookmarkEnd w:id="112"/>
    <w:bookmarkEnd w:id="113"/>
    <w:bookmarkStart w:id="114" w:name="X0fcd5b5066ea3b0aa0fe0eb42347356d14c3aaf"/>
    <w:p>
      <w:pPr>
        <w:pStyle w:val="Heading2"/>
      </w:pPr>
      <w:r>
        <w:t xml:space="preserve">II.8. Tableau synoptique de la démarche méthodologique</w:t>
      </w:r>
    </w:p>
    <w:p>
      <w:pPr>
        <w:pStyle w:val="TableCaption"/>
        <w:jc w:val="center"/>
      </w:pPr>
      <w:r>
        <w:t xml:space="preserve">Tableau II.14 — Démarche synoptique objectifs / activités / méthodes / résultats attendus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Objectif Spécifique</w:t>
            </w:r>
          </w:p>
        </w:tc>
        <w:tc>
          <w:tcPr>
            <w:shd w:val="clear" w:color="auto" w:fill="EFEFEF"/>
          </w:tcPr>
          <w:p>
            <w:pPr>
              <w:pStyle w:val="Compact"/>
            </w:pPr>
            <w:r>
              <w:t xml:space="preserve">Activités à réaliser</w:t>
            </w:r>
          </w:p>
        </w:tc>
        <w:tc>
          <w:tcPr>
            <w:shd w:val="clear" w:color="auto" w:fill="EFEFEF"/>
          </w:tcPr>
          <w:p>
            <w:pPr>
              <w:pStyle w:val="Compact"/>
            </w:pPr>
            <w:r>
              <w:t xml:space="preserve">Méthodes / Outils</w:t>
            </w:r>
          </w:p>
        </w:tc>
        <w:tc>
          <w:tcPr>
            <w:shd w:val="clear" w:color="auto" w:fill="EFEFEF"/>
          </w:tcPr>
          <w:p>
            <w:pPr>
              <w:pStyle w:val="Compact"/>
            </w:pPr>
            <w:r>
              <w:t xml:space="preserve">Justifications / Résultats attendus</w:t>
            </w:r>
          </w:p>
        </w:tc>
      </w:tr>
      <w:tr>
        <w:tc>
          <w:tcPr/>
          <w:p>
            <w:pPr>
              <w:pStyle w:val="Compact"/>
            </w:pPr>
            <w:r>
              <w:t xml:space="preserve">OS1 — Concevoir et valider la sonde ER instrumentée IoT</w:t>
            </w:r>
          </w:p>
        </w:tc>
        <w:tc>
          <w:tcPr/>
          <w:p>
            <w:pPr>
              <w:pStyle w:val="Compact"/>
            </w:pPr>
            <w:r>
              <w:t xml:space="preserve">(i) Montage de la sonde ER ; (ii) Programmation du firmware ESP32 (acquisition 30 s, HX711, DS18B20) ; (iii) Tests de résolution sur résistances étalons ; (iv) Validation de la stabilité en milieu corrosif</w:t>
            </w:r>
          </w:p>
        </w:tc>
        <w:tc>
          <w:tcPr/>
          <w:p>
            <w:pPr>
              <w:pStyle w:val="Compact"/>
            </w:pPr>
            <w:r>
              <w:t xml:space="preserve">Montage de mesure de résistance ; HX711 ; ESP32 acquisition continue 30 s ; Multimètre de précision</w:t>
            </w:r>
          </w:p>
        </w:tc>
        <w:tc>
          <w:tcPr/>
          <w:p>
            <w:pPr>
              <w:pStyle w:val="Compact"/>
            </w:pPr>
            <w:r>
              <w:t xml:space="preserve">Sonde fonctionnelle, résolution suffisante pour quantifier le CR — démonstration de la brique d’acquisition I4.0</w:t>
            </w:r>
          </w:p>
        </w:tc>
      </w:tr>
      <w:tr>
        <w:tc>
          <w:tcPr/>
          <w:p>
            <w:pPr>
              <w:pStyle w:val="Compact"/>
            </w:pPr>
            <w:r>
              <w:t xml:space="preserve">OS2 — Entraîner et valider le modèle XGBoost (CR + RUL)</w:t>
            </w:r>
          </w:p>
        </w:tc>
        <w:tc>
          <w:tcPr/>
          <w:p>
            <w:pPr>
              <w:pStyle w:val="Compact"/>
            </w:pPr>
            <w:r>
              <w:t xml:space="preserve">(i) Collecte d’une série de runs RTF ; (ii) Nettoyage IQR + Savitzky-Golay ; (iii) Compensation thermique ; (iv) Feature engineering ; (v) Validation LORO ; (vi) Entraînement XGBoost ; (vii) MAE/RMSE/R² ; (viii) SHAP</w:t>
            </w:r>
          </w:p>
        </w:tc>
        <w:tc>
          <w:tcPr/>
          <w:p>
            <w:pPr>
              <w:pStyle w:val="Compact"/>
            </w:pPr>
            <w:r>
              <w:t xml:space="preserve">Python : Pandas, SciPy, XGBoost, Scikit-learn, SHAP ;</w:t>
            </w:r>
            <w:r>
              <w:t xml:space="preserve"> </w:t>
            </w:r>
            <w:r>
              <w:rPr>
                <w:i/>
                <w:iCs/>
              </w:rPr>
              <w:t xml:space="preserve">n</w:t>
            </w:r>
            <w:r>
              <w:t xml:space="preserve">=500, depth=4, lr=0,05, L1=0,1, L2=1,0</w:t>
            </w:r>
          </w:p>
        </w:tc>
        <w:tc>
          <w:tcPr/>
          <w:p>
            <w:pPr>
              <w:pStyle w:val="Compact"/>
            </w:pPr>
            <w:r>
              <w:t xml:space="preserve">Prédiction CR + RUL ; comparaison aux baselines ; SHAP : variables physiquement plausibles</w:t>
            </w:r>
          </w:p>
        </w:tc>
      </w:tr>
      <w:tr>
        <w:tc>
          <w:tcPr/>
          <w:p>
            <w:pPr>
              <w:pStyle w:val="Compact"/>
            </w:pPr>
            <w:r>
              <w:t xml:space="preserve">OS3 — Diagnostic des régimes + facteurs de variabilité + alertes</w:t>
            </w:r>
          </w:p>
        </w:tc>
        <w:tc>
          <w:tcPr/>
          <w:p>
            <w:pPr>
              <w:pStyle w:val="Compact"/>
            </w:pPr>
            <w:r>
              <w:t xml:space="preserve">(i) Diagnostic des régimes (induction, croissance, emballement, pré-rupture) par règles métier ; (ii) Identification et quantification des facteurs de variabilité (température, concentration) par LORO ; (iii) Démonstration du rôle de la répétabilité ; (iv) Calibration des seuils vert/orange/rouge sur CR et RUL</w:t>
            </w:r>
          </w:p>
        </w:tc>
        <w:tc>
          <w:tcPr/>
          <w:p>
            <w:pPr>
              <w:pStyle w:val="Compact"/>
            </w:pPr>
            <w:r>
              <w:t xml:space="preserve">Pipeline Python :</w:t>
            </w:r>
            <w:r>
              <w:t xml:space="preserve"> </w:t>
            </w:r>
            <w:r>
              <w:rPr>
                <w:rStyle w:val="VerbatimChar"/>
              </w:rPr>
              <w:t xml:space="preserve">diagnostiquer(features)</w:t>
            </w:r>
            <w:r>
              <w:t xml:space="preserve"> </w:t>
            </w:r>
            <w:r>
              <w:t xml:space="preserve">; validation LORO par plage thermique ; analyse des contre-exemples ; calibration empirique</w:t>
            </w:r>
          </w:p>
        </w:tc>
        <w:tc>
          <w:tcPr/>
          <w:p>
            <w:pPr>
              <w:pStyle w:val="Compact"/>
            </w:pPr>
            <w:r>
              <w:t xml:space="preserve">Diagnostic exploitable ; effet température quantifié ; seuils calibrés (CR=1, 5 mm/an ; RUL=12, 48 h)</w:t>
            </w:r>
          </w:p>
        </w:tc>
      </w:tr>
      <w:tr>
        <w:tc>
          <w:tcPr/>
          <w:p>
            <w:pPr>
              <w:pStyle w:val="Compact"/>
            </w:pPr>
            <w:r>
              <w:t xml:space="preserve">OS4 — Boucle décision → action : module GMAO intégré, transposable à un CMMS open-source</w:t>
            </w:r>
          </w:p>
        </w:tc>
        <w:tc>
          <w:tcPr/>
          <w:p>
            <w:pPr>
              <w:pStyle w:val="Compact"/>
            </w:pPr>
            <w:r>
              <w:t xml:space="preserve">(i) Application Streamlit (frontend ML + dashboard) ; (ii) Module GMAO maison (table</w:t>
            </w:r>
            <w:r>
              <w:t xml:space="preserve"> </w:t>
            </w:r>
            <w:r>
              <w:rPr>
                <w:rStyle w:val="VerbatimChar"/>
              </w:rPr>
              <w:t xml:space="preserve">cr_work_orders</w:t>
            </w:r>
            <w:r>
              <w:t xml:space="preserve"> </w:t>
            </w:r>
            <w:r>
              <w:t xml:space="preserve">: OT, assignation, clôture) ; (iii) Mapping prédiction ML → ordre de travail ; (iv) Matrice comparative des CMMS open-source (justifiant le module maison, faute d’API en version gratuite) ; (v) Calcul KPIs (MTBF, MTTR, η inhibition)</w:t>
            </w:r>
          </w:p>
        </w:tc>
        <w:tc>
          <w:tcPr/>
          <w:p>
            <w:pPr>
              <w:pStyle w:val="Compact"/>
            </w:pPr>
            <w:r>
              <w:t xml:space="preserve">Streamlit + Streamlit Community Cloud ; module OT Python + Supabase ; transposable à un CMMS open-source ; ISO 14224 codes anomalie</w:t>
            </w:r>
          </w:p>
        </w:tc>
        <w:tc>
          <w:tcPr/>
          <w:p>
            <w:pPr>
              <w:pStyle w:val="Compact"/>
            </w:pPr>
            <w:r>
              <w:t xml:space="preserve">Boucle Sonde → ML → OT démontrée end-to-end ; KPIs calculés ; coût de licence = 0 FCFA</w:t>
            </w:r>
          </w:p>
        </w:tc>
      </w:tr>
    </w:tbl>
    <w:p>
      <w:pPr>
        <w:pStyle w:val="BodyText"/>
      </w:pPr>
      <w:r>
        <w:t xml:space="preserve">L’usage des outils suit une chronologie stricte : conception matérielle (OS1) → acquisition expérimentale et modélisation (OS2) → diagnostic des régimes et analyse des facteurs de variabilité (OS3) → intégration applicative GMAO (OS4).</w:t>
      </w:r>
    </w:p>
    <w:p>
      <w:r>
        <w:pict>
          <v:rect style="width:0;height:1.5pt" o:hralign="center" o:hrstd="t" o:hr="t"/>
        </w:pict>
      </w:r>
    </w:p>
    <w:bookmarkEnd w:id="114"/>
    <w:bookmarkStart w:id="115" w:name="ii.9.-conclusion-du-chapitre-ii"/>
    <w:p>
      <w:pPr>
        <w:pStyle w:val="Heading2"/>
      </w:pPr>
      <w:r>
        <w:t xml:space="preserve">II.9. Conclusion du Chapitre II</w:t>
      </w:r>
    </w:p>
    <w:p>
      <w:pPr>
        <w:pStyle w:val="FirstParagraph"/>
      </w:pPr>
      <w:r>
        <w:t xml:space="preserve">Ce chapitre a présenté l’ensemble des outils et de la méthodologie retenus pour répondre aux quatre objectifs spécifiques du mémoire. Une §II.0.5 dédiée à la justification des choix technologiques a consolidé les arbitrages techniques (microcontrôleur ESP32, amplificateur HX711, capteur DS18B20, méthode ER, algorithme XGBoost, stratégie de validation, frontend Streamlit, GMAO maison) sous forme de matrices de décision. Le prototype de sonde ER (montage de mesure de résistance + HX711 + ESP32 en acquisition continue 30 s) a ensuite été décrit dans son principe physique et son implémentation matérielle. Les matériels électroniques, chimiques et logiciels mobilisés ont été consolidés en tableaux récapitulatifs. Les méthodes d’acquisition, de nettoyage, de compensation thermique, de feature engineering, d’entraînement XGBoost et d’interprétabilité SHAP ont été détaillées, ainsi que le module de diagnostic des régimes de corrosion et la stratégie de validation</w:t>
      </w:r>
      <w:r>
        <w:t xml:space="preserve"> </w:t>
      </w:r>
      <w:r>
        <w:rPr>
          <w:i/>
          <w:iCs/>
        </w:rPr>
        <w:t xml:space="preserve">leave-one-run-out</w:t>
      </w:r>
      <w:r>
        <w:t xml:space="preserve">. La boucle décision → action par un module GMAO maison (Streamlit / Supabase ; la matrice comparative des CMMS open-source motivant le recours à ce module faute d’API exploitable en version gratuite ; mapping prédiction ML → ordre de travail ; KPIs maintenance) a été présentée, son architecture restant transposable à un CMMS open-source. Le protocole expérimental</w:t>
      </w:r>
      <w:r>
        <w:t xml:space="preserve"> </w:t>
      </w:r>
      <w:r>
        <w:rPr>
          <w:i/>
          <w:iCs/>
        </w:rPr>
        <w:t xml:space="preserve">run-to-failure</w:t>
      </w:r>
      <w:r>
        <w:t xml:space="preserve"> </w:t>
      </w:r>
      <w:r>
        <w:t xml:space="preserve">en série répétée et le tableau synoptique de la démarche ont été présentés. Le Chapitre III présente à présent les résultats issus de la mise en œuvre de cette méthodologie, leur analyse et leur discussion.</w:t>
      </w:r>
    </w:p>
    <w:p>
      <w:r>
        <w:br w:type="page"/>
      </w:r>
    </w:p>
    <w:bookmarkEnd w:id="115"/>
    <w:bookmarkEnd w:id="116"/>
    <w:bookmarkStart w:id="187" w:name="chapitre-iii-résultats-et-discussions"/>
    <w:p>
      <w:pPr>
        <w:pStyle w:val="Heading1"/>
      </w:pPr>
      <w:r>
        <w:t xml:space="preserve">CHAPITRE III : RÉSULTATS ET DISCUSSIONS</w:t>
      </w:r>
    </w:p>
    <w:p>
      <w:pPr>
        <w:pStyle w:val="FirstParagraph"/>
      </w:pPr>
      <w:r>
        <w:t xml:space="preserve">Sommaire du Chapitre III</w:t>
      </w:r>
    </w:p>
    <w:p>
      <w:pPr>
        <w:pStyle w:val="Compact"/>
        <w:numPr>
          <w:ilvl w:val="0"/>
          <w:numId w:val="1032"/>
        </w:numPr>
      </w:pPr>
      <w:r>
        <w:t xml:space="preserve">III.0. Introduction</w:t>
      </w:r>
    </w:p>
    <w:p>
      <w:pPr>
        <w:pStyle w:val="Compact"/>
        <w:numPr>
          <w:ilvl w:val="0"/>
          <w:numId w:val="1032"/>
        </w:numPr>
      </w:pPr>
      <w:r>
        <w:t xml:space="preserve">III.1. Validation métrologique de la sonde ER (OS1)</w:t>
      </w:r>
    </w:p>
    <w:p>
      <w:pPr>
        <w:pStyle w:val="Compact"/>
        <w:numPr>
          <w:ilvl w:val="0"/>
          <w:numId w:val="1032"/>
        </w:numPr>
      </w:pPr>
      <w:r>
        <w:t xml:space="preserve">III.2. Résultats de la série run-to-failure (OS2)</w:t>
      </w:r>
    </w:p>
    <w:p>
      <w:pPr>
        <w:pStyle w:val="Compact"/>
        <w:numPr>
          <w:ilvl w:val="0"/>
          <w:numId w:val="1032"/>
        </w:numPr>
      </w:pPr>
      <w:r>
        <w:t xml:space="preserve">III.3. Effet de la température et performance du modèle XGBoost (OS2/OS3)</w:t>
      </w:r>
    </w:p>
    <w:p>
      <w:pPr>
        <w:pStyle w:val="Compact"/>
        <w:numPr>
          <w:ilvl w:val="0"/>
          <w:numId w:val="1032"/>
        </w:numPr>
      </w:pPr>
      <w:r>
        <w:t xml:space="preserve">III.4. Diagnostic des régimes et facteurs de variabilité (OS3)</w:t>
      </w:r>
    </w:p>
    <w:p>
      <w:pPr>
        <w:pStyle w:val="Compact"/>
        <w:numPr>
          <w:ilvl w:val="0"/>
          <w:numId w:val="1032"/>
        </w:numPr>
      </w:pPr>
      <w:r>
        <w:t xml:space="preserve">III.5. Intégration au CMMS open-source, démonstration end-to-end et KPIs (OS4)</w:t>
      </w:r>
    </w:p>
    <w:p>
      <w:pPr>
        <w:pStyle w:val="Compact"/>
        <w:numPr>
          <w:ilvl w:val="0"/>
          <w:numId w:val="1032"/>
        </w:numPr>
      </w:pPr>
      <w:r>
        <w:t xml:space="preserve">III.6. Discussions</w:t>
      </w:r>
    </w:p>
    <w:p>
      <w:pPr>
        <w:pStyle w:val="Compact"/>
        <w:numPr>
          <w:ilvl w:val="0"/>
          <w:numId w:val="1032"/>
        </w:numPr>
      </w:pPr>
      <w:r>
        <w:t xml:space="preserve">III.7. Conclusion</w:t>
      </w:r>
    </w:p>
    <w:p>
      <w:r>
        <w:pict>
          <v:rect style="width:0;height:1.5pt" o:hralign="center" o:hrstd="t" o:hr="t"/>
        </w:pict>
      </w:r>
    </w:p>
    <w:bookmarkStart w:id="117" w:name="iii.0.-introduction"/>
    <w:p>
      <w:pPr>
        <w:pStyle w:val="Heading2"/>
      </w:pPr>
      <w:r>
        <w:t xml:space="preserve">III.0. Introduction</w:t>
      </w:r>
    </w:p>
    <w:p>
      <w:pPr>
        <w:pStyle w:val="BlockText"/>
      </w:pPr>
      <w:r>
        <w:t xml:space="preserve">Note d’état. La campagne expérimentale est toujours en cours : les résultats présentés ici correspondent aux essais exploités à la date de rédaction. Ils sont provisoires et défendables en l’état, et seront consolidés par les runs complémentaires en cours d’acquisition (voir perspectives, §III.6).</w:t>
      </w:r>
    </w:p>
    <w:p>
      <w:pPr>
        <w:pStyle w:val="FirstParagraph"/>
      </w:pPr>
      <w:r>
        <w:t xml:space="preserve">Dans ce chapitre, il sera question de présenter (i) la validation métrologique de la sonde ER (OS1), (ii) les résultats de la série d’essais run-to-failure (OS2), (iii) l’effet de la température et la performance du modèle XGBoost en validation inter-essais (OS2/OS3), (iv) le diagnostic des régimes de corrosion et l’analyse des facteurs de variabilité conditionnant la fiabilité de la prédiction (OS3), (v) la démonstration de l’intégration Streamlit ↔ CMMS open-source (OS4), puis de discuter ces résultats au regard des objectifs initiaux et de la littérature (Chapitre I).</w:t>
      </w:r>
    </w:p>
    <w:p>
      <w:r>
        <w:pict>
          <v:rect style="width:0;height:1.5pt" o:hralign="center" o:hrstd="t" o:hr="t"/>
        </w:pict>
      </w:r>
    </w:p>
    <w:bookmarkEnd w:id="117"/>
    <w:bookmarkStart w:id="121" w:name="Xbd1d6d524320eba731b3d5a3fc6cf8dfeb3bfd3"/>
    <w:p>
      <w:pPr>
        <w:pStyle w:val="Heading2"/>
      </w:pPr>
      <w:r>
        <w:t xml:space="preserve">III.1. Validation métrologique de la sonde ER (OS1)</w:t>
      </w:r>
    </w:p>
    <w:p>
      <w:pPr>
        <w:pStyle w:val="FirstParagraph"/>
      </w:pPr>
      <w:r>
        <w:t xml:space="preserve">Avant d’exploiter la sonde pour le suivi de corrosion, sa chaîne de mesure doit être validée. Une validation métrologique peut s’appuyer sur plusieurs vérifications : stabilité du signal au repos, étalonnage sur références connues, et maîtrise des grandeurs d’influence (température). Trois vérifications sont retenues ici, présentées ci-dessous.</w:t>
      </w:r>
    </w:p>
    <w:bookmarkStart w:id="118" w:name="X7dcabbf197a38f8243cb74739aa143054631988"/>
    <w:p>
      <w:pPr>
        <w:pStyle w:val="Heading3"/>
      </w:pPr>
      <w:r>
        <w:t xml:space="preserve">III.1.1. Étalonnage sur résistances de référence</w:t>
      </w:r>
    </w:p>
    <w:p>
      <w:pPr>
        <w:pStyle w:val="FirstParagraph"/>
      </w:pPr>
      <w:r>
        <w:t xml:space="preserve">La justesse de la mesure de résistance a été vérifiée par substitution du fil par des résistances de précision connues. Un facteur de correction constant du module HX711 (figure II.2), qui compense l’écart systématique de la chaîne d’amplification, est déterminé sur un premier étalon puis appliqué à toutes les mesures du pipeline. Un second étalon indépendant de 4,7 Ω, lu entre 4,5 et 4,8 Ω par le système (écart ≤ 4 %), confirme la justesse et la linéarité de la réponse sur la plage de mesure exploitée. Une caractérisation multipoints plus fine (≥ 5 étalons) est prévue pour consolider la courbe de linéarité.</w:t>
      </w:r>
    </w:p>
    <w:bookmarkEnd w:id="118"/>
    <w:bookmarkStart w:id="119" w:name="iii.1.2.-compensation-thermique"/>
    <w:p>
      <w:pPr>
        <w:pStyle w:val="Heading3"/>
      </w:pPr>
      <w:r>
        <w:t xml:space="preserve">III.1.2. Compensation thermique</w:t>
      </w:r>
    </w:p>
    <w:p>
      <w:pPr>
        <w:pStyle w:val="FirstParagraph"/>
      </w:pPr>
      <w:r>
        <w:t xml:space="preserve">La résistivité du fer dépendant de la température (§II.4.3), une compensation thermique est appliquée à chaque mesure à partir de la température lue par le DS18B20. L’effet de cette compensation est illustré indirectement dans les essais à température variable : la résistance compensée</w:t>
      </w:r>
      <w:r>
        <w:t xml:space="preserve"> </w:t>
      </w:r>
      <w:r>
        <w:rPr>
          <w:i/>
          <w:iCs/>
        </w:rPr>
        <w:t xml:space="preserve">R</w:t>
      </w:r>
      <w:r>
        <w:t xml:space="preserve">_corr suit la dégradation réelle du fil sans être polluée par les fluctuations thermiques de courte durée.</w:t>
      </w:r>
    </w:p>
    <w:bookmarkEnd w:id="119"/>
    <w:bookmarkStart w:id="120" w:name="iii.1.3.-bilan-provisoire"/>
    <w:p>
      <w:pPr>
        <w:pStyle w:val="Heading3"/>
      </w:pPr>
      <w:r>
        <w:t xml:space="preserve">III.1.3. Bilan provisoire</w:t>
      </w:r>
    </w:p>
    <w:p>
      <w:pPr>
        <w:pStyle w:val="FirstParagraph"/>
      </w:pPr>
      <w:r>
        <w:t xml:space="preserve">À ce stade, la chaîne d’acquisition est fonctionnelle et stable : elle a permis de suivre sans interruption plusieurs essais de 10 à 20 heures (acquisition continue à 30 s), de capturer la phase d’emballement rapide et de détecter la rupture du fil. Le bilan métrologique chiffré (résolution effective, bruit RMS, dérive thermique résiduelle) sera complété par les tests dédiés en cours.</w:t>
      </w:r>
    </w:p>
    <w:p>
      <w:r>
        <w:pict>
          <v:rect style="width:0;height:1.5pt" o:hralign="center" o:hrstd="t" o:hr="t"/>
        </w:pict>
      </w:r>
    </w:p>
    <w:bookmarkEnd w:id="120"/>
    <w:bookmarkEnd w:id="121"/>
    <w:bookmarkStart w:id="130" w:name="X2b2ee35ae12caa505977cbc1ec1f8b40bf87c23"/>
    <w:p>
      <w:pPr>
        <w:pStyle w:val="Heading2"/>
      </w:pPr>
      <w:r>
        <w:t xml:space="preserve">III.2. Résultats de la série run-to-failure (OS2)</w:t>
      </w:r>
    </w:p>
    <w:p>
      <w:pPr>
        <w:pStyle w:val="FirstParagraph"/>
      </w:pPr>
      <w:r>
        <w:t xml:space="preserve">Un essai de corrosion peut être suivi par plusieurs grandeurs (perte de masse, courant de corrosion, résistance électrique). Dans ce travail, le suivi repose sur la résistance électrique compensée</w:t>
      </w:r>
      <w:r>
        <w:t xml:space="preserve"> </w:t>
      </w:r>
      <w:r>
        <w:rPr>
          <w:i/>
          <w:iCs/>
        </w:rPr>
        <w:t xml:space="preserve">R</w:t>
      </w:r>
      <w:r>
        <w:t xml:space="preserve">_corr(t) du fil de fer, dont la croissance traduit la perte de section, jusqu’à la rupture. Chaque essai fournit ainsi une courbe complète de dégradation.</w:t>
      </w:r>
    </w:p>
    <w:bookmarkStart w:id="125" w:name="X63af49825cacc6681fa46f3884217cd380e5cf6"/>
    <w:p>
      <w:pPr>
        <w:pStyle w:val="Heading3"/>
      </w:pPr>
      <w:r>
        <w:t xml:space="preserve">III.2.1. Allure typique d’un essai et phases observées</w:t>
      </w:r>
    </w:p>
    <w:p>
      <w:pPr>
        <w:pStyle w:val="FirstParagraph"/>
      </w:pPr>
      <w:r>
        <w:t xml:space="preserve">La figure III.2 présente l’évolution de</w:t>
      </w:r>
      <w:r>
        <w:t xml:space="preserve"> </w:t>
      </w:r>
      <w:r>
        <w:rPr>
          <w:i/>
          <w:iCs/>
        </w:rPr>
        <w:t xml:space="preserve">R</w:t>
      </w:r>
      <w:r>
        <w:t xml:space="preserve">_corr(t) et de la température T(t) pour les essais retenus. Toutes les courbes partagent la même allure en trois phases : une induction (résistance quasi stable en début d’immersion), une croissance progressive, puis un emballement final rapide aboutissant à la rupture (saturation de la résistance, circuit ouvert). Ce profil, conforme à la dégradation attendue d’un fil corrodé, valide le principe de la mesure.</w:t>
      </w:r>
    </w:p>
    <w:p>
      <w:pPr>
        <w:pStyle w:val="CaptionedFigure"/>
        <w:jc w:val="center"/>
      </w:pPr>
      <w:r>
        <w:drawing>
          <wp:inline>
            <wp:extent cx="5463794" cy="3532250"/>
            <wp:effectExtent b="0" l="0" r="0" t="0"/>
            <wp:docPr descr="Figure III.2 — Évolution de R(t) compensée et T(t) par essai" title="" id="123" name="Picture"/>
            <a:graphic>
              <a:graphicData uri="http://schemas.openxmlformats.org/drawingml/2006/picture">
                <pic:pic>
                  <pic:nvPicPr>
                    <pic:cNvPr descr="figures/fig_iii2_runs.png" id="124" name="Picture"/>
                    <pic:cNvPicPr>
                      <a:picLocks noChangeArrowheads="1" noChangeAspect="1"/>
                    </pic:cNvPicPr>
                  </pic:nvPicPr>
                  <pic:blipFill>
                    <a:blip r:embed="rId122"/>
                    <a:stretch>
                      <a:fillRect/>
                    </a:stretch>
                  </pic:blipFill>
                  <pic:spPr bwMode="auto">
                    <a:xfrm>
                      <a:off x="0" y="0"/>
                      <a:ext cx="5463794" cy="3532250"/>
                    </a:xfrm>
                    <a:prstGeom prst="rect">
                      <a:avLst/>
                    </a:prstGeom>
                    <a:noFill/>
                    <a:ln w="9525">
                      <a:noFill/>
                      <a:headEnd/>
                      <a:tailEnd/>
                    </a:ln>
                  </pic:spPr>
                </pic:pic>
              </a:graphicData>
            </a:graphic>
          </wp:inline>
        </w:drawing>
      </w:r>
    </w:p>
    <w:p>
      <w:pPr>
        <w:pStyle w:val="ImageCaption"/>
      </w:pPr>
      <w:r>
        <w:t xml:space="preserve">Figure III.2 — Évolution de R(t) compensée et T(t) par essai</w:t>
      </w:r>
    </w:p>
    <w:bookmarkEnd w:id="125"/>
    <w:bookmarkStart w:id="129" w:name="iii.2.2.-synthèse-des-essais-exploités"/>
    <w:p>
      <w:pPr>
        <w:pStyle w:val="Heading3"/>
      </w:pPr>
      <w:r>
        <w:t xml:space="preserve">III.2.2. Synthèse des essais exploités</w:t>
      </w:r>
    </w:p>
    <w:p>
      <w:pPr>
        <w:pStyle w:val="FirstParagraph"/>
      </w:pPr>
      <w:r>
        <w:t xml:space="preserve">À ce stade de la campagne, les essais propres (milieu HCl, montage identique) sont répartis selon leur rôle dans la validation : deux essais forment la série de test (Run #12, #16, prédits en aveugle, §III.3), les autres servent d’auxiliaires d’entraînement couvrant les conditions (Run #1, #2, #3, #11), auxquels s’ajoute le jumeau 30 °C Run #20. Deux essais sont traités à part : Run #14, seul à atteindre la rupture mécanique complète, est analysé comme cas-rupture (régime d’emballement terminal, hors série stable) ; Run #15 et Run #17 sont des contre-exemples instructifs (§III.4). Un essai supplémentaire (Run #21) est en cours d’acquisition. Le tableau III.1 résume les essais à rupture exploités.</w:t>
      </w:r>
    </w:p>
    <w:p>
      <w:pPr>
        <w:pStyle w:val="TableCaption"/>
        <w:jc w:val="center"/>
      </w:pPr>
      <w:r>
        <w:t xml:space="preserve">Tableau III.1 — Caractéristiques des essais exploités (campagne en cours)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shd w:val="clear" w:color="auto" w:fill="EFEFEF"/>
          </w:tcPr>
          <w:p>
            <w:pPr>
              <w:pStyle w:val="Compact"/>
            </w:pPr>
            <w:r>
              <w:t xml:space="preserve">Essai</w:t>
            </w:r>
          </w:p>
        </w:tc>
        <w:tc>
          <w:tcPr>
            <w:shd w:val="clear" w:color="auto" w:fill="EFEFEF"/>
          </w:tcPr>
          <w:p>
            <w:pPr>
              <w:pStyle w:val="Compact"/>
            </w:pPr>
            <w:r>
              <w:t xml:space="preserve">Rôle</w:t>
            </w:r>
          </w:p>
        </w:tc>
        <w:tc>
          <w:tcPr>
            <w:shd w:val="clear" w:color="auto" w:fill="EFEFEF"/>
          </w:tcPr>
          <w:p>
            <w:pPr>
              <w:pStyle w:val="Compact"/>
            </w:pPr>
            <w:r>
              <w:t xml:space="preserve">T° moyenne</w:t>
            </w:r>
          </w:p>
        </w:tc>
        <w:tc>
          <w:tcPr>
            <w:shd w:val="clear" w:color="auto" w:fill="EFEFEF"/>
          </w:tcPr>
          <w:p>
            <w:pPr>
              <w:pStyle w:val="Compact"/>
            </w:pPr>
            <w:r>
              <w:t xml:space="preserve">Durée → rupture</w:t>
            </w:r>
          </w:p>
        </w:tc>
        <w:tc>
          <w:tcPr>
            <w:shd w:val="clear" w:color="auto" w:fill="EFEFEF"/>
          </w:tcPr>
          <w:p>
            <w:pPr>
              <w:pStyle w:val="Compact"/>
            </w:pPr>
            <w:r>
              <w:t xml:space="preserve">Points</w:t>
            </w:r>
          </w:p>
        </w:tc>
        <w:tc>
          <w:tcPr>
            <w:shd w:val="clear" w:color="auto" w:fill="EFEFEF"/>
          </w:tcPr>
          <w:p>
            <w:pPr>
              <w:pStyle w:val="Compact"/>
            </w:pPr>
            <w:r>
              <w:t xml:space="preserve">Observation</w:t>
            </w:r>
          </w:p>
        </w:tc>
      </w:tr>
      <w:tr>
        <w:tc>
          <w:tcPr/>
          <w:p>
            <w:pPr>
              <w:pStyle w:val="Compact"/>
            </w:pPr>
            <w:r>
              <w:t xml:space="preserve">Run #1</w:t>
            </w:r>
          </w:p>
        </w:tc>
        <w:tc>
          <w:tcPr/>
          <w:p>
            <w:pPr>
              <w:pStyle w:val="Compact"/>
            </w:pPr>
            <w:r>
              <w:t xml:space="preserve">Auxiliaire</w:t>
            </w:r>
          </w:p>
        </w:tc>
        <w:tc>
          <w:tcPr/>
          <w:p>
            <w:pPr>
              <w:pStyle w:val="Compact"/>
            </w:pPr>
            <w:r>
              <w:t xml:space="preserve">29,5 °C</w:t>
            </w:r>
          </w:p>
        </w:tc>
        <w:tc>
          <w:tcPr/>
          <w:p>
            <w:pPr>
              <w:pStyle w:val="Compact"/>
            </w:pPr>
            <w:r>
              <w:t xml:space="preserve">22,1 h</w:t>
            </w:r>
          </w:p>
        </w:tc>
        <w:tc>
          <w:tcPr/>
          <w:p>
            <w:pPr>
              <w:pStyle w:val="Compact"/>
            </w:pPr>
            <w:r>
              <w:t xml:space="preserve">2 490</w:t>
            </w:r>
          </w:p>
        </w:tc>
        <w:tc>
          <w:tcPr/>
          <w:p>
            <w:pPr>
              <w:pStyle w:val="Compact"/>
            </w:pPr>
            <w:r>
              <w:t xml:space="preserve">Référence (ambiant)</w:t>
            </w:r>
          </w:p>
        </w:tc>
      </w:tr>
      <w:tr>
        <w:tc>
          <w:tcPr/>
          <w:p>
            <w:pPr>
              <w:pStyle w:val="Compact"/>
            </w:pPr>
            <w:r>
              <w:t xml:space="preserve">Run #11</w:t>
            </w:r>
          </w:p>
        </w:tc>
        <w:tc>
          <w:tcPr/>
          <w:p>
            <w:pPr>
              <w:pStyle w:val="Compact"/>
            </w:pPr>
            <w:r>
              <w:t xml:space="preserve">Auxiliaire</w:t>
            </w:r>
          </w:p>
        </w:tc>
        <w:tc>
          <w:tcPr/>
          <w:p>
            <w:pPr>
              <w:pStyle w:val="Compact"/>
            </w:pPr>
            <w:r>
              <w:t xml:space="preserve">32,7 °C</w:t>
            </w:r>
          </w:p>
        </w:tc>
        <w:tc>
          <w:tcPr/>
          <w:p>
            <w:pPr>
              <w:pStyle w:val="Compact"/>
            </w:pPr>
            <w:r>
              <w:t xml:space="preserve">10,0 h</w:t>
            </w:r>
          </w:p>
        </w:tc>
        <w:tc>
          <w:tcPr/>
          <w:p>
            <w:pPr>
              <w:pStyle w:val="Compact"/>
            </w:pPr>
            <w:r>
              <w:t xml:space="preserve">1 142</w:t>
            </w:r>
          </w:p>
        </w:tc>
        <w:tc>
          <w:tcPr/>
          <w:p>
            <w:pPr>
              <w:pStyle w:val="Compact"/>
            </w:pPr>
            <w:r>
              <w:t xml:space="preserve">Le plus chaud (canicule)</w:t>
            </w:r>
          </w:p>
        </w:tc>
      </w:tr>
      <w:tr>
        <w:tc>
          <w:tcPr/>
          <w:p>
            <w:pPr>
              <w:pStyle w:val="Compact"/>
            </w:pPr>
            <w:r>
              <w:t xml:space="preserve">Run #12</w:t>
            </w:r>
          </w:p>
        </w:tc>
        <w:tc>
          <w:tcPr/>
          <w:p>
            <w:pPr>
              <w:pStyle w:val="Compact"/>
            </w:pPr>
            <w:r>
              <w:t xml:space="preserve">Test (LORO)</w:t>
            </w:r>
          </w:p>
        </w:tc>
        <w:tc>
          <w:tcPr/>
          <w:p>
            <w:pPr>
              <w:pStyle w:val="Compact"/>
            </w:pPr>
            <w:r>
              <w:t xml:space="preserve">29,5 °C</w:t>
            </w:r>
          </w:p>
        </w:tc>
        <w:tc>
          <w:tcPr/>
          <w:p>
            <w:pPr>
              <w:pStyle w:val="Compact"/>
            </w:pPr>
            <w:r>
              <w:t xml:space="preserve">14,1 h</w:t>
            </w:r>
          </w:p>
        </w:tc>
        <w:tc>
          <w:tcPr/>
          <w:p>
            <w:pPr>
              <w:pStyle w:val="Compact"/>
            </w:pPr>
            <w:r>
              <w:t xml:space="preserve">1 643</w:t>
            </w:r>
          </w:p>
        </w:tc>
        <w:tc>
          <w:tcPr/>
          <w:p>
            <w:pPr>
              <w:pStyle w:val="Compact"/>
            </w:pPr>
            <w:r>
              <w:t xml:space="preserve">Essai propre</w:t>
            </w:r>
          </w:p>
        </w:tc>
      </w:tr>
      <w:tr>
        <w:tc>
          <w:tcPr/>
          <w:p>
            <w:pPr>
              <w:pStyle w:val="Compact"/>
            </w:pPr>
            <w:r>
              <w:t xml:space="preserve">Run #16</w:t>
            </w:r>
          </w:p>
        </w:tc>
        <w:tc>
          <w:tcPr/>
          <w:p>
            <w:pPr>
              <w:pStyle w:val="Compact"/>
            </w:pPr>
            <w:r>
              <w:t xml:space="preserve">Test (LORO)</w:t>
            </w:r>
          </w:p>
        </w:tc>
        <w:tc>
          <w:tcPr/>
          <w:p>
            <w:pPr>
              <w:pStyle w:val="Compact"/>
            </w:pPr>
            <w:r>
              <w:t xml:space="preserve">30,1 °C</w:t>
            </w:r>
          </w:p>
        </w:tc>
        <w:tc>
          <w:tcPr/>
          <w:p>
            <w:pPr>
              <w:pStyle w:val="Compact"/>
            </w:pPr>
            <w:r>
              <w:t xml:space="preserve">15,2 h</w:t>
            </w:r>
          </w:p>
        </w:tc>
        <w:tc>
          <w:tcPr/>
          <w:p>
            <w:pPr>
              <w:pStyle w:val="Compact"/>
            </w:pPr>
            <w:r>
              <w:t xml:space="preserve">1 442</w:t>
            </w:r>
          </w:p>
        </w:tc>
        <w:tc>
          <w:tcPr/>
          <w:p>
            <w:pPr>
              <w:pStyle w:val="Compact"/>
            </w:pPr>
            <w:r>
              <w:t xml:space="preserve">Régulation contrôlée (σ = 0,52 °C)</w:t>
            </w:r>
          </w:p>
        </w:tc>
      </w:tr>
      <w:tr>
        <w:tc>
          <w:tcPr/>
          <w:p>
            <w:pPr>
              <w:pStyle w:val="Compact"/>
            </w:pPr>
            <w:r>
              <w:t xml:space="preserve">Run #20</w:t>
            </w:r>
          </w:p>
        </w:tc>
        <w:tc>
          <w:tcPr/>
          <w:p>
            <w:pPr>
              <w:pStyle w:val="Compact"/>
            </w:pPr>
            <w:r>
              <w:t xml:space="preserve">Auxiliaire (jumeau 30 °C)</w:t>
            </w:r>
          </w:p>
        </w:tc>
        <w:tc>
          <w:tcPr/>
          <w:p>
            <w:pPr>
              <w:pStyle w:val="Compact"/>
            </w:pPr>
            <w:r>
              <w:t xml:space="preserve">30,1 °C</w:t>
            </w:r>
          </w:p>
        </w:tc>
        <w:tc>
          <w:tcPr/>
          <w:p>
            <w:pPr>
              <w:pStyle w:val="Compact"/>
            </w:pPr>
            <w:r>
              <w:t xml:space="preserve">tronqué (coupure WiFi)</w:t>
            </w:r>
          </w:p>
        </w:tc>
        <w:tc>
          <w:tcPr/>
          <w:p>
            <w:pPr>
              <w:pStyle w:val="Compact"/>
            </w:pPr>
            <w:r>
              <w:t xml:space="preserve">1 005</w:t>
            </w:r>
          </w:p>
        </w:tc>
        <w:tc>
          <w:tcPr/>
          <w:p>
            <w:pPr>
              <w:pStyle w:val="Compact"/>
            </w:pPr>
            <w:r>
              <w:t xml:space="preserve">Densifie la plage 30 °C</w:t>
            </w:r>
          </w:p>
        </w:tc>
      </w:tr>
    </w:tbl>
    <w:p>
      <w:pPr>
        <w:pStyle w:val="BodyText"/>
      </w:pPr>
      <w:r>
        <w:t xml:space="preserve">Deux auxiliaires à cinétique lente (Run #2, biaisé par une rupture par traction ; Run #3, dilué) ne sont pas illustrés mais participent à l’entraînement. La figure III.3 confronte la durée de vie et la température moyenne des essais à rupture complète. Une tendance se dégage : les essais les plus chauds rompent le plus vite (Run #11 à 32,7 °C : 10 h), conformément à la dépendance d’Arrhenius (§I.7.7). Une variabilité résiduelle subsiste néanmoins à température comparable (Run #1 et Run #12, tous deux à ≈ 29,5 °C, durent respectivement 22 h et 14 h), ce qui annonce le rôle des facteurs non thermiques analysés en §III.4.</w:t>
      </w:r>
    </w:p>
    <w:p>
      <w:pPr>
        <w:pStyle w:val="CaptionedFigure"/>
        <w:jc w:val="center"/>
      </w:pPr>
      <w:r>
        <w:drawing>
          <wp:inline>
            <wp:extent cx="4739005" cy="2342878"/>
            <wp:effectExtent b="0" l="0" r="0" t="0"/>
            <wp:docPr descr="Figure III.3 — Durée de vie et température moyenne par essai" title="" id="127" name="Picture"/>
            <a:graphic>
              <a:graphicData uri="http://schemas.openxmlformats.org/drawingml/2006/picture">
                <pic:pic>
                  <pic:nvPicPr>
                    <pic:cNvPr descr="figures/fig_iii2_synthese.png" id="128" name="Picture"/>
                    <pic:cNvPicPr>
                      <a:picLocks noChangeArrowheads="1" noChangeAspect="1"/>
                    </pic:cNvPicPr>
                  </pic:nvPicPr>
                  <pic:blipFill>
                    <a:blip r:embed="rId126"/>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III.3 — Durée de vie et température moyenne par essai</w:t>
      </w:r>
    </w:p>
    <w:p>
      <w:r>
        <w:pict>
          <v:rect style="width:0;height:1.5pt" o:hralign="center" o:hrstd="t" o:hr="t"/>
        </w:pict>
      </w:r>
    </w:p>
    <w:bookmarkEnd w:id="129"/>
    <w:bookmarkEnd w:id="130"/>
    <w:bookmarkStart w:id="148" w:name="Xcb14b50e40d3fecb693e0d04ac0190f520439ee"/>
    <w:p>
      <w:pPr>
        <w:pStyle w:val="Heading2"/>
      </w:pPr>
      <w:r>
        <w:t xml:space="preserve">III.3. Effet de la température et performance du modèle (OS2/OS3)</w:t>
      </w:r>
    </w:p>
    <w:p>
      <w:pPr>
        <w:pStyle w:val="FirstParagraph"/>
      </w:pPr>
      <w:r>
        <w:t xml:space="preserve">La température agit sur la cinétique de corrosion selon une loi de type Arrhenius (§I.7.7) : sa variation entre essais est donc une source majeure de variabilité. La question centrale de cette section est la capacité du modèle à généraliser à un essai jamais vu, évaluée par la validation</w:t>
      </w:r>
      <w:r>
        <w:t xml:space="preserve"> </w:t>
      </w:r>
      <w:r>
        <w:rPr>
          <w:i/>
          <w:iCs/>
        </w:rPr>
        <w:t xml:space="preserve">leave-one-run-out</w:t>
      </w:r>
      <w:r>
        <w:t xml:space="preserve"> </w:t>
      </w:r>
      <w:r>
        <w:t xml:space="preserve">(LORO, §II.5.1).</w:t>
      </w:r>
    </w:p>
    <w:bookmarkStart w:id="134" w:name="Xa6121d1b2b07f605025ea4bb2be1dd8e51c65cf"/>
    <w:p>
      <w:pPr>
        <w:pStyle w:val="Heading3"/>
      </w:pPr>
      <w:r>
        <w:t xml:space="preserve">III.3.1. Performance en validation inter-essais (LORO)</w:t>
      </w:r>
    </w:p>
    <w:p>
      <w:pPr>
        <w:pStyle w:val="FirstParagraph"/>
      </w:pPr>
      <w:r>
        <w:t xml:space="preserve">Le tableau III.2 et la figure III.4 présentent le R² obtenu sur chaque essai testé (le run testé n’étant jamais vu à l’entraînement), pour le modèle XGBoost comparé à deux références : une régression linéaire et une prédiction par la moyenne.</w:t>
      </w:r>
    </w:p>
    <w:p>
      <w:pPr>
        <w:pStyle w:val="TableCaption"/>
        <w:jc w:val="center"/>
      </w:pPr>
      <w:r>
        <w:t xml:space="preserve">Tableau III.2 — Performance LORO par essai (taux de corrosion CR)</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shd w:val="clear" w:color="auto" w:fill="EFEFEF"/>
          </w:tcPr>
          <w:p>
            <w:pPr>
              <w:pStyle w:val="Compact"/>
            </w:pPr>
            <w:r>
              <w:t xml:space="preserve">Essai testé</w:t>
            </w:r>
          </w:p>
        </w:tc>
        <w:tc>
          <w:tcPr>
            <w:shd w:val="clear" w:color="auto" w:fill="EFEFEF"/>
          </w:tcPr>
          <w:p>
            <w:pPr>
              <w:pStyle w:val="Compact"/>
            </w:pPr>
            <w:r>
              <w:t xml:space="preserve">T°</w:t>
            </w:r>
          </w:p>
        </w:tc>
        <w:tc>
          <w:tcPr>
            <w:shd w:val="clear" w:color="auto" w:fill="EFEFEF"/>
          </w:tcPr>
          <w:p>
            <w:pPr>
              <w:pStyle w:val="Compact"/>
            </w:pPr>
            <w:r>
              <w:t xml:space="preserve">R² XGBoost</w:t>
            </w:r>
          </w:p>
        </w:tc>
        <w:tc>
          <w:tcPr>
            <w:shd w:val="clear" w:color="auto" w:fill="EFEFEF"/>
          </w:tcPr>
          <w:p>
            <w:pPr>
              <w:pStyle w:val="Compact"/>
            </w:pPr>
            <w:r>
              <w:t xml:space="preserve">R² Régression lin.</w:t>
            </w:r>
          </w:p>
        </w:tc>
        <w:tc>
          <w:tcPr>
            <w:shd w:val="clear" w:color="auto" w:fill="EFEFEF"/>
          </w:tcPr>
          <w:p>
            <w:pPr>
              <w:pStyle w:val="Compact"/>
            </w:pPr>
            <w:r>
              <w:t xml:space="preserve">R² Moyenne</w:t>
            </w:r>
          </w:p>
        </w:tc>
      </w:tr>
      <w:tr>
        <w:tc>
          <w:tcPr/>
          <w:p>
            <w:pPr>
              <w:pStyle w:val="Compact"/>
            </w:pPr>
            <w:r>
              <w:t xml:space="preserve">Run #12</w:t>
            </w:r>
          </w:p>
        </w:tc>
        <w:tc>
          <w:tcPr/>
          <w:p>
            <w:pPr>
              <w:pStyle w:val="Compact"/>
            </w:pPr>
            <w:r>
              <w:t xml:space="preserve">29,5 °C</w:t>
            </w:r>
          </w:p>
        </w:tc>
        <w:tc>
          <w:tcPr/>
          <w:p>
            <w:pPr>
              <w:pStyle w:val="Compact"/>
            </w:pPr>
            <w:r>
              <w:t xml:space="preserve">+0,50</w:t>
            </w:r>
          </w:p>
        </w:tc>
        <w:tc>
          <w:tcPr/>
          <w:p>
            <w:pPr>
              <w:pStyle w:val="Compact"/>
            </w:pPr>
            <w:r>
              <w:t xml:space="preserve">+0,21</w:t>
            </w:r>
          </w:p>
        </w:tc>
        <w:tc>
          <w:tcPr/>
          <w:p>
            <w:pPr>
              <w:pStyle w:val="Compact"/>
            </w:pPr>
            <w:r>
              <w:t xml:space="preserve">−0,02</w:t>
            </w:r>
          </w:p>
        </w:tc>
      </w:tr>
      <w:tr>
        <w:tc>
          <w:tcPr/>
          <w:p>
            <w:pPr>
              <w:pStyle w:val="Compact"/>
            </w:pPr>
            <w:r>
              <w:t xml:space="preserve">Run #16</w:t>
            </w:r>
          </w:p>
        </w:tc>
        <w:tc>
          <w:tcPr/>
          <w:p>
            <w:pPr>
              <w:pStyle w:val="Compact"/>
            </w:pPr>
            <w:r>
              <w:t xml:space="preserve">30,1 °C</w:t>
            </w:r>
          </w:p>
        </w:tc>
        <w:tc>
          <w:tcPr/>
          <w:p>
            <w:pPr>
              <w:pStyle w:val="Compact"/>
            </w:pPr>
            <w:r>
              <w:t xml:space="preserve">+0,07</w:t>
            </w:r>
          </w:p>
        </w:tc>
        <w:tc>
          <w:tcPr/>
          <w:p>
            <w:pPr>
              <w:pStyle w:val="Compact"/>
            </w:pPr>
            <w:r>
              <w:t xml:space="preserve">+0,14</w:t>
            </w:r>
          </w:p>
        </w:tc>
        <w:tc>
          <w:tcPr/>
          <w:p>
            <w:pPr>
              <w:pStyle w:val="Compact"/>
            </w:pPr>
            <w:r>
              <w:t xml:space="preserve">0,00</w:t>
            </w:r>
          </w:p>
        </w:tc>
      </w:tr>
      <w:tr>
        <w:tc>
          <w:tcPr/>
          <w:p>
            <w:pPr>
              <w:pStyle w:val="Compact"/>
            </w:pPr>
            <w:r>
              <w:t xml:space="preserve">Moyenne</w:t>
            </w:r>
          </w:p>
        </w:tc>
        <w:tc>
          <w:tcPr/>
          <w:p>
            <w:pPr>
              <w:pStyle w:val="Compact"/>
            </w:pPr>
            <w:r>
              <w:t xml:space="preserve">—</w:t>
            </w:r>
          </w:p>
        </w:tc>
        <w:tc>
          <w:tcPr/>
          <w:p>
            <w:pPr>
              <w:pStyle w:val="Compact"/>
            </w:pPr>
            <w:r>
              <w:t xml:space="preserve">+0,29</w:t>
            </w:r>
          </w:p>
        </w:tc>
        <w:tc>
          <w:tcPr/>
          <w:p>
            <w:pPr>
              <w:pStyle w:val="Compact"/>
            </w:pPr>
            <w:r>
              <w:t xml:space="preserve">+0,17</w:t>
            </w:r>
          </w:p>
        </w:tc>
        <w:tc>
          <w:tcPr/>
          <w:p>
            <w:pPr>
              <w:pStyle w:val="Compact"/>
            </w:pPr>
            <w:r>
              <w:t xml:space="preserve">&lt; 0</w:t>
            </w:r>
          </w:p>
        </w:tc>
      </w:tr>
    </w:tbl>
    <w:p>
      <w:pPr>
        <w:pStyle w:val="CaptionedFigure"/>
        <w:jc w:val="center"/>
      </w:pPr>
      <w:r>
        <w:drawing>
          <wp:inline>
            <wp:extent cx="4739005" cy="2342878"/>
            <wp:effectExtent b="0" l="0" r="0" t="0"/>
            <wp:docPr descr="Figure III.4 — Performance LORO par essai (XGBoost vs références)" title="" id="132" name="Picture"/>
            <a:graphic>
              <a:graphicData uri="http://schemas.openxmlformats.org/drawingml/2006/picture">
                <pic:pic>
                  <pic:nvPicPr>
                    <pic:cNvPr descr="figures/fig_iii3_r2_runs.png" id="133" name="Picture"/>
                    <pic:cNvPicPr>
                      <a:picLocks noChangeArrowheads="1" noChangeAspect="1"/>
                    </pic:cNvPicPr>
                  </pic:nvPicPr>
                  <pic:blipFill>
                    <a:blip r:embed="rId131"/>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III.4 — Performance LORO par essai (XGBoost vs références)</w:t>
      </w:r>
    </w:p>
    <w:p>
      <w:pPr>
        <w:pStyle w:val="BodyText"/>
      </w:pPr>
      <w:r>
        <w:t xml:space="preserve">Sur la plage 30 °C couverte, le modèle obtient une moyenne positive (R² = +0,29) et devance les deux références. La domination est nette sur Run #12 (+0,50 contre +0,21) ; sur Run #16, essai plus difficile (voir §III.4), XGBoost reste compétitif avec la régression linéaire. Surtout, les deux modèles structurés battent largement la prédiction par la moyenne (R² ≤ 0), ce qui confirme qu’une information exploitable est bien apprise. Ce résultat positif n’est toutefois pas automatique : il dépend de la couverture des conditions par l’entraînement, comme le montre la section suivante.</w:t>
      </w:r>
    </w:p>
    <w:bookmarkEnd w:id="134"/>
    <w:bookmarkStart w:id="138" w:name="X52ab184fc69075fc1f5ed419af95dc189312200"/>
    <w:p>
      <w:pPr>
        <w:pStyle w:val="Heading3"/>
      </w:pPr>
      <w:r>
        <w:t xml:space="preserve">III.3.2. Évolution de la performance au fil de la campagne : du LORO initial au LORO actuel</w:t>
      </w:r>
    </w:p>
    <w:p>
      <w:pPr>
        <w:pStyle w:val="FirstParagraph"/>
      </w:pPr>
      <w:r>
        <w:t xml:space="preserve">Ce résultat positif (+0,29) n’a pas été obtenu d’emblée : il est l’aboutissement d’une trajectoire que la figure III.5 retrace, du LORO initial au LORO actuel.</w:t>
      </w:r>
    </w:p>
    <w:p>
      <w:pPr>
        <w:pStyle w:val="CaptionedFigure"/>
        <w:jc w:val="center"/>
      </w:pPr>
      <w:r>
        <w:drawing>
          <wp:inline>
            <wp:extent cx="4739005" cy="2901329"/>
            <wp:effectExtent b="0" l="0" r="0" t="0"/>
            <wp:docPr descr="Figure III.5 — Évolution du R² LORO au fil de la campagne, du LORO initial (couverture nulle) au LORO actuel" title="" id="136" name="Picture"/>
            <a:graphic>
              <a:graphicData uri="http://schemas.openxmlformats.org/drawingml/2006/picture">
                <pic:pic>
                  <pic:nvPicPr>
                    <pic:cNvPr descr="figures/fig_iii3_loro_evolution.png" id="137" name="Picture"/>
                    <pic:cNvPicPr>
                      <a:picLocks noChangeArrowheads="1" noChangeAspect="1"/>
                    </pic:cNvPicPr>
                  </pic:nvPicPr>
                  <pic:blipFill>
                    <a:blip r:embed="rId135"/>
                    <a:stretch>
                      <a:fillRect/>
                    </a:stretch>
                  </pic:blipFill>
                  <pic:spPr bwMode="auto">
                    <a:xfrm>
                      <a:off x="0" y="0"/>
                      <a:ext cx="4739005" cy="2901329"/>
                    </a:xfrm>
                    <a:prstGeom prst="rect">
                      <a:avLst/>
                    </a:prstGeom>
                    <a:noFill/>
                    <a:ln w="9525">
                      <a:noFill/>
                      <a:headEnd/>
                      <a:tailEnd/>
                    </a:ln>
                  </pic:spPr>
                </pic:pic>
              </a:graphicData>
            </a:graphic>
          </wp:inline>
        </w:drawing>
      </w:r>
    </w:p>
    <w:p>
      <w:pPr>
        <w:pStyle w:val="ImageCaption"/>
      </w:pPr>
      <w:r>
        <w:t xml:space="preserve">Figure III.5 — Évolution du R² LORO au fil de la campagne, du LORO initial (couverture nulle) au LORO actuel</w:t>
      </w:r>
    </w:p>
    <w:p>
      <w:pPr>
        <w:pStyle w:val="BodyText"/>
      </w:pPr>
      <w:r>
        <w:t xml:space="preserve">Du négatif au positif (couverture). Entraîné sur la seule série 30 °C, sans essai couvrant les conditions du run testé, le modèle échouait lourdement (R² = −1,77) : c’est le LORO initial. L’ajout progressif d’essais auxiliaires couvrant et répétant la plage 30 °C a redressé la performance jusqu’à +0,29 (LORO actuel, tableau III.2). Le moteur de ce redressement n’est pas le volume brut de données mais la couverture et la répétition des conditions, analysées au paragraphe suivant (§III.3.3).</w:t>
      </w:r>
    </w:p>
    <w:p>
      <w:pPr>
        <w:pStyle w:val="BodyText"/>
      </w:pPr>
      <w:r>
        <w:t xml:space="preserve">Un plateau bruité (morphologie). Au-delà de ce seuil, ajouter un essai ne garantit plus un gain. L’incorporation d’un essai de morphologie graduelle (Run #21, puis Run #22), alors que les essais de test relèvent de la morphologie</w:t>
      </w:r>
      <w:r>
        <w:t xml:space="preserve"> </w:t>
      </w:r>
      <w:r>
        <w:rPr>
          <w:i/>
          <w:iCs/>
        </w:rPr>
        <w:t xml:space="preserve">induction-emballement</w:t>
      </w:r>
      <w:r>
        <w:t xml:space="preserve"> </w:t>
      </w:r>
      <w:r>
        <w:t xml:space="preserve">(« sprint »), fait légèrement reculer la moyenne, vers ≈ +0,20. Ce recul appelle la prudence : au vu du faible effectif, la métrique est bruitée et doit être citée en fourchette plutôt qu’en valeur unique. Mesurée sur quatre tirages aléatoires, la moyenne sprint vaut ≈ +0,26 [+0,25 ; +0,29] sans le run graduel et ≈ +0,20 avec, soit un écart Δ ≈ −0,07 [−0,02 ; −0,10], négatif sur les quatre tirages mais d’amplitude variable : la direction du recul est robuste, sa magnitude ne l’est pas.</w:t>
      </w:r>
    </w:p>
    <w:p>
      <w:pPr>
        <w:pStyle w:val="BodyText"/>
      </w:pPr>
      <w:r>
        <w:t xml:space="preserve">Enseignement. La trajectoire confirme que la fiabilité tient à la couverture appariée des conditions, thermiques</w:t>
      </w:r>
      <w:r>
        <w:t xml:space="preserve"> </w:t>
      </w:r>
      <w:r>
        <w:rPr>
          <w:i/>
          <w:iCs/>
        </w:rPr>
        <w:t xml:space="preserve">et</w:t>
      </w:r>
      <w:r>
        <w:t xml:space="preserve"> </w:t>
      </w:r>
      <w:r>
        <w:t xml:space="preserve">morphologiques (§III.3.3), et non au volume de données. Elle fixe aussi le cap des essais complémentaires (§III.6.5) : répéter au sein d’une même morphologie, en priorité « sprint », plutôt que d’empiler des essais hétérogènes.</w:t>
      </w:r>
    </w:p>
    <w:bookmarkEnd w:id="138"/>
    <w:bookmarkStart w:id="142" w:name="X941fe09a457971cd984a3b9264dd13ac7df1809"/>
    <w:p>
      <w:pPr>
        <w:pStyle w:val="Heading3"/>
      </w:pPr>
      <w:r>
        <w:t xml:space="preserve">III.3.3. La couverture des conditions conditionne la fiabilité</w:t>
      </w:r>
    </w:p>
    <w:p>
      <w:pPr>
        <w:pStyle w:val="FirstParagraph"/>
      </w:pPr>
      <w:r>
        <w:t xml:space="preserve">L’entraînement peut être enrichi de plusieurs manières : série de test seule, ou ajout d’essais auxiliaires bruts, sous-échantillonnés, ou pondérés. La figure III.6 compare ces quatre variantes (R² moyen LORO sur Run #12 et #16). Le résultat est net :</w:t>
      </w:r>
    </w:p>
    <w:p>
      <w:pPr>
        <w:pStyle w:val="Compact"/>
        <w:numPr>
          <w:ilvl w:val="0"/>
          <w:numId w:val="1033"/>
        </w:numPr>
      </w:pPr>
      <w:r>
        <w:t xml:space="preserve">entraîner sur la série 30 °C seule, sans essais couvrant les conditions, échoue lourdement (R² = −1,77) ;</w:t>
      </w:r>
    </w:p>
    <w:p>
      <w:pPr>
        <w:pStyle w:val="Compact"/>
        <w:numPr>
          <w:ilvl w:val="0"/>
          <w:numId w:val="1033"/>
        </w:numPr>
      </w:pPr>
      <w:r>
        <w:t xml:space="preserve">ajouter des auxiliaires couvrant la plage rétablit une prédiction fiable (+0,29, variante retenue : auxiliaires sous-échantillonnés à 1 500 points). Le sous-échantillonnage corrige le déséquilibre ≈ 4,5:1 entre auxiliaires volumineux et série de test, qui sinon « noie » cette dernière, un rééquilibrage du jeu d’entraînement étant une pratique établie de l’apprentissage sur données déséquilibrées (He et Garcia, 2009).</w:t>
      </w:r>
    </w:p>
    <w:p>
      <w:pPr>
        <w:pStyle w:val="CaptionedFigure"/>
        <w:jc w:val="center"/>
      </w:pPr>
      <w:r>
        <w:drawing>
          <wp:inline>
            <wp:extent cx="4014216" cy="2383214"/>
            <wp:effectExtent b="0" l="0" r="0" t="0"/>
            <wp:docPr descr="Figure III.6 — Effet de la couverture des conditions sur la fiabilité" title="" id="140" name="Picture"/>
            <a:graphic>
              <a:graphicData uri="http://schemas.openxmlformats.org/drawingml/2006/picture">
                <pic:pic>
                  <pic:nvPicPr>
                    <pic:cNvPr descr="figures/fig_iii3_r2_plage.png" id="141" name="Picture"/>
                    <pic:cNvPicPr>
                      <a:picLocks noChangeArrowheads="1" noChangeAspect="1"/>
                    </pic:cNvPicPr>
                  </pic:nvPicPr>
                  <pic:blipFill>
                    <a:blip r:embed="rId139"/>
                    <a:stretch>
                      <a:fillRect/>
                    </a:stretch>
                  </pic:blipFill>
                  <pic:spPr bwMode="auto">
                    <a:xfrm>
                      <a:off x="0" y="0"/>
                      <a:ext cx="4014216" cy="2383214"/>
                    </a:xfrm>
                    <a:prstGeom prst="rect">
                      <a:avLst/>
                    </a:prstGeom>
                    <a:noFill/>
                    <a:ln w="9525">
                      <a:noFill/>
                      <a:headEnd/>
                      <a:tailEnd/>
                    </a:ln>
                  </pic:spPr>
                </pic:pic>
              </a:graphicData>
            </a:graphic>
          </wp:inline>
        </w:drawing>
      </w:r>
    </w:p>
    <w:p>
      <w:pPr>
        <w:pStyle w:val="ImageCaption"/>
      </w:pPr>
      <w:r>
        <w:t xml:space="preserve">Figure III.6 — Effet de la couverture des conditions sur la fiabilité</w:t>
      </w:r>
    </w:p>
    <w:p>
      <w:pPr>
        <w:pStyle w:val="BodyText"/>
      </w:pPr>
      <w:r>
        <w:t xml:space="preserve">L’interprétation est directe : la prédiction est fiable là où les conditions du run testé sont couvertes par l’entraînement, et échoue sinon. Et ce n’est pas le volume brut de données qui compte, mais la couverture : l’analyse de l’apport de chaque auxiliaire (par retrait successif) le confirme, l’essai le plus volumineux (Run #3, ~10 750 points) n’apporte presque rien, tandis que les essais fondateurs (Run #1, Run #2) sont déterminants et le jumeau 30 °C (Run #20) améliore encore la moyenne. C’est la répétabilité des conditions, non le volume de données, qui conditionne la fiabilité. Ce constat fonde directement le plan d’essais complémentaires (§III.6).</w:t>
      </w:r>
    </w:p>
    <w:p>
      <w:pPr>
        <w:pStyle w:val="BodyText"/>
      </w:pPr>
      <w:r>
        <w:t xml:space="preserve">Cette couverture comporte une seconde dimension, qualitative : la morphologie de la dégradation. Le modèle estime le taux de corrosion</w:t>
      </w:r>
      <w:r>
        <w:t xml:space="preserve"> </w:t>
      </w:r>
      <w:r>
        <w:rPr>
          <w:i/>
          <w:iCs/>
        </w:rPr>
        <w:t xml:space="preserve">CR</w:t>
      </w:r>
      <w:r>
        <w:t xml:space="preserve"> </w:t>
      </w:r>
      <w:r>
        <w:t xml:space="preserve">instant par instant à partir de l’état de dégradation et de la température ; il ne restitue donc fidèlement un essai que s’il a été entraîné sur des essais dont la</w:t>
      </w:r>
      <w:r>
        <w:t xml:space="preserve"> </w:t>
      </w:r>
      <w:r>
        <w:rPr>
          <w:i/>
          <w:iCs/>
        </w:rPr>
        <w:t xml:space="preserve">forme</w:t>
      </w:r>
      <w:r>
        <w:t xml:space="preserve"> </w:t>
      </w:r>
      <w:r>
        <w:t xml:space="preserve">d’évolution est comparable. Or, même à 30 °C régulé, deux morphologies coexistent (§III.4) : une dégradation graduelle, précoce (Run #1), et une dégradation par induction puis emballement (Run #12, Run #16). Les essais Run #21 et Run #22 (§III.6.5), tous deux de type graduel, l’illustrent : leur ajout à l’entraînement n’améliore pas la prédiction des deux essais de test, lesquels relèvent de la morphologie</w:t>
      </w:r>
      <w:r>
        <w:t xml:space="preserve"> </w:t>
      </w:r>
      <w:r>
        <w:rPr>
          <w:i/>
          <w:iCs/>
        </w:rPr>
        <w:t xml:space="preserve">induction-emballement</w:t>
      </w:r>
      <w:r>
        <w:t xml:space="preserve">, et la dégrade même légèrement (R² moyen ramené de +0,29 à ≈ +0,20 ; figure III.5). Loin d’infirmer le modèle, ce résultat en confirme le mécanisme : enrichir l’entraînement n’est profitable que si l’essai ajouté partage la morphologie de l’essai à prédire, transposition, au registre de la forme de corrosion, du constat établi pour la couverture thermique. La métrique demeure néanmoins bruitée au vu du faible effectif d’essais (l’écart se chiffre en fourchette Δ ≈ −0,07 [−0,02 ; −0,10] selon le tirage, §III.3.2) ; de plus, les trois essais graduels observés restent hétérogènes (Run #1 à 22 h contre Run #21 et #22 à ≈ 12–13 h), de sorte que le simple décompte de répétitions ne suffit pas : seule la répétition au sein d’une morphologie homogène (§III.6.5) permettra de stabiliser la métrique.</w:t>
      </w:r>
    </w:p>
    <w:bookmarkEnd w:id="142"/>
    <w:bookmarkStart w:id="146" w:name="iii.3.4.-variables-dinfluence"/>
    <w:p>
      <w:pPr>
        <w:pStyle w:val="Heading3"/>
      </w:pPr>
      <w:r>
        <w:t xml:space="preserve">III.3.4. Variables d’influence</w:t>
      </w:r>
    </w:p>
    <w:p>
      <w:pPr>
        <w:pStyle w:val="FirstParagraph"/>
      </w:pPr>
      <w:r>
        <w:t xml:space="preserve">La figure III.7 présente l’importance relative des variables dans le modèle. Les variables traduisant l’état de dégradation (ΔR depuis l’origine, résistance compensée) et le temps d’immersion ressortent en tête, suivies de la température (moyenne sur 6 h et instantanée). Cette hiérarchie est cohérente avec la physique du phénomène, la corrosion est gouvernée par l’état de dégradation cumulé et accélérée par la température, et conforte la validité du modèle.</w:t>
      </w:r>
    </w:p>
    <w:p>
      <w:pPr>
        <w:pStyle w:val="CaptionedFigure"/>
        <w:jc w:val="center"/>
      </w:pPr>
      <w:r>
        <w:drawing>
          <wp:inline>
            <wp:extent cx="4460240" cy="2198180"/>
            <wp:effectExtent b="0" l="0" r="0" t="0"/>
            <wp:docPr descr="Figure III.7 — Importance des variables explicatives (XGBoost)" title="" id="144" name="Picture"/>
            <a:graphic>
              <a:graphicData uri="http://schemas.openxmlformats.org/drawingml/2006/picture">
                <pic:pic>
                  <pic:nvPicPr>
                    <pic:cNvPr descr="figures/fig_iii3_features.png" id="145" name="Picture"/>
                    <pic:cNvPicPr>
                      <a:picLocks noChangeArrowheads="1" noChangeAspect="1"/>
                    </pic:cNvPicPr>
                  </pic:nvPicPr>
                  <pic:blipFill>
                    <a:blip r:embed="rId143"/>
                    <a:stretch>
                      <a:fillRect/>
                    </a:stretch>
                  </pic:blipFill>
                  <pic:spPr bwMode="auto">
                    <a:xfrm>
                      <a:off x="0" y="0"/>
                      <a:ext cx="4460240" cy="2198180"/>
                    </a:xfrm>
                    <a:prstGeom prst="rect">
                      <a:avLst/>
                    </a:prstGeom>
                    <a:noFill/>
                    <a:ln w="9525">
                      <a:noFill/>
                      <a:headEnd/>
                      <a:tailEnd/>
                    </a:ln>
                  </pic:spPr>
                </pic:pic>
              </a:graphicData>
            </a:graphic>
          </wp:inline>
        </w:drawing>
      </w:r>
    </w:p>
    <w:p>
      <w:pPr>
        <w:pStyle w:val="ImageCaption"/>
      </w:pPr>
      <w:r>
        <w:t xml:space="preserve">Figure III.7 — Importance des variables explicatives (XGBoost)</w:t>
      </w:r>
    </w:p>
    <w:bookmarkEnd w:id="146"/>
    <w:bookmarkStart w:id="147" w:name="X73caf37290e5a75e0dd78c67d3e6639f4b02e31"/>
    <w:p>
      <w:pPr>
        <w:pStyle w:val="Heading3"/>
      </w:pPr>
      <w:r>
        <w:t xml:space="preserve">III.3.5. Estimateurs complémentaires de durée de vie (alternatives temporaires appliquées)</w:t>
      </w:r>
    </w:p>
    <w:p>
      <w:pPr>
        <w:pStyle w:val="FirstParagraph"/>
      </w:pPr>
      <w:r>
        <w:t xml:space="preserve">Tant que la couverture demeure partielle, le R² inter-essais du</w:t>
      </w:r>
      <w:r>
        <w:t xml:space="preserve"> </w:t>
      </w:r>
      <w:r>
        <w:rPr>
          <w:i/>
          <w:iCs/>
        </w:rPr>
        <w:t xml:space="preserve">taux de corrosion</w:t>
      </w:r>
      <w:r>
        <w:t xml:space="preserve"> </w:t>
      </w:r>
      <w:r>
        <w:t xml:space="preserve">reste modeste. Pour ne pas faire reposer la décision opérationnelle sur cette seule métrique, trois estimateurs complémentaires de la durée de vie (instant de rupture) ont été mis en œuvre et confrontés en supervision temps réel (tableau III.3). De natures différentes, ils se recoupent et permettent de borner la prédiction plutôt que de s’en remettre à une valeur unique.</w:t>
      </w:r>
    </w:p>
    <w:p>
      <w:pPr>
        <w:pStyle w:val="TableCaption"/>
        <w:jc w:val="center"/>
      </w:pPr>
      <w:r>
        <w:t xml:space="preserve">Tableau III.3 — Les trois estimateurs de durée de vie confrontés en supervision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Estimateur</w:t>
            </w:r>
          </w:p>
        </w:tc>
        <w:tc>
          <w:tcPr>
            <w:shd w:val="clear" w:color="auto" w:fill="EFEFEF"/>
          </w:tcPr>
          <w:p>
            <w:pPr>
              <w:pStyle w:val="Compact"/>
            </w:pPr>
            <w:r>
              <w:t xml:space="preserve">Principe</w:t>
            </w:r>
          </w:p>
        </w:tc>
        <w:tc>
          <w:tcPr>
            <w:shd w:val="clear" w:color="auto" w:fill="EFEFEF"/>
          </w:tcPr>
          <w:p>
            <w:pPr>
              <w:pStyle w:val="Compact"/>
            </w:pPr>
            <w:r>
              <w:t xml:space="preserve">Estime</w:t>
            </w:r>
          </w:p>
        </w:tc>
        <w:tc>
          <w:tcPr>
            <w:shd w:val="clear" w:color="auto" w:fill="EFEFEF"/>
          </w:tcPr>
          <w:p>
            <w:pPr>
              <w:pStyle w:val="Compact"/>
            </w:pPr>
            <w:r>
              <w:t xml:space="preserve">Robustesse</w:t>
            </w:r>
          </w:p>
        </w:tc>
      </w:tr>
      <w:tr>
        <w:tc>
          <w:tcPr/>
          <w:p>
            <w:pPr>
              <w:pStyle w:val="Compact"/>
            </w:pPr>
            <w:r>
              <w:t xml:space="preserve">Extrapolation physique</w:t>
            </w:r>
          </w:p>
        </w:tc>
        <w:tc>
          <w:tcPr/>
          <w:p>
            <w:pPr>
              <w:pStyle w:val="Compact"/>
            </w:pPr>
            <w:r>
              <w:t xml:space="preserve">temps écoulé + RUL mesuré (d’après la vitesse de corrosion instantanée, §II.4)</w:t>
            </w:r>
          </w:p>
        </w:tc>
        <w:tc>
          <w:tcPr/>
          <w:p>
            <w:pPr>
              <w:pStyle w:val="Compact"/>
            </w:pPr>
            <w:r>
              <w:t xml:space="preserve">durée de vie totale</w:t>
            </w:r>
          </w:p>
        </w:tc>
        <w:tc>
          <w:tcPr/>
          <w:p>
            <w:pPr>
              <w:pStyle w:val="Compact"/>
            </w:pPr>
            <w:r>
              <w:t xml:space="preserve">sensible au bruit de la pente, surtout tôt dans l’essai</w:t>
            </w:r>
          </w:p>
        </w:tc>
      </w:tr>
      <w:tr>
        <w:tc>
          <w:tcPr/>
          <w:p>
            <w:pPr>
              <w:pStyle w:val="Compact"/>
            </w:pPr>
            <w:r>
              <w:t xml:space="preserve">XGBoost (dérivé)</w:t>
            </w:r>
          </w:p>
        </w:tc>
        <w:tc>
          <w:tcPr/>
          <w:p>
            <w:pPr>
              <w:pStyle w:val="Compact"/>
            </w:pPr>
            <w:r>
              <w:t xml:space="preserve">même extrapolation, mais avec le</w:t>
            </w:r>
            <w:r>
              <w:t xml:space="preserve"> </w:t>
            </w:r>
            <w:r>
              <w:rPr>
                <w:i/>
                <w:iCs/>
              </w:rPr>
              <w:t xml:space="preserve">CR</w:t>
            </w:r>
            <w:r>
              <w:t xml:space="preserve"> </w:t>
            </w:r>
            <w:r>
              <w:t xml:space="preserve">prédit par le modèle au lieu du</w:t>
            </w:r>
            <w:r>
              <w:t xml:space="preserve"> </w:t>
            </w:r>
            <w:r>
              <w:rPr>
                <w:i/>
                <w:iCs/>
              </w:rPr>
              <w:t xml:space="preserve">CR</w:t>
            </w:r>
            <w:r>
              <w:t xml:space="preserve"> </w:t>
            </w:r>
            <w:r>
              <w:t xml:space="preserve">mesuré</w:t>
            </w:r>
          </w:p>
        </w:tc>
        <w:tc>
          <w:tcPr/>
          <w:p>
            <w:pPr>
              <w:pStyle w:val="Compact"/>
            </w:pPr>
            <w:r>
              <w:t xml:space="preserve">durée de vie totale</w:t>
            </w:r>
          </w:p>
        </w:tc>
        <w:tc>
          <w:tcPr/>
          <w:p>
            <w:pPr>
              <w:pStyle w:val="Compact"/>
            </w:pPr>
            <w:r>
              <w:t xml:space="preserve">suit la qualité du LORO (§III.3.1)</w:t>
            </w:r>
          </w:p>
        </w:tc>
      </w:tr>
      <w:tr>
        <w:tc>
          <w:tcPr/>
          <w:p>
            <w:pPr>
              <w:pStyle w:val="Compact"/>
            </w:pPr>
            <w:r>
              <w:t xml:space="preserve">Jumeau / simulateur</w:t>
            </w:r>
          </w:p>
        </w:tc>
        <w:tc>
          <w:tcPr/>
          <w:p>
            <w:pPr>
              <w:pStyle w:val="Compact"/>
            </w:pPr>
            <w:r>
              <w:t xml:space="preserve">bande [P10–P90] du temps de rupture par mélange des essais donneurs réels</w:t>
            </w:r>
          </w:p>
        </w:tc>
        <w:tc>
          <w:tcPr/>
          <w:p>
            <w:pPr>
              <w:pStyle w:val="Compact"/>
            </w:pPr>
            <w:r>
              <w:t xml:space="preserve">bande de durée de vie</w:t>
            </w:r>
          </w:p>
        </w:tc>
        <w:tc>
          <w:tcPr/>
          <w:p>
            <w:pPr>
              <w:pStyle w:val="Compact"/>
            </w:pPr>
            <w:r>
              <w:t xml:space="preserve">seul estimateur</w:t>
            </w:r>
            <w:r>
              <w:t xml:space="preserve"> </w:t>
            </w:r>
            <w:r>
              <w:rPr>
                <w:i/>
                <w:iCs/>
              </w:rPr>
              <w:t xml:space="preserve">a priori</w:t>
            </w:r>
            <w:r>
              <w:t xml:space="preserve"> </w:t>
            </w:r>
            <w:r>
              <w:t xml:space="preserve">; interpole sans extrapoler hors de l’enveloppe observée</w:t>
            </w:r>
          </w:p>
        </w:tc>
      </w:tr>
    </w:tbl>
    <w:p>
      <w:pPr>
        <w:pStyle w:val="BodyText"/>
      </w:pPr>
      <w:r>
        <w:t xml:space="preserve">Seul le jumeau fournit une prédiction</w:t>
      </w:r>
      <w:r>
        <w:t xml:space="preserve"> </w:t>
      </w:r>
      <w:r>
        <w:rPr>
          <w:i/>
          <w:iCs/>
        </w:rPr>
        <w:t xml:space="preserve">avant</w:t>
      </w:r>
      <w:r>
        <w:t xml:space="preserve"> </w:t>
      </w:r>
      <w:r>
        <w:t xml:space="preserve">l’essai ; les deux extrapolations affinent l’estimation</w:t>
      </w:r>
      <w:r>
        <w:t xml:space="preserve"> </w:t>
      </w:r>
      <w:r>
        <w:rPr>
          <w:i/>
          <w:iCs/>
        </w:rPr>
        <w:t xml:space="preserve">en cours</w:t>
      </w:r>
      <w:r>
        <w:t xml:space="preserve"> </w:t>
      </w:r>
      <w:r>
        <w:t xml:space="preserve">d’essai à mesure que la pente se stabilise. Confronté aux deux essais graduels réalisés depuis (figure III.15, §III.6.5), le jumeau enregistre un test réussi et un manqué : annoncé dans sa bande, Run #21 a rompu à 13,1 h (à l’intérieur), tandis que Run #22, l’essai le plus rapide de la campagne, a rompu à 11,95 h, en deçà de la bande. Cet écart est instructif : il révèle que la bande, qui interpole entre morphologies observées, ne s’extrapole pas au-delà de l’enveloppe des donneurs.</w:t>
      </w:r>
    </w:p>
    <w:p>
      <w:pPr>
        <w:pStyle w:val="BodyText"/>
      </w:pPr>
      <w:r>
        <w:t xml:space="preserve">Ce que l’on sait faire, et comment l’améliorer. À ce stade, la chaîne sait : prédire le</w:t>
      </w:r>
      <w:r>
        <w:t xml:space="preserve"> </w:t>
      </w:r>
      <w:r>
        <w:rPr>
          <w:i/>
          <w:iCs/>
        </w:rPr>
        <w:t xml:space="preserve">CR</w:t>
      </w:r>
      <w:r>
        <w:t xml:space="preserve"> </w:t>
      </w:r>
      <w:r>
        <w:t xml:space="preserve">en continu et le situer par rapport aux régimes (OS2/OS3), estimer une durée de vie par trois voies redondantes, et déclencher un ordre de travail enrichi (OS4, §III.5). La consolidation passe par des démarches précises : (i) répéter les essais au sein d’une même morphologie (en priorité « sprint ») pour stabiliser le LORO du</w:t>
      </w:r>
      <w:r>
        <w:t xml:space="preserve"> </w:t>
      </w:r>
      <w:r>
        <w:rPr>
          <w:i/>
          <w:iCs/>
        </w:rPr>
        <w:t xml:space="preserve">CR</w:t>
      </w:r>
      <w:r>
        <w:t xml:space="preserve"> </w:t>
      </w:r>
      <w:r>
        <w:t xml:space="preserve">; (ii) élargir la bande synthétique vers les essais rapides, afin de couvrir l’enveloppe basse révélée par Run #22 ; (iii) contrôler simultanément tous les facteurs (température, concentration) ; (iv) adjoindre une validation gravimétrique indépendante du</w:t>
      </w:r>
      <w:r>
        <w:t xml:space="preserve"> </w:t>
      </w:r>
      <w:r>
        <w:rPr>
          <w:i/>
          <w:iCs/>
        </w:rPr>
        <w:t xml:space="preserve">CR</w:t>
      </w:r>
      <w:r>
        <w:t xml:space="preserve"> </w:t>
      </w:r>
      <w:r>
        <w:t xml:space="preserve">(§III.6.4). Ces axes structurent la suite de la campagne (§III.6.5).</w:t>
      </w:r>
    </w:p>
    <w:p>
      <w:r>
        <w:pict>
          <v:rect style="width:0;height:1.5pt" o:hralign="center" o:hrstd="t" o:hr="t"/>
        </w:pict>
      </w:r>
    </w:p>
    <w:bookmarkEnd w:id="147"/>
    <w:bookmarkEnd w:id="148"/>
    <w:bookmarkStart w:id="158" w:name="Xf0fc160310e0f571bbb288514d761cb1ca3a8a9"/>
    <w:p>
      <w:pPr>
        <w:pStyle w:val="Heading2"/>
      </w:pPr>
      <w:r>
        <w:t xml:space="preserve">III.4. Diagnostic des régimes et facteurs de variabilité (OS3)</w:t>
      </w:r>
    </w:p>
    <w:bookmarkStart w:id="152" w:name="X352edc20e87ce37d2d5e854c8243e637a73dec8"/>
    <w:p>
      <w:pPr>
        <w:pStyle w:val="Heading3"/>
      </w:pPr>
      <w:r>
        <w:t xml:space="preserve">III.4.1. Diagnostic des régimes de corrosion</w:t>
      </w:r>
    </w:p>
    <w:p>
      <w:pPr>
        <w:pStyle w:val="FirstParagraph"/>
      </w:pPr>
      <w:r>
        <w:t xml:space="preserve">Le module de diagnostic (§II.5.5) classe chaque instant dans l’un des régimes physiques observés : induction, croissance, emballement, pré-rupture. Appliqué aux essais, il identifie correctement la succession de ces phases sur les courbes</w:t>
      </w:r>
      <w:r>
        <w:t xml:space="preserve"> </w:t>
      </w:r>
      <w:r>
        <w:rPr>
          <w:i/>
          <w:iCs/>
        </w:rPr>
        <w:t xml:space="preserve">R</w:t>
      </w:r>
      <w:r>
        <w:t xml:space="preserve">_corr(t) (figure III.2) : une induction initiale, une croissance régulière sur la majeure partie du run, puis un emballement dans les dernières heures précédant la rupture. Cette classification par règles explicables est directement exploitée pour graduer les alertes (§II.6.4).</w:t>
      </w:r>
    </w:p>
    <w:p>
      <w:pPr>
        <w:pStyle w:val="BodyText"/>
      </w:pPr>
      <w:r>
        <w:t xml:space="preserve">Pourquoi l’emballement et la rupture sont simultanés. L’emballement final n’est pas une accélération de la</w:t>
      </w:r>
      <w:r>
        <w:t xml:space="preserve"> </w:t>
      </w:r>
      <w:r>
        <w:rPr>
          <w:i/>
          <w:iCs/>
        </w:rPr>
        <w:t xml:space="preserve">réaction</w:t>
      </w:r>
      <w:r>
        <w:t xml:space="preserve"> </w:t>
      </w:r>
      <w:r>
        <w:t xml:space="preserve">chimique, mais une divergence géométrique de la grandeur mesurée. La résistance suivant la loi de Pouillet</w:t>
      </w:r>
      <w:r>
        <w:t xml:space="preserve"> </w:t>
      </w:r>
      <m:oMath>
        <m:r>
          <m:t>R</m:t>
        </m:r>
        <m:r>
          <m:rPr>
            <m:sty m:val="p"/>
          </m:rPr>
          <m:t>=</m:t>
        </m:r>
        <m:r>
          <m:t>ρ</m:t>
        </m:r>
        <m:r>
          <m:t>L</m:t>
        </m:r>
        <m:r>
          <m:rPr>
            <m:sty m:val="p"/>
          </m:rPr>
          <m:t>/</m:t>
        </m:r>
        <m:r>
          <m:t>A</m:t>
        </m:r>
      </m:oMath>
      <w:r>
        <w:t xml:space="preserve"> </w:t>
      </w:r>
      <w:r>
        <w:t xml:space="preserve">avec une section</w:t>
      </w:r>
      <w:r>
        <w:t xml:space="preserve"> </w:t>
      </w:r>
      <m:oMath>
        <m:r>
          <m:t>A</m:t>
        </m:r>
        <m:r>
          <m:rPr>
            <m:sty m:val="p"/>
          </m:rPr>
          <m:t>=</m:t>
        </m:r>
        <m:r>
          <m:t>π</m:t>
        </m:r>
        <m:sSup>
          <m:e>
            <m:r>
              <m:t>r</m:t>
            </m:r>
          </m:e>
          <m:sup>
            <m:r>
              <m:t>2</m:t>
            </m:r>
          </m:sup>
        </m:sSup>
      </m:oMath>
      <w:r>
        <w:t xml:space="preserve">, une perte d’épaisseur à vitesse à peu près constante (</w:t>
      </w:r>
      <m:oMath>
        <m:r>
          <m:t>d</m:t>
        </m:r>
        <m:r>
          <m:t>r</m:t>
        </m:r>
        <m:r>
          <m:rPr>
            <m:sty m:val="p"/>
          </m:rPr>
          <m:t>/</m:t>
        </m:r>
        <m:r>
          <m:t>d</m:t>
        </m:r>
        <m:r>
          <m:t>t</m:t>
        </m:r>
        <m:r>
          <m:rPr>
            <m:sty m:val="p"/>
          </m:rPr>
          <m:t>≈</m:t>
        </m:r>
        <m:r>
          <m:rPr>
            <m:nor/>
            <m:sty m:val="p"/>
          </m:rPr>
          <m:t>cste</m:t>
        </m:r>
      </m:oMath>
      <w:r>
        <w:t xml:space="preserve">) entraîne :</w:t>
      </w:r>
      <w:r>
        <w:br/>
      </w:r>
    </w:p>
    <w:p>
      <w:pPr>
        <w:pStyle w:val="BodyText"/>
      </w:pPr>
      <m:oMathPara>
        <m:oMathParaPr>
          <m:jc m:val="center"/>
        </m:oMathParaPr>
        <m:oMath>
          <m:f>
            <m:fPr>
              <m:type m:val="bar"/>
            </m:fPr>
            <m:num>
              <m:r>
                <m:t>d</m:t>
              </m:r>
              <m:r>
                <m:t>R</m:t>
              </m:r>
            </m:num>
            <m:den>
              <m:r>
                <m:t>d</m:t>
              </m:r>
              <m:r>
                <m:t>t</m:t>
              </m:r>
            </m:den>
          </m:f>
          <m:r>
            <m:rPr>
              <m:sty m:val="p"/>
            </m:rPr>
            <m:t>=</m:t>
          </m:r>
          <m:r>
            <m:rPr>
              <m:sty m:val="p"/>
            </m:rPr>
            <m:t>−</m:t>
          </m:r>
          <m:f>
            <m:fPr>
              <m:type m:val="bar"/>
            </m:fPr>
            <m:num>
              <m:r>
                <m:t>2</m:t>
              </m:r>
              <m:r>
                <m:t>ρ</m:t>
              </m:r>
              <m:r>
                <m:t>L</m:t>
              </m:r>
            </m:num>
            <m:den>
              <m:r>
                <m:t>π</m:t>
              </m:r>
              <m:r>
                <m:t> </m:t>
              </m:r>
              <m:sSup>
                <m:e>
                  <m:r>
                    <m:t>r</m:t>
                  </m:r>
                </m:e>
                <m:sup>
                  <m:r>
                    <m:t>3</m:t>
                  </m:r>
                </m:sup>
              </m:sSup>
            </m:den>
          </m:f>
          <m:f>
            <m:fPr>
              <m:type m:val="bar"/>
            </m:fPr>
            <m:num>
              <m:r>
                <m:t>d</m:t>
              </m:r>
              <m:r>
                <m:t>r</m:t>
              </m:r>
            </m:num>
            <m:den>
              <m:r>
                <m:t>d</m:t>
              </m:r>
              <m:r>
                <m:t>t</m:t>
              </m:r>
            </m:den>
          </m:f>
          <m:r>
            <m:t> </m:t>
          </m:r>
          <m:r>
            <m:rPr>
              <m:sty m:val="p"/>
            </m:rPr>
            <m:t>∝</m:t>
          </m:r>
          <m:r>
            <m:t> </m:t>
          </m:r>
          <m:f>
            <m:fPr>
              <m:type m:val="bar"/>
            </m:fPr>
            <m:num>
              <m:r>
                <m:t>1</m:t>
              </m:r>
            </m:num>
            <m:den>
              <m:sSup>
                <m:e>
                  <m:r>
                    <m:t>r</m:t>
                  </m:r>
                </m:e>
                <m:sup>
                  <m:r>
                    <m:t>3</m:t>
                  </m:r>
                </m:sup>
              </m:sSup>
            </m:den>
          </m:f>
        </m:oMath>
      </m:oMathPara>
    </w:p>
    <w:p>
      <w:pPr>
        <w:pStyle w:val="FirstParagraph"/>
      </w:pPr>
      <w:r>
        <w:br/>
      </w:r>
      <w:r>
        <w:t xml:space="preserve">Plus le fil est mince, plus</w:t>
      </w:r>
      <w:r>
        <w:t xml:space="preserve"> </w:t>
      </w:r>
      <m:oMath>
        <m:r>
          <m:t>R</m:t>
        </m:r>
      </m:oMath>
      <w:r>
        <w:t xml:space="preserve"> </w:t>
      </w:r>
      <w:r>
        <w:t xml:space="preserve">croît vite, car retirer la</w:t>
      </w:r>
      <w:r>
        <w:t xml:space="preserve"> </w:t>
      </w:r>
      <w:r>
        <w:rPr>
          <w:i/>
          <w:iCs/>
        </w:rPr>
        <w:t xml:space="preserve">même</w:t>
      </w:r>
      <w:r>
        <w:t xml:space="preserve"> </w:t>
      </w:r>
      <w:r>
        <w:t xml:space="preserve">épaisseur ôte une</w:t>
      </w:r>
      <w:r>
        <w:t xml:space="preserve"> </w:t>
      </w:r>
      <w:r>
        <w:rPr>
          <w:i/>
          <w:iCs/>
        </w:rPr>
        <w:t xml:space="preserve">fraction</w:t>
      </w:r>
      <w:r>
        <w:t xml:space="preserve"> </w:t>
      </w:r>
      <w:r>
        <w:t xml:space="preserve">de section de plus en plus grande. C’est pourquoi la rupture mécanique coïncide avec le début de l’emballement : « section qui tend vers zéro » signifie à la fois l’explosion de</w:t>
      </w:r>
      <w:r>
        <w:t xml:space="preserve"> </w:t>
      </w:r>
      <m:oMath>
        <m:r>
          <m:t>R</m:t>
        </m:r>
      </m:oMath>
      <w:r>
        <w:t xml:space="preserve"> </w:t>
      </w:r>
      <w:r>
        <w:t xml:space="preserve">et la perte de tenue mécanique, deux manifestations du même événement, ce qui rejoint l’observation visuelle faite en cours d’essai. La figure III.8 l’illustre sur un essai propre (Run #1) :</w:t>
      </w:r>
      <w:r>
        <w:t xml:space="preserve"> </w:t>
      </w:r>
      <m:oMath>
        <m:r>
          <m:t>R</m:t>
        </m:r>
      </m:oMath>
      <w:r>
        <w:t xml:space="preserve"> </w:t>
      </w:r>
      <w:r>
        <w:t xml:space="preserve">reste quasi plate tant que le fil est épais, puis diverge dans la dernière phase, où la section résiduelle tombe à ~1 %. Le fait que le signal continue de croître alors que le fil est presque entièrement aminci, voire rompu, s’explique par la conduction résiduelle discutée en §III.6.4 (pont électrolytique du HCl et dernier filament métallique), jusqu’à l’ouverture franche du circuit (saturation).</w:t>
      </w:r>
    </w:p>
    <w:p>
      <w:pPr>
        <w:pStyle w:val="CaptionedFigure"/>
        <w:jc w:val="center"/>
      </w:pPr>
      <w:r>
        <w:drawing>
          <wp:inline>
            <wp:extent cx="4571746" cy="2759833"/>
            <wp:effectExtent b="0" l="0" r="0" t="0"/>
            <wp:docPr descr="Figure III.8 — Emballement géométrique de R en fin d’essai et rupture par disparition de la section (Run #1, échelle log)" title="" id="150" name="Picture"/>
            <a:graphic>
              <a:graphicData uri="http://schemas.openxmlformats.org/drawingml/2006/picture">
                <pic:pic>
                  <pic:nvPicPr>
                    <pic:cNvPr descr="figures/fig_iii4_emballement.png" id="151" name="Picture"/>
                    <pic:cNvPicPr>
                      <a:picLocks noChangeArrowheads="1" noChangeAspect="1"/>
                    </pic:cNvPicPr>
                  </pic:nvPicPr>
                  <pic:blipFill>
                    <a:blip r:embed="rId149"/>
                    <a:stretch>
                      <a:fillRect/>
                    </a:stretch>
                  </pic:blipFill>
                  <pic:spPr bwMode="auto">
                    <a:xfrm>
                      <a:off x="0" y="0"/>
                      <a:ext cx="4571746" cy="2759833"/>
                    </a:xfrm>
                    <a:prstGeom prst="rect">
                      <a:avLst/>
                    </a:prstGeom>
                    <a:noFill/>
                    <a:ln w="9525">
                      <a:noFill/>
                      <a:headEnd/>
                      <a:tailEnd/>
                    </a:ln>
                  </pic:spPr>
                </pic:pic>
              </a:graphicData>
            </a:graphic>
          </wp:inline>
        </w:drawing>
      </w:r>
    </w:p>
    <w:p>
      <w:pPr>
        <w:pStyle w:val="ImageCaption"/>
      </w:pPr>
      <w:r>
        <w:t xml:space="preserve">Figure III.8 — Emballement géométrique de R en fin d’essai et rupture par disparition de la section (Run #1, échelle log)</w:t>
      </w:r>
    </w:p>
    <w:bookmarkEnd w:id="152"/>
    <w:bookmarkStart w:id="156" w:name="Xbb7bd125d613bb113174252f54849e4a7398ad4"/>
    <w:p>
      <w:pPr>
        <w:pStyle w:val="Heading3"/>
      </w:pPr>
      <w:r>
        <w:t xml:space="preserve">III.4.2. Facteurs de variabilité : deux contre-exemples instructifs</w:t>
      </w:r>
    </w:p>
    <w:p>
      <w:pPr>
        <w:pStyle w:val="FirstParagraph"/>
      </w:pPr>
      <w:r>
        <w:t xml:space="preserve">Au-delà de la température, deux essais se sont révélés imprédictibles par le modèle malgré une plage thermique a priori couverte. Leur analyse, loin d’être un échec, isole expérimentalement deux facteurs de variabilité qu’il faut contrôler. Cette démarche relève du contrôle des variables propre au plan d’expériences (Montgomery, 2017) : en ne laissant dériver qu’un seul facteur à la fois, chaque contre-exemple en isole l’effet, ce qui fonde la stratégie de « vitrine 30 °C » (conditions maîtrisées et répétées) opposée aux contre-exemples.</w:t>
      </w:r>
    </w:p>
    <w:p>
      <w:pPr>
        <w:pStyle w:val="BodyText"/>
      </w:pPr>
      <w:r>
        <w:t xml:space="preserve">La figure III.9 confronte la courbe d’un essai propre (Run #16) à celles de ces deux contre-exemples.</w:t>
      </w:r>
    </w:p>
    <w:p>
      <w:pPr>
        <w:pStyle w:val="CaptionedFigure"/>
        <w:jc w:val="center"/>
      </w:pPr>
      <w:r>
        <w:drawing>
          <wp:inline>
            <wp:extent cx="4739005" cy="2499070"/>
            <wp:effectExtent b="0" l="0" r="0" t="0"/>
            <wp:docPr descr="Figure III.9 — Vitrine 30 °C vs contre-exemples" title="" id="154" name="Picture"/>
            <a:graphic>
              <a:graphicData uri="http://schemas.openxmlformats.org/drawingml/2006/picture">
                <pic:pic>
                  <pic:nvPicPr>
                    <pic:cNvPr descr="figures/fig_iii4_contrexemples.png" id="155" name="Picture"/>
                    <pic:cNvPicPr>
                      <a:picLocks noChangeArrowheads="1" noChangeAspect="1"/>
                    </pic:cNvPicPr>
                  </pic:nvPicPr>
                  <pic:blipFill>
                    <a:blip r:embed="rId153"/>
                    <a:stretch>
                      <a:fillRect/>
                    </a:stretch>
                  </pic:blipFill>
                  <pic:spPr bwMode="auto">
                    <a:xfrm>
                      <a:off x="0" y="0"/>
                      <a:ext cx="4739005" cy="2499070"/>
                    </a:xfrm>
                    <a:prstGeom prst="rect">
                      <a:avLst/>
                    </a:prstGeom>
                    <a:noFill/>
                    <a:ln w="9525">
                      <a:noFill/>
                      <a:headEnd/>
                      <a:tailEnd/>
                    </a:ln>
                  </pic:spPr>
                </pic:pic>
              </a:graphicData>
            </a:graphic>
          </wp:inline>
        </w:drawing>
      </w:r>
    </w:p>
    <w:p>
      <w:pPr>
        <w:pStyle w:val="ImageCaption"/>
      </w:pPr>
      <w:r>
        <w:t xml:space="preserve">Figure III.9 — Vitrine 30 °C vs contre-exemples</w:t>
      </w:r>
    </w:p>
    <w:p>
      <w:pPr>
        <w:pStyle w:val="TableCaption"/>
        <w:jc w:val="center"/>
      </w:pPr>
      <w:r>
        <w:t xml:space="preserve">Tableau III.4 — Les deux facteurs de variabilité identifiés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shd w:val="clear" w:color="auto" w:fill="EFEFEF"/>
          </w:tcPr>
          <w:p>
            <w:pPr>
              <w:pStyle w:val="Compact"/>
            </w:pPr>
            <w:r>
              <w:t xml:space="preserve">Essai</w:t>
            </w:r>
          </w:p>
        </w:tc>
        <w:tc>
          <w:tcPr>
            <w:shd w:val="clear" w:color="auto" w:fill="EFEFEF"/>
          </w:tcPr>
          <w:p>
            <w:pPr>
              <w:pStyle w:val="Compact"/>
            </w:pPr>
            <w:r>
              <w:t xml:space="preserve">Facteur dégradé</w:t>
            </w:r>
          </w:p>
        </w:tc>
        <w:tc>
          <w:tcPr>
            <w:shd w:val="clear" w:color="auto" w:fill="EFEFEF"/>
          </w:tcPr>
          <w:p>
            <w:pPr>
              <w:pStyle w:val="Compact"/>
            </w:pPr>
            <w:r>
              <w:t xml:space="preserve">Température</w:t>
            </w:r>
          </w:p>
        </w:tc>
        <w:tc>
          <w:tcPr>
            <w:shd w:val="clear" w:color="auto" w:fill="EFEFEF"/>
          </w:tcPr>
          <w:p>
            <w:pPr>
              <w:pStyle w:val="Compact"/>
            </w:pPr>
            <w:r>
              <w:t xml:space="preserve">Effet observé</w:t>
            </w:r>
          </w:p>
        </w:tc>
        <w:tc>
          <w:tcPr>
            <w:shd w:val="clear" w:color="auto" w:fill="EFEFEF"/>
          </w:tcPr>
          <w:p>
            <w:pPr>
              <w:pStyle w:val="Compact"/>
            </w:pPr>
            <w:r>
              <w:t xml:space="preserve">R² en test</w:t>
            </w:r>
          </w:p>
        </w:tc>
      </w:tr>
      <w:tr>
        <w:tc>
          <w:tcPr/>
          <w:p>
            <w:pPr>
              <w:pStyle w:val="Compact"/>
            </w:pPr>
            <w:r>
              <w:t xml:space="preserve">Run #15</w:t>
            </w:r>
          </w:p>
        </w:tc>
        <w:tc>
          <w:tcPr/>
          <w:p>
            <w:pPr>
              <w:pStyle w:val="Compact"/>
            </w:pPr>
            <w:r>
              <w:t xml:space="preserve">Régulation thermique (dérive 31 → 28 °C)</w:t>
            </w:r>
          </w:p>
        </w:tc>
        <w:tc>
          <w:tcPr/>
          <w:p>
            <w:pPr>
              <w:pStyle w:val="Compact"/>
            </w:pPr>
            <w:r>
              <w:t xml:space="preserve">instable (σ = 0,96 °C)</w:t>
            </w:r>
          </w:p>
        </w:tc>
        <w:tc>
          <w:tcPr/>
          <w:p>
            <w:pPr>
              <w:pStyle w:val="Compact"/>
            </w:pPr>
            <w:r>
              <w:t xml:space="preserve">cinétique incohérente</w:t>
            </w:r>
          </w:p>
        </w:tc>
        <w:tc>
          <w:tcPr/>
          <w:p>
            <w:pPr>
              <w:pStyle w:val="Compact"/>
            </w:pPr>
            <w:r>
              <w:t xml:space="preserve">≪ 0</w:t>
            </w:r>
          </w:p>
        </w:tc>
      </w:tr>
      <w:tr>
        <w:tc>
          <w:tcPr/>
          <w:p>
            <w:pPr>
              <w:pStyle w:val="Compact"/>
            </w:pPr>
            <w:r>
              <w:t xml:space="preserve">Run #17</w:t>
            </w:r>
          </w:p>
        </w:tc>
        <w:tc>
          <w:tcPr/>
          <w:p>
            <w:pPr>
              <w:pStyle w:val="Compact"/>
            </w:pPr>
            <w:r>
              <w:t xml:space="preserve">Concentration d’acide (HCl évaporé, acide exposé &gt; 1 h à l’air avant immersion)</w:t>
            </w:r>
          </w:p>
        </w:tc>
        <w:tc>
          <w:tcPr/>
          <w:p>
            <w:pPr>
              <w:pStyle w:val="Compact"/>
            </w:pPr>
            <w:r>
              <w:t xml:space="preserve">parfaite (σ = 0,55 °C)</w:t>
            </w:r>
          </w:p>
        </w:tc>
        <w:tc>
          <w:tcPr/>
          <w:p>
            <w:pPr>
              <w:pStyle w:val="Compact"/>
            </w:pPr>
            <w:r>
              <w:t xml:space="preserve">corrosion ~2× plus lente</w:t>
            </w:r>
          </w:p>
        </w:tc>
        <w:tc>
          <w:tcPr/>
          <w:p>
            <w:pPr>
              <w:pStyle w:val="Compact"/>
            </w:pPr>
            <w:r>
              <w:t xml:space="preserve">≪ 0</w:t>
            </w:r>
          </w:p>
        </w:tc>
      </w:tr>
    </w:tbl>
    <w:p>
      <w:pPr>
        <w:pStyle w:val="BodyText"/>
      </w:pPr>
      <w:r>
        <w:t xml:space="preserve">Le cas de Run #17 est particulièrement parlant : sa température était parfaitement régulée, mais l’acide, laissé exposé à l’air avant immersion, avait perdu une partie de sa concentration par volatilisation du HCl, ralentissant la corrosion et rendant l’essai non comparable aux autres. La vérification que le filtrage des points froids ne « répare » pas Run #15 confirme qu’un essai dont une condition a dérivé est irrécupérable par post-traitement.</w:t>
      </w:r>
    </w:p>
    <w:p>
      <w:pPr>
        <w:pStyle w:val="BodyText"/>
      </w:pPr>
      <w:r>
        <w:t xml:space="preserve">Conclusion de l’OS3 : la fiabilité de la prédiction exige la maîtrise simultanée de tous les facteurs expérimentaux, non seulement la couverture thermique (§III.3), mais aussi la qualité de régulation (Run #15) et la constance de la concentration (Run #17). À cela s’ajoute, même à conditions maîtrisées, une variabilité intrinsèque de morphologie : certains essais corrodent de façon graduelle (Run #1), d’autres après une phase d’induction suivie d’un emballement (Run #12, #16), facteur supplémentaire que seule la répétition permettra de caractériser. Ce constat justifie le protocole acide corrigé (§II.6.3) et le plan d’essais répétés.</w:t>
      </w:r>
    </w:p>
    <w:bookmarkEnd w:id="156"/>
    <w:bookmarkStart w:id="157" w:name="iii.4.3.-calibration-des-seuils-dalerte"/>
    <w:p>
      <w:pPr>
        <w:pStyle w:val="Heading3"/>
      </w:pPr>
      <w:r>
        <w:t xml:space="preserve">III.4.3. Calibration des seuils d’alerte</w:t>
      </w:r>
    </w:p>
    <w:p>
      <w:pPr>
        <w:pStyle w:val="FirstParagraph"/>
      </w:pPr>
      <w:r>
        <w:t xml:space="preserve">Les seuils d’alerte (tableau II.9) sont fixés à partir des distributions de CR et de RUL observées sur les essais de référence. La calibration définitive sera affinée lorsque la couverture thermique sera complétée.</w:t>
      </w:r>
    </w:p>
    <w:p>
      <w:r>
        <w:pict>
          <v:rect style="width:0;height:1.5pt" o:hralign="center" o:hrstd="t" o:hr="t"/>
        </w:pict>
      </w:r>
    </w:p>
    <w:bookmarkEnd w:id="157"/>
    <w:bookmarkEnd w:id="158"/>
    <w:bookmarkStart w:id="173" w:name="Xb09493a01bd5c0a7105ec7c90c1b4c54ff82079"/>
    <w:p>
      <w:pPr>
        <w:pStyle w:val="Heading2"/>
      </w:pPr>
      <w:r>
        <w:t xml:space="preserve">III.5. Boucle décision → action : module GMAO maison — démonstration (OS4)</w:t>
      </w:r>
    </w:p>
    <w:p>
      <w:pPr>
        <w:pStyle w:val="FirstParagraph"/>
      </w:pPr>
      <w:r>
        <w:t xml:space="preserve">La boucle décision → action est structurée par un module GMAO maison intégré à l’application, dont l’architecture est transposable à un CMMS open-source (§II.7.1). Cette section présente l’état de la démonstration à ce stade.</w:t>
      </w:r>
    </w:p>
    <w:bookmarkStart w:id="168" w:name="iii.5.1.-écran-de-supervision-temps-réel"/>
    <w:p>
      <w:pPr>
        <w:pStyle w:val="Heading3"/>
      </w:pPr>
      <w:r>
        <w:t xml:space="preserve">III.5.1. Écran de supervision temps réel</w:t>
      </w:r>
    </w:p>
    <w:p>
      <w:pPr>
        <w:pStyle w:val="FirstParagraph"/>
      </w:pPr>
      <w:r>
        <w:t xml:space="preserve">Une application web de supervision a été développée (Streamlit). Elle se connecte en temps réel à la base Supabase et affiche, par essai, la résistance compensée, la température, le taux de corrosion et l’état de l’acquisition, dans une interface de type salle de contrôle. Elle détecte automatiquement un run actif et s’actualise en continu.</w:t>
      </w:r>
    </w:p>
    <w:p>
      <w:pPr>
        <w:pStyle w:val="BodyText"/>
      </w:pPr>
      <w:r>
        <w:t xml:space="preserve">La page Synoptique (figure III.10) donne une vue d’ensemble de la chaîne, sonde ER → ESP32 → Wi-Fi → Supabase → pipeline → XGBoost → supervision, assortie des indicateurs de campagne (nombre d’essais, mesures, heures d’acquisition) et du registre des essais. La page Supervision Run restitue, pour un essai sélectionné, le replay de la résistance compensée</w:t>
      </w:r>
      <w:r>
        <w:t xml:space="preserve"> </w:t>
      </w:r>
      <w:r>
        <w:rPr>
          <w:i/>
          <w:iCs/>
        </w:rPr>
        <w:t xml:space="preserve">R</w:t>
      </w:r>
      <w:r>
        <w:t xml:space="preserve">(t) et de la température, avec les grandeurs clés, durée de vie,</w:t>
      </w:r>
      <w:r>
        <w:t xml:space="preserve"> </w:t>
      </w:r>
      <w:r>
        <w:rPr>
          <w:i/>
          <w:iCs/>
        </w:rPr>
        <w:t xml:space="preserve">R</w:t>
      </w:r>
      <w:r>
        <w:t xml:space="preserve"> </w:t>
      </w:r>
      <w:r>
        <w:t xml:space="preserve">initiale/finale, température moyenne (figure III.11), ainsi que le taux de corrosion instantané</w:t>
      </w:r>
      <w:r>
        <w:t xml:space="preserve"> </w:t>
      </w:r>
      <w:r>
        <w:rPr>
          <w:i/>
          <w:iCs/>
        </w:rPr>
        <w:t xml:space="preserve">CR</w:t>
      </w:r>
      <w:r>
        <w:t xml:space="preserve">(t) et l’état final de dégradation (section perdue,</w:t>
      </w:r>
      <w:r>
        <w:t xml:space="preserve"> </w:t>
      </w:r>
      <w:r>
        <w:rPr>
          <w:i/>
          <w:iCs/>
        </w:rPr>
        <w:t xml:space="preserve">CR</w:t>
      </w:r>
      <w:r>
        <w:t xml:space="preserve">) sous forme de jauges (figure III.12).</w:t>
      </w:r>
    </w:p>
    <w:p>
      <w:pPr>
        <w:pStyle w:val="CaptionedFigure"/>
        <w:jc w:val="center"/>
      </w:pPr>
      <w:r>
        <w:drawing>
          <wp:inline>
            <wp:extent cx="5129276" cy="2267041"/>
            <wp:effectExtent b="0" l="0" r="0" t="0"/>
            <wp:docPr descr="Figure III.10 — Écran de supervision : synoptique de la chaîne, indicateurs de campagne et registre des essais" title="" id="160" name="Picture"/>
            <a:graphic>
              <a:graphicData uri="http://schemas.openxmlformats.org/drawingml/2006/picture">
                <pic:pic>
                  <pic:nvPicPr>
                    <pic:cNvPr descr="figures/fig_iii5_synoptique.png" id="161" name="Picture"/>
                    <pic:cNvPicPr>
                      <a:picLocks noChangeArrowheads="1" noChangeAspect="1"/>
                    </pic:cNvPicPr>
                  </pic:nvPicPr>
                  <pic:blipFill>
                    <a:blip r:embed="rId159"/>
                    <a:stretch>
                      <a:fillRect/>
                    </a:stretch>
                  </pic:blipFill>
                  <pic:spPr bwMode="auto">
                    <a:xfrm>
                      <a:off x="0" y="0"/>
                      <a:ext cx="5129276" cy="2267041"/>
                    </a:xfrm>
                    <a:prstGeom prst="rect">
                      <a:avLst/>
                    </a:prstGeom>
                    <a:noFill/>
                    <a:ln w="9525">
                      <a:noFill/>
                      <a:headEnd/>
                      <a:tailEnd/>
                    </a:ln>
                  </pic:spPr>
                </pic:pic>
              </a:graphicData>
            </a:graphic>
          </wp:inline>
        </w:drawing>
      </w:r>
    </w:p>
    <w:p>
      <w:pPr>
        <w:pStyle w:val="ImageCaption"/>
      </w:pPr>
      <w:r>
        <w:t xml:space="preserve">Figure III.10 — Écran de supervision : synoptique de la chaîne, indicateurs de campagne et registre des essais</w:t>
      </w:r>
    </w:p>
    <w:p>
      <w:pPr>
        <w:pStyle w:val="CaptionedFigure"/>
        <w:jc w:val="center"/>
      </w:pPr>
      <w:r>
        <w:drawing>
          <wp:inline>
            <wp:extent cx="5129276" cy="2328075"/>
            <wp:effectExtent b="0" l="0" r="0" t="0"/>
            <wp:docPr descr="Figure III.11 — Écran de supervision : analyse détaillée d’un essai — replay de la résistance compensée R(t) et de la température (Run #1)" title="" id="163" name="Picture"/>
            <a:graphic>
              <a:graphicData uri="http://schemas.openxmlformats.org/drawingml/2006/picture">
                <pic:pic>
                  <pic:nvPicPr>
                    <pic:cNvPr descr="figures/fig_iii5_supervision_run.png" id="164" name="Picture"/>
                    <pic:cNvPicPr>
                      <a:picLocks noChangeArrowheads="1" noChangeAspect="1"/>
                    </pic:cNvPicPr>
                  </pic:nvPicPr>
                  <pic:blipFill>
                    <a:blip r:embed="rId162"/>
                    <a:stretch>
                      <a:fillRect/>
                    </a:stretch>
                  </pic:blipFill>
                  <pic:spPr bwMode="auto">
                    <a:xfrm>
                      <a:off x="0" y="0"/>
                      <a:ext cx="5129276" cy="2328075"/>
                    </a:xfrm>
                    <a:prstGeom prst="rect">
                      <a:avLst/>
                    </a:prstGeom>
                    <a:noFill/>
                    <a:ln w="9525">
                      <a:noFill/>
                      <a:headEnd/>
                      <a:tailEnd/>
                    </a:ln>
                  </pic:spPr>
                </pic:pic>
              </a:graphicData>
            </a:graphic>
          </wp:inline>
        </w:drawing>
      </w:r>
    </w:p>
    <w:p>
      <w:pPr>
        <w:pStyle w:val="ImageCaption"/>
      </w:pPr>
      <w:r>
        <w:t xml:space="preserve">Figure III.11 — Écran de supervision : analyse détaillée d’un essai — replay de la résistance compensée R(t) et de la température (Run #1)</w:t>
      </w:r>
    </w:p>
    <w:p>
      <w:pPr>
        <w:pStyle w:val="CaptionedFigure"/>
        <w:jc w:val="center"/>
      </w:pPr>
      <w:r>
        <w:drawing>
          <wp:inline>
            <wp:extent cx="5129276" cy="1445659"/>
            <wp:effectExtent b="0" l="0" r="0" t="0"/>
            <wp:docPr descr="Figure III.12 — Écran de supervision : taux de corrosion CR(t) et état final de dégradation (section perdue, CR) en jauges (Run #1)" title="" id="166" name="Picture"/>
            <a:graphic>
              <a:graphicData uri="http://schemas.openxmlformats.org/drawingml/2006/picture">
                <pic:pic>
                  <pic:nvPicPr>
                    <pic:cNvPr descr="figures/fig_iii5_cr_etat.png" id="167" name="Picture"/>
                    <pic:cNvPicPr>
                      <a:picLocks noChangeArrowheads="1" noChangeAspect="1"/>
                    </pic:cNvPicPr>
                  </pic:nvPicPr>
                  <pic:blipFill>
                    <a:blip r:embed="rId165"/>
                    <a:stretch>
                      <a:fillRect/>
                    </a:stretch>
                  </pic:blipFill>
                  <pic:spPr bwMode="auto">
                    <a:xfrm>
                      <a:off x="0" y="0"/>
                      <a:ext cx="5129276" cy="1445659"/>
                    </a:xfrm>
                    <a:prstGeom prst="rect">
                      <a:avLst/>
                    </a:prstGeom>
                    <a:noFill/>
                    <a:ln w="9525">
                      <a:noFill/>
                      <a:headEnd/>
                      <a:tailEnd/>
                    </a:ln>
                  </pic:spPr>
                </pic:pic>
              </a:graphicData>
            </a:graphic>
          </wp:inline>
        </w:drawing>
      </w:r>
    </w:p>
    <w:p>
      <w:pPr>
        <w:pStyle w:val="ImageCaption"/>
      </w:pPr>
      <w:r>
        <w:t xml:space="preserve">Figure III.12 — Écran de supervision : taux de corrosion CR(t) et état final de dégradation (section perdue, CR) en jauges (Run #1)</w:t>
      </w:r>
    </w:p>
    <w:bookmarkEnd w:id="168"/>
    <w:bookmarkStart w:id="172" w:name="X58bfb2439e119d7dddd15b2923e61316fba5e9a"/>
    <w:p>
      <w:pPr>
        <w:pStyle w:val="Heading3"/>
      </w:pPr>
      <w:r>
        <w:t xml:space="preserve">III.5.2. Module GMAO maison : génération d’ordres de travail et KPIs</w:t>
      </w:r>
    </w:p>
    <w:p>
      <w:pPr>
        <w:pStyle w:val="FirstParagraph"/>
      </w:pPr>
      <w:r>
        <w:t xml:space="preserve">Un module de gestion des ordres de travail (GMAO maison) a été développé : il persiste les OT dans une table dédiée (</w:t>
      </w:r>
      <w:r>
        <w:rPr>
          <w:rStyle w:val="VerbatimChar"/>
        </w:rPr>
        <w:t xml:space="preserve">cr_work_orders</w:t>
      </w:r>
      <w:r>
        <w:t xml:space="preserve">, Supabase) et expose une page « Ordres de travail » dans l’application (création, assignation, clôture ; figure III.13). À chaque dépassement de seuil, une alerte génère automatiquement un ordre de travail enrichi (CR, RUL, régime diagnostiqué, section perdue), avec déduplication (un OT ouvert par run et par niveau). Le mapping prédiction → OT (§II.7.5) est défini de façon générique : les mêmes champs se reporteraient sur un CMMS open-source exposant une API, transposition restée au stade de spécification (non déployée), l’accès API des solutions gratuites étant restreint. Les KPIs de maintenance (MTBF, MTTR, disponibilité, taux de fausses alertes) sont calculés à partir de l’historique des OT. Toute la chaîne reste à ce stade interne à Streamlit/Supabase : aucun appel n’est émis vers un CMMS externe.</w:t>
      </w:r>
    </w:p>
    <w:p>
      <w:pPr>
        <w:pStyle w:val="CaptionedFigure"/>
        <w:jc w:val="center"/>
      </w:pPr>
      <w:r>
        <w:drawing>
          <wp:inline>
            <wp:extent cx="5129276" cy="2097995"/>
            <wp:effectExtent b="0" l="0" r="0" t="0"/>
            <wp:docPr descr="Figure III.13 — Module GMAO maison : ordres de travail générés automatiquement à partir des alertes prédictives (niveau, CR, RUL, section perdue, action recommandée)" title="" id="170" name="Picture"/>
            <a:graphic>
              <a:graphicData uri="http://schemas.openxmlformats.org/drawingml/2006/picture">
                <pic:pic>
                  <pic:nvPicPr>
                    <pic:cNvPr descr="figures/fig_iii5_gmao.png" id="171" name="Picture"/>
                    <pic:cNvPicPr>
                      <a:picLocks noChangeArrowheads="1" noChangeAspect="1"/>
                    </pic:cNvPicPr>
                  </pic:nvPicPr>
                  <pic:blipFill>
                    <a:blip r:embed="rId169"/>
                    <a:stretch>
                      <a:fillRect/>
                    </a:stretch>
                  </pic:blipFill>
                  <pic:spPr bwMode="auto">
                    <a:xfrm>
                      <a:off x="0" y="0"/>
                      <a:ext cx="5129276" cy="2097995"/>
                    </a:xfrm>
                    <a:prstGeom prst="rect">
                      <a:avLst/>
                    </a:prstGeom>
                    <a:noFill/>
                    <a:ln w="9525">
                      <a:noFill/>
                      <a:headEnd/>
                      <a:tailEnd/>
                    </a:ln>
                  </pic:spPr>
                </pic:pic>
              </a:graphicData>
            </a:graphic>
          </wp:inline>
        </w:drawing>
      </w:r>
    </w:p>
    <w:p>
      <w:pPr>
        <w:pStyle w:val="ImageCaption"/>
      </w:pPr>
      <w:r>
        <w:t xml:space="preserve">Figure III.13 — Module GMAO maison : ordres de travail générés automatiquement à partir des alertes prédictives (niveau, CR, RUL, section perdue, action recommandée)</w:t>
      </w:r>
    </w:p>
    <w:p>
      <w:pPr>
        <w:pStyle w:val="BlockText"/>
      </w:pPr>
      <w:r>
        <w:t xml:space="preserve">État d’avancement. L’écran de supervision et le module GMAO maison (génération/clôture d’OT, KPIs) sont opérationnels et démontrent la boucle Sonde → ML → OT de bout en bout. L’intégration à un CMMS open-source mature (GLPI) reste au stade de spécification transposable. Les KPIs n’auront de valeur statistique que sur un volume d’essais et d’interventions plus important, ils constituent à ce stade une démonstration de la chaîne de calcul.</w:t>
      </w:r>
    </w:p>
    <w:p>
      <w:r>
        <w:pict>
          <v:rect style="width:0;height:1.5pt" o:hralign="center" o:hrstd="t" o:hr="t"/>
        </w:pict>
      </w:r>
    </w:p>
    <w:bookmarkEnd w:id="172"/>
    <w:bookmarkEnd w:id="173"/>
    <w:bookmarkStart w:id="185" w:name="iii.6.-discussions"/>
    <w:p>
      <w:pPr>
        <w:pStyle w:val="Heading2"/>
      </w:pPr>
      <w:r>
        <w:t xml:space="preserve">III.6. Discussions</w:t>
      </w:r>
    </w:p>
    <w:bookmarkStart w:id="174" w:name="Xf68fd1ddeba738769848465616783f4a3e28b38"/>
    <w:p>
      <w:pPr>
        <w:pStyle w:val="Heading3"/>
      </w:pPr>
      <w:r>
        <w:t xml:space="preserve">III.6.1. Le prototype low-cost face aux sondes commerciales (I3.0 → I4.0)</w:t>
      </w:r>
    </w:p>
    <w:p>
      <w:pPr>
        <w:pStyle w:val="FirstParagraph"/>
      </w:pPr>
      <w:r>
        <w:t xml:space="preserve">Les sondes ER commerciales (Cosasco, Emerson Roxar, Permasense) offrent une résolution et un durcissement industriels supérieurs, mais restent coûteuses et exploitées à un niveau Industrie 3.0 (seuils fixes, analyse silotée). Le prototype développé ici, à partir de composants accessibles localement, démontre qu’une couche prédictive (I4.0) peut être ajoutée pour un coût marginal : il ne s’agit pas de remplacer les sondes commerciales mais de brancher en aval une chaîne ML, saut essentiellement logiciel.</w:t>
      </w:r>
    </w:p>
    <w:bookmarkEnd w:id="174"/>
    <w:bookmarkStart w:id="175" w:name="X5224df022dd07f7852ef1724ca928ea18bf1556"/>
    <w:p>
      <w:pPr>
        <w:pStyle w:val="Heading3"/>
      </w:pPr>
      <w:r>
        <w:t xml:space="preserve">III.6.2. Performance du modèle — confrontation à la littérature</w:t>
      </w:r>
    </w:p>
    <w:p>
      <w:pPr>
        <w:pStyle w:val="FirstParagraph"/>
      </w:pPr>
      <w:r>
        <w:t xml:space="preserve">La littérature rapporte d’excellentes performances pour les modèles ML de prédiction du taux de corrosion sur de grands jeux de données homogènes (Wei et al., 2024 ; Kuang et Long, 2024 ; Hu et al., 2024, avec des R² &gt; 0,96). Les résultats obtenus, plus modestes en valeur absolue, s’expliquent par un nombre d’essais réduit et, surtout, par le caractère inter-essais de la validation (LORO), bien plus exigeante qu’une validation intra-jeu. Le résultat marquant n’est pas tant la valeur du R² que sa structure : positif là où les conditions sont couvertes et répétées, négatif sinon. Cette lecture, rarement explicitée dans la littérature, constitue l’apport méthodologique de ce travail.</w:t>
      </w:r>
    </w:p>
    <w:bookmarkEnd w:id="175"/>
    <w:bookmarkStart w:id="176" w:name="X1abad3fb650abc5a9d79a3b29b6be42c791f531"/>
    <w:p>
      <w:pPr>
        <w:pStyle w:val="Heading3"/>
      </w:pPr>
      <w:r>
        <w:t xml:space="preserve">III.6.3. Apport d’une boucle GMAO légère et transposable</w:t>
      </w:r>
    </w:p>
    <w:p>
      <w:pPr>
        <w:pStyle w:val="FirstParagraph"/>
      </w:pPr>
      <w:r>
        <w:t xml:space="preserve">Structurer la boucle décision → action par un module GMAO maison léger, transposable à un CMMS open-source (GLPI) plutôt que par une suite propriétaire, offre un coût total de possession très faible (de l’ordre de quelques dizaines de dollars, contre 50–250 k USD pour SAP PM ou IBM Maximo), ouvrant la maintenance structurée aux PME industrielles africaines. Cette approche reste compatible avec un déploiement on-premise, exigé par les contraintes de sécurité industrielle (cas COTCO).</w:t>
      </w:r>
    </w:p>
    <w:bookmarkEnd w:id="176"/>
    <w:bookmarkStart w:id="177" w:name="iii.6.4.-limites-du-travail"/>
    <w:p>
      <w:pPr>
        <w:pStyle w:val="Heading3"/>
      </w:pPr>
      <w:r>
        <w:t xml:space="preserve">III.6.4. Limites du travail</w:t>
      </w:r>
    </w:p>
    <w:p>
      <w:pPr>
        <w:pStyle w:val="FirstParagraph"/>
      </w:pPr>
      <w:r>
        <w:t xml:space="preserve">Limites matérielles : le fil de fer utilisé n’est pas le matériau des pipelines COTCO (acier API 5L). Les valeurs absolues de</w:t>
      </w:r>
      <w:r>
        <w:t xml:space="preserve"> </w:t>
      </w:r>
      <w:r>
        <w:rPr>
          <w:i/>
          <w:iCs/>
        </w:rPr>
        <w:t xml:space="preserve">CR</w:t>
      </w:r>
      <w:r>
        <w:t xml:space="preserve"> </w:t>
      </w:r>
      <w:r>
        <w:t xml:space="preserve">ne sont pas directement transposables, limitation assumée dans une preuve de concept visant à valider la chaîne et la méthode. Par ailleurs, en HCl concentré, l’électrolyte conducteur shunte partiellement la mesure ER (un courant parasite circule dans la solution en parallèle du fil), ce qui plafonne la résistance mesurable et peut masquer la rupture des fils épais ; ce phénomène physique impose l’emploi d’un fil fin (Ø ≈ 1,15 mm), qui rompt sous le plafond de mesure et rend l’événement de défaillance observable. Ce même couplage explique le comportement post-rupture : une fois le fil sectionné, le courant continue de transiter par l’électrolyte (et un éventuel dernier filament métallique), si bien que la résistance apparente reste élevée et croissante jusqu’à l’ouverture franche du circuit. La portion terminale du signal</w:t>
      </w:r>
      <w:r>
        <w:t xml:space="preserve"> </w:t>
      </w:r>
      <w:r>
        <w:rPr>
          <w:i/>
          <w:iCs/>
        </w:rPr>
        <w:t xml:space="preserve">R</w:t>
      </w:r>
      <w:r>
        <w:t xml:space="preserve">(t) relève donc d’une conduction électrolytique, non métallique : elle ne traduit plus l’état du fil et est, à ce titre, tronquée au seuil de saturation (</w:t>
      </w:r>
      <w:r>
        <w:rPr>
          <w:rStyle w:val="VerbatimChar"/>
        </w:rPr>
        <w:t xml:space="preserve">rx &gt; 100 Ω</w:t>
      </w:r>
      <w:r>
        <w:t xml:space="preserve">) puis exclue de l’apprentissage (§II.4.4). Cette limitation, propre aux sondes ER en milieu très conducteur, est documentée dans la littérature de la mesure de corrosion (Roberge, 2008 ; Mansfeld, 2014).</w:t>
      </w:r>
    </w:p>
    <w:p>
      <w:pPr>
        <w:pStyle w:val="BodyText"/>
      </w:pPr>
      <w:r>
        <w:t xml:space="preserve">Limites du jeu de données : le nombre d’essais exploités à ce stade reste réduit, ce qui rend les métriques bruitées (un même essai peut voir son R² varier sensiblement selon la composition du jeu d’entraînement). La campagne en cours vise précisément à augmenter ce volume.</w:t>
      </w:r>
    </w:p>
    <w:p>
      <w:pPr>
        <w:pStyle w:val="BodyText"/>
      </w:pPr>
      <w:r>
        <w:t xml:space="preserve">Limites de la couverture thermique : une seule plage (~30 °C) est aujourd’hui couverte par plusieurs essais répétés ; la plage ~32 °C n’est représentée que par un essai unique (Run #11), ce qui interdit encore toute validation croisée à cette température.</w:t>
      </w:r>
    </w:p>
    <w:p>
      <w:pPr>
        <w:pStyle w:val="BodyText"/>
      </w:pPr>
      <w:r>
        <w:t xml:space="preserve">Limites de la validation : l’absence de coupon gravimétrique parallèle prive ce travail d’une validation indépendante du</w:t>
      </w:r>
      <w:r>
        <w:t xml:space="preserve"> </w:t>
      </w:r>
      <w:r>
        <w:rPr>
          <w:i/>
          <w:iCs/>
        </w:rPr>
        <w:t xml:space="preserve">CR</w:t>
      </w:r>
      <w:r>
        <w:t xml:space="preserve">. Cette double validation ER + gravimétrie est recommandée pour la suite.</w:t>
      </w:r>
    </w:p>
    <w:bookmarkEnd w:id="177"/>
    <w:bookmarkStart w:id="184" w:name="iii.6.5.-perspectives"/>
    <w:p>
      <w:pPr>
        <w:pStyle w:val="Heading3"/>
      </w:pPr>
      <w:r>
        <w:t xml:space="preserve">III.6.5. Perspectives</w:t>
      </w:r>
    </w:p>
    <w:p>
      <w:pPr>
        <w:pStyle w:val="FirstParagraph"/>
      </w:pPr>
      <w:r>
        <w:t xml:space="preserve">La campagne se poursuit selon trois axes : (i) compléter la couverture thermique par des essais répétés aux consignes 30 °C et 32 °C, afin de transformer la plage 32 °C de « non couverte » à « couverte » ; (ii) consolider les métriques sur un volume d’essais accru ; (iii) finaliser l’automatisation de la boucle alerte → ticket CMMS et le calcul des KPIs sur historique. La transposition aux conditions industrielles réelles (acier API 5L, conditions de procédé) constitue l’objet du stage en entreprise prévu à la suite de ce mémoire.</w:t>
      </w:r>
    </w:p>
    <w:p>
      <w:pPr>
        <w:pStyle w:val="BodyText"/>
      </w:pPr>
      <w:r>
        <w:t xml:space="preserve">Un quatrième axe, exploratoire, vise à densifier synthétiquement l’espace des conditions. Plutôt que de multiplier des essais réels coûteux, un jumeau numérique mécaniste, calibré sur les essais réels et décrivant la cinétique de corrosion par une loi sigmoïde d’Avrami (induction puis emballement, Avrami, 1939), permet de générer des trajectoires synthétiques et d’en déduire, pour un essai à venir, une bande prédictive de durée de vie (figure III.14). Cette démarche s’inspire des données</w:t>
      </w:r>
      <w:r>
        <w:t xml:space="preserve"> </w:t>
      </w:r>
      <w:r>
        <w:rPr>
          <w:i/>
          <w:iCs/>
        </w:rPr>
        <w:t xml:space="preserve">run-to-failure</w:t>
      </w:r>
      <w:r>
        <w:t xml:space="preserve"> </w:t>
      </w:r>
      <w:r>
        <w:t xml:space="preserve">synthétiques largement utilisées en maintenance prédictive (benchmark NASA C-MAPSS ; Saxena et al., 2008). Une première analyse en</w:t>
      </w:r>
      <w:r>
        <w:t xml:space="preserve"> </w:t>
      </w:r>
      <w:r>
        <w:rPr>
          <w:i/>
          <w:iCs/>
        </w:rPr>
        <w:t xml:space="preserve">leave-one-run-out</w:t>
      </w:r>
      <w:r>
        <w:t xml:space="preserve"> </w:t>
      </w:r>
      <w:r>
        <w:t xml:space="preserve">sur ces trajectoires établit qu’une morphologie de corrosion n’est prédictible qu’à partir du moment où elle a été observée au moins deux fois, ce qui quantifie le besoin de répétition. Deux essais réels, Run #21 puis Run #22, ont depuis fourni deux tests « prédire-puis-confirmer » à l’issue contrastée et instructive (figure III.15). Pour Run #21, la bande annoncée</w:t>
      </w:r>
      <w:r>
        <w:t xml:space="preserve"> </w:t>
      </w:r>
      <w:r>
        <w:rPr>
          <w:i/>
          <w:iCs/>
        </w:rPr>
        <w:t xml:space="preserve">avant</w:t>
      </w:r>
      <w:r>
        <w:t xml:space="preserve"> </w:t>
      </w:r>
      <w:r>
        <w:t xml:space="preserve">l’essai (13–20,5 h, médiane 16 h) a été vérifiée : rupture à 13,1 h, à l’intérieur de la bande (borne inférieure). Pour Run #22, en revanche, la rupture est survenue à 11,95 h, en deçà de la borne basse : l’essai le plus rapide de toute la campagne tombe sous l’enveloppe des donneurs, que le jumeau interpole sans l’extrapoler. Ce manqué n’infirme pas la démarche : il en délimite le domaine de validité, la bande devra être élargie vers les essais rapides, et illustre, sur un cas réel, la limite annoncée. Run #21 et Run #22 ajoutent par ailleurs deux représentants de la morphologie graduelle ; mais les trois graduels observés demeurent hétérogènes (Run #1 à 22 h contre Run #21 et #22 à ≈ 12–13 h), ce qui montre que le simple décompte de répétitions ne suffit pas : c’est la répétition au sein d’une morphologie homogène qui confère la prédictibilité. Il importe enfin de souligner que le jumeau numérique et le modèle XGBoost (§III.3) répondent à deux questions distinctes, le premier estime la durée de vie (l’instant de rupture), le second le taux de corrosion instantané, et convergent vers un même enseignement : une prédiction n’est fiable qu’au sein d’une morphologie déjà observée et suffisamment répétée. Ces travaux, encore préliminaires, seront validés et étendus dans la suite de la campagne.</w:t>
      </w:r>
    </w:p>
    <w:p>
      <w:pPr>
        <w:pStyle w:val="CaptionedFigure"/>
        <w:jc w:val="center"/>
      </w:pPr>
      <w:r>
        <w:drawing>
          <wp:inline>
            <wp:extent cx="4460240" cy="2617966"/>
            <wp:effectExtent b="0" l="0" r="0" t="0"/>
            <wp:docPr descr="Figure III.14 — Jumeau numérique : bande prédictive de durée de vie (P10–P90) issue des trajectoires synthétiques couvrant les deux morphologies de corrosion, et position de l’essai Run #21 — prédiction avant essai 13–20,5 h, rupture observée à 13,1 h, dans la bande" title="" id="179" name="Picture"/>
            <a:graphic>
              <a:graphicData uri="http://schemas.openxmlformats.org/drawingml/2006/picture">
                <pic:pic>
                  <pic:nvPicPr>
                    <pic:cNvPr descr="figures/fig_simulateur_run21_nonparam.png" id="180" name="Picture"/>
                    <pic:cNvPicPr>
                      <a:picLocks noChangeArrowheads="1" noChangeAspect="1"/>
                    </pic:cNvPicPr>
                  </pic:nvPicPr>
                  <pic:blipFill>
                    <a:blip r:embed="rId178"/>
                    <a:stretch>
                      <a:fillRect/>
                    </a:stretch>
                  </pic:blipFill>
                  <pic:spPr bwMode="auto">
                    <a:xfrm>
                      <a:off x="0" y="0"/>
                      <a:ext cx="4460240" cy="2617966"/>
                    </a:xfrm>
                    <a:prstGeom prst="rect">
                      <a:avLst/>
                    </a:prstGeom>
                    <a:noFill/>
                    <a:ln w="9525">
                      <a:noFill/>
                      <a:headEnd/>
                      <a:tailEnd/>
                    </a:ln>
                  </pic:spPr>
                </pic:pic>
              </a:graphicData>
            </a:graphic>
          </wp:inline>
        </w:drawing>
      </w:r>
    </w:p>
    <w:p>
      <w:pPr>
        <w:pStyle w:val="ImageCaption"/>
      </w:pPr>
      <w:r>
        <w:t xml:space="preserve">Figure III.14 — Jumeau numérique : bande prédictive de durée de vie (P10–P90) issue des trajectoires synthétiques couvrant les deux morphologies de corrosion, et position de l’essai Run #21 — prédiction</w:t>
      </w:r>
      <w:r>
        <w:t xml:space="preserve"> </w:t>
      </w:r>
      <w:r>
        <w:rPr>
          <w:i/>
          <w:iCs/>
        </w:rPr>
        <w:t xml:space="preserve">avant</w:t>
      </w:r>
      <w:r>
        <w:t xml:space="preserve"> </w:t>
      </w:r>
      <w:r>
        <w:t xml:space="preserve">essai 13–20,5 h, rupture observée à 13,1 h, dans la bande</w:t>
      </w:r>
    </w:p>
    <w:p>
      <w:pPr>
        <w:pStyle w:val="CaptionedFigure"/>
        <w:jc w:val="center"/>
      </w:pPr>
      <w:r>
        <w:drawing>
          <wp:inline>
            <wp:extent cx="4571746" cy="1811855"/>
            <wp:effectExtent b="0" l="0" r="0" t="0"/>
            <wp:docPr descr="Figure III.15 — Bande prédictive du jumeau confrontée aux deux essais graduels réels : Run #21 (13,1 h) à l’intérieur de la bande, Run #22 (11,95 h) en deçà — bilan « prédire-puis-confirmer » de un sur deux" title="" id="182" name="Picture"/>
            <a:graphic>
              <a:graphicData uri="http://schemas.openxmlformats.org/drawingml/2006/picture">
                <pic:pic>
                  <pic:nvPicPr>
                    <pic:cNvPr descr="figures/fig_iii3_band_scorecard.png" id="183" name="Picture"/>
                    <pic:cNvPicPr>
                      <a:picLocks noChangeArrowheads="1" noChangeAspect="1"/>
                    </pic:cNvPicPr>
                  </pic:nvPicPr>
                  <pic:blipFill>
                    <a:blip r:embed="rId181"/>
                    <a:stretch>
                      <a:fillRect/>
                    </a:stretch>
                  </pic:blipFill>
                  <pic:spPr bwMode="auto">
                    <a:xfrm>
                      <a:off x="0" y="0"/>
                      <a:ext cx="4571746" cy="1811855"/>
                    </a:xfrm>
                    <a:prstGeom prst="rect">
                      <a:avLst/>
                    </a:prstGeom>
                    <a:noFill/>
                    <a:ln w="9525">
                      <a:noFill/>
                      <a:headEnd/>
                      <a:tailEnd/>
                    </a:ln>
                  </pic:spPr>
                </pic:pic>
              </a:graphicData>
            </a:graphic>
          </wp:inline>
        </w:drawing>
      </w:r>
    </w:p>
    <w:p>
      <w:pPr>
        <w:pStyle w:val="ImageCaption"/>
      </w:pPr>
      <w:r>
        <w:t xml:space="preserve">Figure III.15 — Bande prédictive du jumeau confrontée aux deux essais graduels réels : Run #21 (13,1 h) à l’intérieur de la bande, Run #22 (11,95 h) en deçà — bilan « prédire-puis-confirmer » de un sur deux</w:t>
      </w:r>
    </w:p>
    <w:p>
      <w:r>
        <w:pict>
          <v:rect style="width:0;height:1.5pt" o:hralign="center" o:hrstd="t" o:hr="t"/>
        </w:pict>
      </w:r>
    </w:p>
    <w:bookmarkEnd w:id="184"/>
    <w:bookmarkEnd w:id="185"/>
    <w:bookmarkStart w:id="186" w:name="iii.7.-conclusion-du-chapitre-iii"/>
    <w:p>
      <w:pPr>
        <w:pStyle w:val="Heading2"/>
      </w:pPr>
      <w:r>
        <w:t xml:space="preserve">III.7. Conclusion du Chapitre III</w:t>
      </w:r>
    </w:p>
    <w:p>
      <w:pPr>
        <w:pStyle w:val="FirstParagraph"/>
      </w:pPr>
      <w:r>
        <w:t xml:space="preserve">Ce chapitre a présenté les résultats provisoires de la campagne. OS1 : la chaîne d’acquisition ER est fonctionnelle et a permis de suivre sans interruption une série d’essais run-to-failure complets jusqu’à la rupture. OS2 : le modèle XGBoost prédit le taux de corrosion et surpasse les méthodes de référence, mais sa performance dépend de la couverture des conditions. OS3 : l’analyse a établi que la température est la variable dominante et que la répétabilité des conditions, couverture thermique, qualité de régulation, constance de la concentration, conditionne la fiabilité de la prédiction ; deux contre-exemples (Run #15, Run #17) l’ont démontré expérimentalement. OS4 : l’écran de supervision et le module GMAO maison (génération automatique d’ordres de travail, KPIs) sont opérationnels et démontrent la boucle Sonde → ML → OT de bout en bout, l’intégration à un CMMS open-source mature (GLPI) restant une spécification transposable. Au regard de l’état d’avancement, les objectifs sont partiellement atteints et en voie de consolidation par les essais en cours. La conclusion générale dresse le bilan d’ensemble et les perspectives.</w:t>
      </w:r>
    </w:p>
    <w:p>
      <w:r>
        <w:br w:type="page"/>
      </w:r>
    </w:p>
    <w:bookmarkEnd w:id="186"/>
    <w:bookmarkEnd w:id="187"/>
    <w:bookmarkStart w:id="188" w:name="conclusion-générale"/>
    <w:p>
      <w:pPr>
        <w:pStyle w:val="Heading1"/>
      </w:pPr>
      <w:r>
        <w:t xml:space="preserve">CONCLUSION GÉNÉRALE</w:t>
      </w:r>
    </w:p>
    <w:p>
      <w:pPr>
        <w:pStyle w:val="FirstParagraph"/>
      </w:pPr>
      <w:r>
        <w:t xml:space="preserve">Ce mémoire s’est donné pour objectif de concevoir, développer et valider expérimentalement un système intégré de maintenance prédictive de la corrosion, matérialisant une transition Industrie 3.0 → 4.0 sur l’ensemble de la chaîne</w:t>
      </w:r>
      <w:r>
        <w:t xml:space="preserve"> </w:t>
      </w:r>
      <w:r>
        <w:rPr>
          <w:i/>
          <w:iCs/>
        </w:rPr>
        <w:t xml:space="preserve">détection → diagnostic → pronostic → décision → action</w:t>
      </w:r>
      <w:r>
        <w:t xml:space="preserve"> </w:t>
      </w:r>
      <w:r>
        <w:t xml:space="preserve">(ISO 13381-1), et doublement transposable aux opérateurs déjà instrumentés (cas COTCO) comme aux PME industrielles africaines. Au terme du travail, le bilan des quatre objectifs spécifiques peut être dressé.</w:t>
      </w:r>
    </w:p>
    <w:p>
      <w:pPr>
        <w:pStyle w:val="BodyText"/>
      </w:pPr>
      <w:r>
        <w:t xml:space="preserve">OS1, Détection. La chaîne d’acquisition ER instrumentée (ESP32, HX711 24 bits, DS18B20) est fonctionnelle : elle suit en continu, au pas de 30 secondes, les variations de résistance d’un fil de fer en milieu acide concentré, et a permis de conduire sans interruption une série d’essais</w:t>
      </w:r>
      <w:r>
        <w:t xml:space="preserve"> </w:t>
      </w:r>
      <w:r>
        <w:rPr>
          <w:i/>
          <w:iCs/>
        </w:rPr>
        <w:t xml:space="preserve">run-to-failure</w:t>
      </w:r>
      <w:r>
        <w:t xml:space="preserve"> </w:t>
      </w:r>
      <w:r>
        <w:t xml:space="preserve">complets jusqu’à la rupture. Elle produit un format de données standardisé, exploitable indifféremment par le pipeline ML maison ou par l’export d’une sonde commerciale (QR1).</w:t>
      </w:r>
    </w:p>
    <w:p>
      <w:pPr>
        <w:pStyle w:val="BodyText"/>
      </w:pPr>
      <w:r>
        <w:t xml:space="preserve">OS2, Pronostic. Le modèle XGBoost prédit le taux de corrosion et surpasse les références (régression linéaire, prédiction par la moyenne). Sa validation inter-essais</w:t>
      </w:r>
      <w:r>
        <w:t xml:space="preserve"> </w:t>
      </w:r>
      <w:r>
        <w:rPr>
          <w:i/>
          <w:iCs/>
        </w:rPr>
        <w:t xml:space="preserve">leave-one-run-out</w:t>
      </w:r>
      <w:r>
        <w:t xml:space="preserve"> </w:t>
      </w:r>
      <w:r>
        <w:t xml:space="preserve">atteint un R² moyen positif (+0,29) sur la plage thermique couverte, mais ce résultat n’est pas automatique : il s’effondre (R² ≈ −1,77) lorsque les conditions de l’essai testé ne sont pas couvertes à l’entraînement. La durée de vie résiduelle est estimée par trois voies complémentaires (extrapolation physique, dérivé XGBoost, jumeau numérique). L’objectif de précision fixé a priori (RMSE &lt; 15 %) n’est pas encore atteint de façon stabilisée, le faible effectif d’essais rendant les métriques bruitées (QR2).</w:t>
      </w:r>
    </w:p>
    <w:p>
      <w:pPr>
        <w:pStyle w:val="BodyText"/>
      </w:pPr>
      <w:r>
        <w:t xml:space="preserve">OS3, Diagnostic et décision. Le module de diagnostic identifie correctement la succession des régimes (induction, croissance, emballement, pré-rupture). L’analyse a établi que la température est la variable dominante et, surtout, que la répétabilité des conditions, couverture thermique, qualité de régulation, constance de la concentration, conditionne la fiabilité de la prédiction ; deux contre-exemples (régulation dégradée, acide évaporé) l’ont démontré expérimentalement, auxquels s’ajoute une variabilité intrinsèque de la morphologie de dégradation. Un système d’alertes graduées (vert / orange / rouge) a été calibré sur les sorties CR et RUL (QR3).</w:t>
      </w:r>
    </w:p>
    <w:p>
      <w:pPr>
        <w:pStyle w:val="BodyText"/>
      </w:pPr>
      <w:r>
        <w:t xml:space="preserve">OS4, Action. L’application web Streamlit et le module GMAO maison sont opérationnels : ils génèrent et tracent automatiquement les ordres de travail à partir des alertes prédictives, et calculent les KPIs de maintenance (MTBF, MTTR, disponibilité). Le mapping prédiction → ordre de travail est défini de façon générique, transposable par API REST à un CMMS open-source ; cette intégration reste, à ce stade, au statut de spécification (QR4).</w:t>
      </w:r>
    </w:p>
    <w:p>
      <w:pPr>
        <w:pStyle w:val="BodyText"/>
      </w:pPr>
      <w:r>
        <w:t xml:space="preserve">Contributions. L’apport méthodologique central n’est pas la valeur absolue du R² mais la lecture de sa structure : la prédiction inter-essais est fiable là où les conditions sont couvertes et répétées, et échoue sinon, lecture rarement explicitée dans une littérature dominée par les validations intra-jeu. Le travail démontre par ailleurs qu’une couche prédictive I4.0 peut être ajoutée pour un coût marginal, en aval d’une instrumentation existante ou de façon autonome, et qu’une boucle décision → action structurée est accessible sans licence propriétaire.</w:t>
      </w:r>
    </w:p>
    <w:p>
      <w:pPr>
        <w:pStyle w:val="BodyText"/>
      </w:pPr>
      <w:r>
        <w:t xml:space="preserve">Limites. Le matériau retenu (fil de fer) n’est pas l’acier API 5L des pipelines : les valeurs absolues de CR ne sont pas directement transposables. Le nombre d’essais reste réduit (métriques bruitées), une seule plage thermique est aujourd’hui couverte par plusieurs répétitions, et l’absence de coupon gravimétrique parallèle prive le travail d’une validation indépendante du CR.</w:t>
      </w:r>
    </w:p>
    <w:p>
      <w:pPr>
        <w:pStyle w:val="BodyText"/>
      </w:pPr>
      <w:r>
        <w:t xml:space="preserve">Recommandations et perspectives. Pour COTCO, le pipeline ML est applicable directement aux flux des sondes ER déjà en place via export DCS, sans remplacement matériel, la chaîne d’acquisition autonome ESP32 constituant une option d’extension pour les sections non câblées. Pour les PME industrielles africaines, l’architecture module GMAO ↔ CMMS open-source ouvre une démocratisation effective de la maintenance assistée par ordinateur, sans licence propriétaire. Pour les travaux futurs, la campagne se poursuit selon quatre axes : compléter la couverture thermique par des essais répétés au sein d’une même morphologie, consolider les métriques sur un volume accru, adjoindre une validation gravimétrique, et finaliser l’automatisation de la boucle alerte → ticket CMMS. La transposition aux conditions industrielles réelles (acier API 5L, conditions de procédé) constitue l’objet du stage en entreprise prévu à la suite de ce mémoire.</w:t>
      </w:r>
    </w:p>
    <w:p>
      <w:pPr>
        <w:pStyle w:val="BodyText"/>
      </w:pPr>
      <w:r>
        <w:t xml:space="preserve">En définitive, les objectifs sont partiellement atteints et en voie de consolidation : le système intégré est fonctionnel de bout en bout, et le travail établit les conditions méthodologiques, couverture et répétabilité, sous lesquelles la maintenance prédictive de la corrosion devient fiable et transposable au contexte industriel africain.</w:t>
      </w:r>
    </w:p>
    <w:p>
      <w:r>
        <w:br w:type="page"/>
      </w:r>
    </w:p>
    <w:bookmarkEnd w:id="188"/>
    <w:bookmarkStart w:id="189" w:name="références-bibliographiques"/>
    <w:p>
      <w:pPr>
        <w:pStyle w:val="Heading1"/>
      </w:pPr>
      <w:r>
        <w:t xml:space="preserve">RÉFÉRENCES BIBLIOGRAPHIQUES</w:t>
      </w:r>
    </w:p>
    <w:p>
      <w:pPr>
        <w:pStyle w:val="BlockText"/>
      </w:pPr>
      <w:r>
        <w:rPr>
          <w:i/>
          <w:iCs/>
        </w:rPr>
        <w:t xml:space="preserve">Bibliographie en format APA. Le Pr MBOG recommande un minimum de 60 références scientifiques. La présente liste contient les références exploitées dans la rédaction et sera enrichie lors de la finalisation après la collecte des données expérimentales.</w:t>
      </w:r>
    </w:p>
    <w:p>
      <w:pPr>
        <w:numPr>
          <w:ilvl w:val="0"/>
          <w:numId w:val="1034"/>
        </w:numPr>
      </w:pPr>
      <w:r>
        <w:t xml:space="preserve">Adafruit. (2024).</w:t>
      </w:r>
      <w:r>
        <w:t xml:space="preserve"> </w:t>
      </w:r>
      <w:r>
        <w:rPr>
          <w:i/>
          <w:iCs/>
        </w:rPr>
        <w:t xml:space="preserve">Adafruit HX711 24-bit ADC for Load Cells / Strain Gauges</w:t>
      </w:r>
      <w:r>
        <w:t xml:space="preserve">. https://learn.adafruit.com/adafruit-hx711-24-bit-adc</w:t>
      </w:r>
    </w:p>
    <w:p>
      <w:pPr>
        <w:numPr>
          <w:ilvl w:val="0"/>
          <w:numId w:val="1034"/>
        </w:numPr>
      </w:pPr>
      <w:r>
        <w:t xml:space="preserve">Akash, S. (2024).</w:t>
      </w:r>
      <w:r>
        <w:t xml:space="preserve"> </w:t>
      </w:r>
      <w:r>
        <w:rPr>
          <w:i/>
          <w:iCs/>
        </w:rPr>
        <w:t xml:space="preserve">Decoding ISO 13381 Part 1: General Guidelines for Prognostics (RUL Estimation)</w:t>
      </w:r>
      <w:r>
        <w:t xml:space="preserve">. LinkedIn Pulse. https://www.linkedin.com/pulse/decoding-iso-13381-part-1-general-guidelines-rul-akash-shrivastava</w:t>
      </w:r>
    </w:p>
    <w:p>
      <w:pPr>
        <w:numPr>
          <w:ilvl w:val="0"/>
          <w:numId w:val="1034"/>
        </w:numPr>
      </w:pPr>
      <w:r>
        <w:t xml:space="preserve">AMPP. (2023).</w:t>
      </w:r>
      <w:r>
        <w:t xml:space="preserve"> </w:t>
      </w:r>
      <w:r>
        <w:rPr>
          <w:i/>
          <w:iCs/>
        </w:rPr>
        <w:t xml:space="preserve">NACE SP0775-2023, Preparation, Installation, Analysis, and Interpretation of Corrosion Coupons in Hydrocarbon Operations</w:t>
      </w:r>
      <w:r>
        <w:t xml:space="preserve">. Association for Materials Protection and Performance.</w:t>
      </w:r>
    </w:p>
    <w:p>
      <w:pPr>
        <w:numPr>
          <w:ilvl w:val="0"/>
          <w:numId w:val="1034"/>
        </w:numPr>
      </w:pPr>
      <w:r>
        <w:t xml:space="preserve">Aniobi, C. C. (2018). Pipeline corrosion control in oil and gas industry: A case study of NNPC/PPMC system 2A pipeline.</w:t>
      </w:r>
      <w:r>
        <w:t xml:space="preserve"> </w:t>
      </w:r>
      <w:r>
        <w:rPr>
          <w:i/>
          <w:iCs/>
        </w:rPr>
        <w:t xml:space="preserve">Academia.edu</w:t>
      </w:r>
      <w:r>
        <w:t xml:space="preserve">.</w:t>
      </w:r>
    </w:p>
    <w:p>
      <w:pPr>
        <w:numPr>
          <w:ilvl w:val="0"/>
          <w:numId w:val="1034"/>
        </w:numPr>
      </w:pPr>
      <w:r>
        <w:t xml:space="preserve">API. (2024).</w:t>
      </w:r>
      <w:r>
        <w:t xml:space="preserve"> </w:t>
      </w:r>
      <w:r>
        <w:rPr>
          <w:i/>
          <w:iCs/>
        </w:rPr>
        <w:t xml:space="preserve">API 570, Piping Inspection Code: In-service Inspection, Rating, Repair, and Alteration of Piping Systems</w:t>
      </w:r>
      <w:r>
        <w:t xml:space="preserve"> </w:t>
      </w:r>
      <w:r>
        <w:t xml:space="preserve">(5th ed.). American Petroleum Institute.</w:t>
      </w:r>
    </w:p>
    <w:p>
      <w:pPr>
        <w:numPr>
          <w:ilvl w:val="0"/>
          <w:numId w:val="1034"/>
        </w:numPr>
      </w:pPr>
      <w:r>
        <w:t xml:space="preserve">API. (2023).</w:t>
      </w:r>
      <w:r>
        <w:t xml:space="preserve"> </w:t>
      </w:r>
      <w:r>
        <w:rPr>
          <w:i/>
          <w:iCs/>
        </w:rPr>
        <w:t xml:space="preserve">API RP 580, Risk-Based Inspection</w:t>
      </w:r>
      <w:r>
        <w:t xml:space="preserve"> </w:t>
      </w:r>
      <w:r>
        <w:t xml:space="preserve">(4th ed.). American Petroleum Institute.</w:t>
      </w:r>
    </w:p>
    <w:p>
      <w:pPr>
        <w:numPr>
          <w:ilvl w:val="0"/>
          <w:numId w:val="1034"/>
        </w:numPr>
      </w:pPr>
      <w:r>
        <w:t xml:space="preserve">API. (2025).</w:t>
      </w:r>
      <w:r>
        <w:t xml:space="preserve"> </w:t>
      </w:r>
      <w:r>
        <w:rPr>
          <w:i/>
          <w:iCs/>
        </w:rPr>
        <w:t xml:space="preserve">API RP 581, Risk-Based Inspection Methodology</w:t>
      </w:r>
      <w:r>
        <w:t xml:space="preserve"> </w:t>
      </w:r>
      <w:r>
        <w:t xml:space="preserve">(4th ed.). American Petroleum Institute.</w:t>
      </w:r>
    </w:p>
    <w:p>
      <w:pPr>
        <w:numPr>
          <w:ilvl w:val="0"/>
          <w:numId w:val="1034"/>
        </w:numPr>
      </w:pPr>
      <w:r>
        <w:t xml:space="preserve">ASTM International. (2012).</w:t>
      </w:r>
      <w:r>
        <w:t xml:space="preserve"> </w:t>
      </w:r>
      <w:r>
        <w:rPr>
          <w:i/>
          <w:iCs/>
        </w:rPr>
        <w:t xml:space="preserve">ASTM G31-12a, Standard Guide for Laboratory Immersion Corrosion Testing of Metals</w:t>
      </w:r>
      <w:r>
        <w:t xml:space="preserve">.</w:t>
      </w:r>
    </w:p>
    <w:p>
      <w:pPr>
        <w:numPr>
          <w:ilvl w:val="0"/>
          <w:numId w:val="1034"/>
        </w:numPr>
      </w:pPr>
      <w:r>
        <w:t xml:space="preserve">ASTM International. (2017).</w:t>
      </w:r>
      <w:r>
        <w:t xml:space="preserve"> </w:t>
      </w:r>
      <w:r>
        <w:rPr>
          <w:i/>
          <w:iCs/>
        </w:rPr>
        <w:t xml:space="preserve">ASTM G1-03, Standard Practice for Preparing, Cleaning, and Evaluating Corrosion Test Specimens</w:t>
      </w:r>
      <w:r>
        <w:t xml:space="preserve">.</w:t>
      </w:r>
    </w:p>
    <w:p>
      <w:pPr>
        <w:numPr>
          <w:ilvl w:val="0"/>
          <w:numId w:val="1034"/>
        </w:numPr>
      </w:pPr>
      <w:r>
        <w:t xml:space="preserve">ASTM International. (2018).</w:t>
      </w:r>
      <w:r>
        <w:t xml:space="preserve"> </w:t>
      </w:r>
      <w:r>
        <w:rPr>
          <w:i/>
          <w:iCs/>
        </w:rPr>
        <w:t xml:space="preserve">ASTM G96-90, Standard Guide for Online Monitoring of Corrosion in Plant Equipment (Electrical and Electrochemical Methods)</w:t>
      </w:r>
      <w:r>
        <w:t xml:space="preserve">.</w:t>
      </w:r>
    </w:p>
    <w:p>
      <w:pPr>
        <w:numPr>
          <w:ilvl w:val="0"/>
          <w:numId w:val="1034"/>
        </w:numPr>
      </w:pPr>
      <w:r>
        <w:t xml:space="preserve">AVIA Semiconductor. (2017).</w:t>
      </w:r>
      <w:r>
        <w:t xml:space="preserve"> </w:t>
      </w:r>
      <w:r>
        <w:rPr>
          <w:i/>
          <w:iCs/>
        </w:rPr>
        <w:t xml:space="preserve">HX711, 24-bit Analog-to-Digital Converter (ADC) for Weighing Scales</w:t>
      </w:r>
      <w:r>
        <w:t xml:space="preserve">. Datasheet rev 2.0.</w:t>
      </w:r>
    </w:p>
    <w:p>
      <w:pPr>
        <w:numPr>
          <w:ilvl w:val="0"/>
          <w:numId w:val="1034"/>
        </w:numPr>
      </w:pPr>
      <w:r>
        <w:t xml:space="preserve">Bard, A. J., &amp; Faulkner, L. R. (2001).</w:t>
      </w:r>
      <w:r>
        <w:t xml:space="preserve"> </w:t>
      </w:r>
      <w:r>
        <w:rPr>
          <w:i/>
          <w:iCs/>
        </w:rPr>
        <w:t xml:space="preserve">Electrochemical Methods: Fundamentals and Applications</w:t>
      </w:r>
      <w:r>
        <w:t xml:space="preserve"> </w:t>
      </w:r>
      <w:r>
        <w:t xml:space="preserve">(2nd ed.). Wiley.</w:t>
      </w:r>
    </w:p>
    <w:p>
      <w:pPr>
        <w:numPr>
          <w:ilvl w:val="0"/>
          <w:numId w:val="1034"/>
        </w:numPr>
      </w:pPr>
      <w:r>
        <w:t xml:space="preserve">Bergmeir, C., &amp; Benítez, J. M. (2012). On the use of cross-validation for time series predictor evaluation.</w:t>
      </w:r>
      <w:r>
        <w:t xml:space="preserve"> </w:t>
      </w:r>
      <w:r>
        <w:rPr>
          <w:i/>
          <w:iCs/>
        </w:rPr>
        <w:t xml:space="preserve">Information Sciences</w:t>
      </w:r>
      <w:r>
        <w:t xml:space="preserve">, 191, 192–213.</w:t>
      </w:r>
    </w:p>
    <w:p>
      <w:pPr>
        <w:numPr>
          <w:ilvl w:val="0"/>
          <w:numId w:val="1034"/>
        </w:numPr>
      </w:pPr>
      <w:r>
        <w:t xml:space="preserve">Cameroun, République du. (1996).</w:t>
      </w:r>
      <w:r>
        <w:t xml:space="preserve"> </w:t>
      </w:r>
      <w:r>
        <w:rPr>
          <w:i/>
          <w:iCs/>
        </w:rPr>
        <w:t xml:space="preserve">Loi-cadre n° 96/12 du 5 août 1996 relative à la gestion de l’environnement</w:t>
      </w:r>
      <w:r>
        <w:t xml:space="preserve">.</w:t>
      </w:r>
    </w:p>
    <w:p>
      <w:pPr>
        <w:numPr>
          <w:ilvl w:val="0"/>
          <w:numId w:val="1034"/>
        </w:numPr>
      </w:pPr>
      <w:r>
        <w:t xml:space="preserve">Cameroun, République du. (2019).</w:t>
      </w:r>
      <w:r>
        <w:t xml:space="preserve"> </w:t>
      </w:r>
      <w:r>
        <w:rPr>
          <w:i/>
          <w:iCs/>
        </w:rPr>
        <w:t xml:space="preserve">Loi n° 2019/008 du 25 avril 2019 portant Code Pétrolier</w:t>
      </w:r>
      <w:r>
        <w:t xml:space="preserve"> </w:t>
      </w:r>
      <w:r>
        <w:t xml:space="preserve">(abrogeant la loi n° 99/013 du 22 décembre 1999).</w:t>
      </w:r>
    </w:p>
    <w:p>
      <w:pPr>
        <w:numPr>
          <w:ilvl w:val="0"/>
          <w:numId w:val="1034"/>
        </w:numPr>
      </w:pPr>
      <w:r>
        <w:t xml:space="preserve">Cameroun, République du. (2023).</w:t>
      </w:r>
      <w:r>
        <w:t xml:space="preserve"> </w:t>
      </w:r>
      <w:r>
        <w:rPr>
          <w:i/>
          <w:iCs/>
        </w:rPr>
        <w:t xml:space="preserve">Décret n° 2023/232 du 4 mai 2023 fixant les modalités d’application de la loi n° 2019/008 du 25 avril 2019 portant Code Pétrolier</w:t>
      </w:r>
      <w:r>
        <w:t xml:space="preserve">.</w:t>
      </w:r>
    </w:p>
    <w:p>
      <w:pPr>
        <w:numPr>
          <w:ilvl w:val="0"/>
          <w:numId w:val="1034"/>
        </w:numPr>
      </w:pPr>
      <w:r>
        <w:t xml:space="preserve">CEN (Comité européen de normalisation). (2017).</w:t>
      </w:r>
      <w:r>
        <w:t xml:space="preserve"> </w:t>
      </w:r>
      <w:r>
        <w:rPr>
          <w:i/>
          <w:iCs/>
        </w:rPr>
        <w:t xml:space="preserve">EN 13306:2017, Maintenance, Maintenance terminology</w:t>
      </w:r>
      <w:r>
        <w:t xml:space="preserve">.</w:t>
      </w:r>
    </w:p>
    <w:p>
      <w:pPr>
        <w:numPr>
          <w:ilvl w:val="0"/>
          <w:numId w:val="1034"/>
        </w:numPr>
      </w:pPr>
      <w:r>
        <w:t xml:space="preserve">Chad-Cameroon Petroleum Development and Pipeline Project. (2024).</w:t>
      </w:r>
      <w:r>
        <w:t xml:space="preserve"> </w:t>
      </w:r>
      <w:r>
        <w:rPr>
          <w:i/>
          <w:iCs/>
        </w:rPr>
        <w:t xml:space="preserve">Wikipedia</w:t>
      </w:r>
      <w:r>
        <w:t xml:space="preserve">. https://en.wikipedia.org/wiki/Chad%E2%80%93Cameroon_Petroleum_Development_and_Pipeline_Project</w:t>
      </w:r>
    </w:p>
    <w:p>
      <w:pPr>
        <w:numPr>
          <w:ilvl w:val="0"/>
          <w:numId w:val="1034"/>
        </w:numPr>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 https://doi.org/10.1145/2939672.2939785</w:t>
      </w:r>
    </w:p>
    <w:p>
      <w:pPr>
        <w:numPr>
          <w:ilvl w:val="0"/>
          <w:numId w:val="1034"/>
        </w:numPr>
      </w:pPr>
      <w:r>
        <w:t xml:space="preserve">Coelho, L. B. (2022). Reviewing machine learning of corrosion prediction in a data-oriented perspective.</w:t>
      </w:r>
      <w:r>
        <w:t xml:space="preserve"> </w:t>
      </w:r>
      <w:r>
        <w:rPr>
          <w:i/>
          <w:iCs/>
        </w:rPr>
        <w:t xml:space="preserve">npj Materials Degradation</w:t>
      </w:r>
      <w:r>
        <w:t xml:space="preserve">, 6, 8. https://doi.org/10.1038/s41529-022-00218-4</w:t>
      </w:r>
    </w:p>
    <w:p>
      <w:pPr>
        <w:numPr>
          <w:ilvl w:val="0"/>
          <w:numId w:val="1034"/>
        </w:numPr>
      </w:pPr>
      <w:r>
        <w:t xml:space="preserve">Cosasco. (2024).</w:t>
      </w:r>
      <w:r>
        <w:t xml:space="preserve"> </w:t>
      </w:r>
      <w:r>
        <w:rPr>
          <w:i/>
          <w:iCs/>
        </w:rPr>
        <w:t xml:space="preserve">Dual Sensor Electrical Resistance (ER) Temperature Probes</w:t>
      </w:r>
      <w:r>
        <w:t xml:space="preserve">. https://www.cosasco.com/product/dual-sensor-electrical-resistance-er-temperature-probes</w:t>
      </w:r>
    </w:p>
    <w:p>
      <w:pPr>
        <w:numPr>
          <w:ilvl w:val="0"/>
          <w:numId w:val="1034"/>
        </w:numPr>
      </w:pPr>
      <w:r>
        <w:t xml:space="preserve">COTCO. (2024).</w:t>
      </w:r>
      <w:r>
        <w:t xml:space="preserve"> </w:t>
      </w:r>
      <w:r>
        <w:rPr>
          <w:i/>
          <w:iCs/>
        </w:rPr>
        <w:t xml:space="preserve">Cameroon Oil Transportation Company, COTCO in brief</w:t>
      </w:r>
      <w:r>
        <w:t xml:space="preserve">. https://cotco-sa.cm/en/cotco-in-brief/</w:t>
      </w:r>
    </w:p>
    <w:p>
      <w:pPr>
        <w:numPr>
          <w:ilvl w:val="0"/>
          <w:numId w:val="1034"/>
        </w:numPr>
      </w:pPr>
      <w:r>
        <w:t xml:space="preserve">de Waard, C., &amp; Milliams, D. E. (1975). Carbonic acid corrosion of steel.</w:t>
      </w:r>
      <w:r>
        <w:t xml:space="preserve"> </w:t>
      </w:r>
      <w:r>
        <w:rPr>
          <w:i/>
          <w:iCs/>
        </w:rPr>
        <w:t xml:space="preserve">Corrosion</w:t>
      </w:r>
      <w:r>
        <w:t xml:space="preserve">, 31(5), 177–181.</w:t>
      </w:r>
    </w:p>
    <w:p>
      <w:pPr>
        <w:numPr>
          <w:ilvl w:val="0"/>
          <w:numId w:val="1034"/>
        </w:numPr>
      </w:pPr>
      <w:r>
        <w:t xml:space="preserve">de Waard, C., Lotz, U., &amp; Milliams, D. E. (1991). Predictive model for CO₂ corrosion engineering in wet natural gas pipelines.</w:t>
      </w:r>
      <w:r>
        <w:t xml:space="preserve"> </w:t>
      </w:r>
      <w:r>
        <w:rPr>
          <w:i/>
          <w:iCs/>
        </w:rPr>
        <w:t xml:space="preserve">Corrosion</w:t>
      </w:r>
      <w:r>
        <w:t xml:space="preserve">, 47(12), 976–985.</w:t>
      </w:r>
    </w:p>
    <w:p>
      <w:pPr>
        <w:numPr>
          <w:ilvl w:val="0"/>
          <w:numId w:val="1034"/>
        </w:numPr>
      </w:pPr>
      <w:r>
        <w:t xml:space="preserve">Egbule, P. E., et al. (2018). Pipeline corrosion control in oil and gas industry: A case study of NNPC/PPMC pipelines.</w:t>
      </w:r>
      <w:r>
        <w:t xml:space="preserve"> </w:t>
      </w:r>
      <w:r>
        <w:rPr>
          <w:i/>
          <w:iCs/>
        </w:rPr>
        <w:t xml:space="preserve">Academia.edu</w:t>
      </w:r>
      <w:r>
        <w:t xml:space="preserve">.</w:t>
      </w:r>
    </w:p>
    <w:p>
      <w:pPr>
        <w:numPr>
          <w:ilvl w:val="0"/>
          <w:numId w:val="1034"/>
        </w:numPr>
      </w:pPr>
      <w:r>
        <w:t xml:space="preserve">Espressif Systems. (2024).</w:t>
      </w:r>
      <w:r>
        <w:t xml:space="preserve"> </w:t>
      </w:r>
      <w:r>
        <w:rPr>
          <w:i/>
          <w:iCs/>
        </w:rPr>
        <w:t xml:space="preserve">ESP32 Datasheet, Version 4.4</w:t>
      </w:r>
      <w:r>
        <w:t xml:space="preserve">. https://www.espressif.com/en/products/socs/esp32</w:t>
      </w:r>
    </w:p>
    <w:p>
      <w:pPr>
        <w:numPr>
          <w:ilvl w:val="0"/>
          <w:numId w:val="1034"/>
        </w:numPr>
      </w:pPr>
      <w:r>
        <w:t xml:space="preserve">ExxonMobil. (2011).</w:t>
      </w:r>
      <w:r>
        <w:t xml:space="preserve"> </w:t>
      </w:r>
      <w:r>
        <w:rPr>
          <w:i/>
          <w:iCs/>
        </w:rPr>
        <w:t xml:space="preserve">Chad/Cameroon Development Project, Project Update No. 30, Mid-Year Report 2011</w:t>
      </w:r>
      <w:r>
        <w:t xml:space="preserve">.</w:t>
      </w:r>
    </w:p>
    <w:p>
      <w:pPr>
        <w:numPr>
          <w:ilvl w:val="0"/>
          <w:numId w:val="1034"/>
        </w:numPr>
      </w:pPr>
      <w:r>
        <w:t xml:space="preserve">Faraday, M. (1834). On electrical decomposition.</w:t>
      </w:r>
      <w:r>
        <w:t xml:space="preserve"> </w:t>
      </w:r>
      <w:r>
        <w:rPr>
          <w:i/>
          <w:iCs/>
        </w:rPr>
        <w:t xml:space="preserve">Philosophical Transactions of the Royal Society</w:t>
      </w:r>
      <w:r>
        <w:t xml:space="preserve">, 124, 77–122.</w:t>
      </w:r>
    </w:p>
    <w:p>
      <w:pPr>
        <w:numPr>
          <w:ilvl w:val="0"/>
          <w:numId w:val="1034"/>
        </w:numPr>
      </w:pPr>
      <w:r>
        <w:t xml:space="preserve">Hassanzadeh, S., et al. (2024). Application of electrical resistance probes for corrosion monitoring and cathodic protection assessment of offshore structures.</w:t>
      </w:r>
      <w:r>
        <w:t xml:space="preserve"> </w:t>
      </w:r>
      <w:r>
        <w:rPr>
          <w:i/>
          <w:iCs/>
        </w:rPr>
        <w:t xml:space="preserve">Materials and Corrosion (Wiley)</w:t>
      </w:r>
      <w:r>
        <w:t xml:space="preserve">. https://doi.org/10.1002/maco.70138</w:t>
      </w:r>
    </w:p>
    <w:p>
      <w:pPr>
        <w:numPr>
          <w:ilvl w:val="0"/>
          <w:numId w:val="1034"/>
        </w:numPr>
      </w:pPr>
      <w:r>
        <w:t xml:space="preserve">Ma, Y., Qi, W., Yu, M., Huang, N., Li, R., Tan, J., &amp; Zhu, X. (2024). Synthesis of Gemini-type imidazoline quaternary ammonium salt using by-product fatty acid as corrosion inhibitor for Q235 steel.</w:t>
      </w:r>
      <w:r>
        <w:t xml:space="preserve"> </w:t>
      </w:r>
      <w:r>
        <w:rPr>
          <w:i/>
          <w:iCs/>
        </w:rPr>
        <w:t xml:space="preserve">Scientific Reports</w:t>
      </w:r>
      <w:r>
        <w:t xml:space="preserve">, 14, 13687. https://www.nature.com/articles/s41598-024-64671-8</w:t>
      </w:r>
    </w:p>
    <w:p>
      <w:pPr>
        <w:numPr>
          <w:ilvl w:val="0"/>
          <w:numId w:val="1034"/>
        </w:numPr>
      </w:pPr>
      <w:r>
        <w:t xml:space="preserve">HSPublishing. (2023).</w:t>
      </w:r>
      <w:r>
        <w:t xml:space="preserve"> </w:t>
      </w:r>
      <w:r>
        <w:rPr>
          <w:i/>
          <w:iCs/>
        </w:rPr>
        <w:t xml:space="preserve">Oil and gas pipeline corrosion monitoring and prevention</w:t>
      </w:r>
      <w:r>
        <w:t xml:space="preserve">.</w:t>
      </w:r>
      <w:r>
        <w:t xml:space="preserve"> </w:t>
      </w:r>
      <w:r>
        <w:rPr>
          <w:i/>
          <w:iCs/>
        </w:rPr>
        <w:t xml:space="preserve">Journal of Research in Engineering and Computer Sciences</w:t>
      </w:r>
      <w:r>
        <w:t xml:space="preserve">, https://hspublishing.org/JRECS/article/download/114/105</w:t>
      </w:r>
    </w:p>
    <w:p>
      <w:pPr>
        <w:numPr>
          <w:ilvl w:val="0"/>
          <w:numId w:val="1034"/>
        </w:numPr>
      </w:pPr>
      <w:r>
        <w:t xml:space="preserve">Hu, J., et al. (2024). Prediction of the internal corrosion rate for oil and gas pipelines and influence factor analysis with interpretable ensemble learning.</w:t>
      </w:r>
      <w:r>
        <w:t xml:space="preserve"> </w:t>
      </w:r>
      <w:r>
        <w:rPr>
          <w:i/>
          <w:iCs/>
        </w:rPr>
        <w:t xml:space="preserve">International Journal of Pressure Vessels and Piping</w:t>
      </w:r>
      <w:r>
        <w:t xml:space="preserve">, 212, 105329. https://www.sciencedirect.com/science/article/abs/pii/S0308016124002060</w:t>
      </w:r>
    </w:p>
    <w:p>
      <w:pPr>
        <w:numPr>
          <w:ilvl w:val="0"/>
          <w:numId w:val="1034"/>
        </w:numPr>
      </w:pPr>
      <w:r>
        <w:t xml:space="preserve">Hyndman, R. J., &amp; Koehler, A. B. (2006). Another look at measures of forecast accuracy.</w:t>
      </w:r>
      <w:r>
        <w:t xml:space="preserve"> </w:t>
      </w:r>
      <w:r>
        <w:rPr>
          <w:i/>
          <w:iCs/>
        </w:rPr>
        <w:t xml:space="preserve">International Journal of Forecasting</w:t>
      </w:r>
      <w:r>
        <w:t xml:space="preserve">, 22(4), 679–688.</w:t>
      </w:r>
    </w:p>
    <w:p>
      <w:pPr>
        <w:numPr>
          <w:ilvl w:val="0"/>
          <w:numId w:val="1034"/>
        </w:numPr>
      </w:pPr>
      <w:r>
        <w:t xml:space="preserve">Inspectioneering. (2016, March 8). NACE study estimates global cost of corrosion at $2.5 trillion annually.</w:t>
      </w:r>
      <w:r>
        <w:t xml:space="preserve"> </w:t>
      </w:r>
      <w:r>
        <w:rPr>
          <w:i/>
          <w:iCs/>
        </w:rPr>
        <w:t xml:space="preserve">Inspectioneering</w:t>
      </w:r>
      <w:r>
        <w:t xml:space="preserve">. https://inspectioneering.com/news/2016-03-08/5202</w:t>
      </w:r>
    </w:p>
    <w:p>
      <w:pPr>
        <w:numPr>
          <w:ilvl w:val="0"/>
          <w:numId w:val="1034"/>
        </w:numPr>
      </w:pPr>
      <w:r>
        <w:t xml:space="preserve">ISO. (2024).</w:t>
      </w:r>
      <w:r>
        <w:t xml:space="preserve"> </w:t>
      </w:r>
      <w:r>
        <w:rPr>
          <w:i/>
          <w:iCs/>
        </w:rPr>
        <w:t xml:space="preserve">ISO 8044:2024, Corrosion of metals and alloys, Vocabulary</w:t>
      </w:r>
      <w:r>
        <w:t xml:space="preserve">.</w:t>
      </w:r>
    </w:p>
    <w:p>
      <w:pPr>
        <w:numPr>
          <w:ilvl w:val="0"/>
          <w:numId w:val="1034"/>
        </w:numPr>
      </w:pPr>
      <w:r>
        <w:t xml:space="preserve">ISO. (2025).</w:t>
      </w:r>
      <w:r>
        <w:t xml:space="preserve"> </w:t>
      </w:r>
      <w:r>
        <w:rPr>
          <w:i/>
          <w:iCs/>
        </w:rPr>
        <w:t xml:space="preserve">ISO 13381-1:2025, Condition monitoring and diagnostics of machine systems, Prognostics, Part 1: General guidelines and requirements</w:t>
      </w:r>
      <w:r>
        <w:t xml:space="preserve">.</w:t>
      </w:r>
    </w:p>
    <w:p>
      <w:pPr>
        <w:numPr>
          <w:ilvl w:val="0"/>
          <w:numId w:val="1034"/>
        </w:numPr>
      </w:pPr>
      <w:r>
        <w:t xml:space="preserve">ISO. (2020).</w:t>
      </w:r>
      <w:r>
        <w:t xml:space="preserve"> </w:t>
      </w:r>
      <w:r>
        <w:rPr>
          <w:i/>
          <w:iCs/>
        </w:rPr>
        <w:t xml:space="preserve">ISO 15156-1:2020, Petroleum and natural gas industries, Materials for use in H₂S-containing environments in oil and gas production</w:t>
      </w:r>
      <w:r>
        <w:t xml:space="preserve">.</w:t>
      </w:r>
    </w:p>
    <w:p>
      <w:pPr>
        <w:numPr>
          <w:ilvl w:val="0"/>
          <w:numId w:val="1034"/>
        </w:numPr>
      </w:pPr>
      <w:r>
        <w:t xml:space="preserve">Khadom, A. A., Yaro, A. S., Kadhum, A. A. H., AlTaie, A. S., &amp; Musa, A. Y. (2009). The effect of temperature and acid concentration on corrosion of low carbon steel in hydrochloric acid media.</w:t>
      </w:r>
      <w:r>
        <w:t xml:space="preserve"> </w:t>
      </w:r>
      <w:r>
        <w:rPr>
          <w:i/>
          <w:iCs/>
        </w:rPr>
        <w:t xml:space="preserve">American Journal of Applied Sciences</w:t>
      </w:r>
      <w:r>
        <w:t xml:space="preserve">, 6(8), 1403–1409.</w:t>
      </w:r>
    </w:p>
    <w:p>
      <w:pPr>
        <w:numPr>
          <w:ilvl w:val="0"/>
          <w:numId w:val="1034"/>
        </w:numPr>
      </w:pPr>
      <w:r>
        <w:t xml:space="preserve">Koch, G. H., Brongers, M. P. H., Thompson, N. G., Virmani, Y. P., &amp; Payer, J. H. (2016).</w:t>
      </w:r>
      <w:r>
        <w:t xml:space="preserve"> </w:t>
      </w:r>
      <w:r>
        <w:rPr>
          <w:i/>
          <w:iCs/>
        </w:rPr>
        <w:t xml:space="preserve">International Measures of Prevention, Application, and Economics of Corrosion Technology (IMPACT) Study</w:t>
      </w:r>
      <w:r>
        <w:t xml:space="preserve">. NACE International. http://impact.nace.org/</w:t>
      </w:r>
    </w:p>
    <w:p>
      <w:pPr>
        <w:numPr>
          <w:ilvl w:val="0"/>
          <w:numId w:val="1034"/>
        </w:numPr>
      </w:pPr>
      <w:r>
        <w:t xml:space="preserve">Zheng, Q., Zhang, H., Liu, H., Xu, H., Xu, B., &amp; Zhu, Z. (2025). Intelligent prediction model for pitting corrosion risk in pipelines using developed ResNet and feature reconstruction with interpretability analysis.</w:t>
      </w:r>
      <w:r>
        <w:t xml:space="preserve"> </w:t>
      </w:r>
      <w:r>
        <w:rPr>
          <w:i/>
          <w:iCs/>
        </w:rPr>
        <w:t xml:space="preserve">Reliability Engineering &amp; System Safety</w:t>
      </w:r>
      <w:r>
        <w:t xml:space="preserve">, 264, 111347. https://www.sciencedirect.com/science/article/abs/pii/S0951832025005484</w:t>
      </w:r>
    </w:p>
    <w:p>
      <w:pPr>
        <w:numPr>
          <w:ilvl w:val="0"/>
          <w:numId w:val="1034"/>
        </w:numPr>
      </w:pPr>
      <w:r>
        <w:t xml:space="preserve">Liu, Y., et al. (2022). A review: Prediction method for the remaining useful life of the mechanical system.</w:t>
      </w:r>
      <w:r>
        <w:t xml:space="preserve"> </w:t>
      </w:r>
      <w:r>
        <w:rPr>
          <w:i/>
          <w:iCs/>
        </w:rPr>
        <w:t xml:space="preserve">Journal of Failure Analysis and Prevention</w:t>
      </w:r>
      <w:r>
        <w:t xml:space="preserve">, 22, 2119–2137. https://doi.org/10.1007/s11668-022-01532-4</w:t>
      </w:r>
    </w:p>
    <w:p>
      <w:pPr>
        <w:numPr>
          <w:ilvl w:val="0"/>
          <w:numId w:val="1034"/>
        </w:numPr>
      </w:pPr>
      <w:r>
        <w:t xml:space="preserve">Lundberg, S. M., &amp; Lee, S. I. (2017). A unified approach to interpreting model predictions.</w:t>
      </w:r>
      <w:r>
        <w:t xml:space="preserve"> </w:t>
      </w:r>
      <w:r>
        <w:rPr>
          <w:i/>
          <w:iCs/>
        </w:rPr>
        <w:t xml:space="preserve">Advances in Neural Information Processing Systems (NeurIPS)</w:t>
      </w:r>
      <w:r>
        <w:t xml:space="preserve">, 30, 4768–4777.</w:t>
      </w:r>
    </w:p>
    <w:p>
      <w:pPr>
        <w:numPr>
          <w:ilvl w:val="0"/>
          <w:numId w:val="1034"/>
        </w:numPr>
      </w:pPr>
      <w:r>
        <w:t xml:space="preserve">Mansfeld, F. (2014). Recent developments in corrosion measurement techniques.</w:t>
      </w:r>
      <w:r>
        <w:t xml:space="preserve"> </w:t>
      </w:r>
      <w:r>
        <w:rPr>
          <w:i/>
          <w:iCs/>
        </w:rPr>
        <w:t xml:space="preserve">Materials and Corrosion</w:t>
      </w:r>
      <w:r>
        <w:t xml:space="preserve">, 65(7), 631–638.</w:t>
      </w:r>
    </w:p>
    <w:p>
      <w:pPr>
        <w:numPr>
          <w:ilvl w:val="0"/>
          <w:numId w:val="1034"/>
        </w:numPr>
      </w:pPr>
      <w:r>
        <w:t xml:space="preserve">Lasi, H., Fettke, P., Kemper, H. G., Feld, T., et Hoffmann, M. (2014). Industry 4.0.</w:t>
      </w:r>
      <w:r>
        <w:t xml:space="preserve"> </w:t>
      </w:r>
      <w:r>
        <w:rPr>
          <w:i/>
          <w:iCs/>
        </w:rPr>
        <w:t xml:space="preserve">Business &amp; Information Systems Engineering</w:t>
      </w:r>
      <w:r>
        <w:t xml:space="preserve">, 6(4), 239-242. https://doi.org/10.1007/s12599-014-0334-4</w:t>
      </w:r>
    </w:p>
    <w:p>
      <w:pPr>
        <w:numPr>
          <w:ilvl w:val="0"/>
          <w:numId w:val="1034"/>
        </w:numPr>
      </w:pPr>
      <w:r>
        <w:t xml:space="preserve">Lu, Y. (2017). Industry 4.0: A survey on technologies, applications and open research issues.</w:t>
      </w:r>
      <w:r>
        <w:t xml:space="preserve"> </w:t>
      </w:r>
      <w:r>
        <w:rPr>
          <w:i/>
          <w:iCs/>
        </w:rPr>
        <w:t xml:space="preserve">Journal of Industrial Information Integration</w:t>
      </w:r>
      <w:r>
        <w:t xml:space="preserve">, 6, 1-10. https://doi.org/10.1016/j.jii.2017.04.005</w:t>
      </w:r>
    </w:p>
    <w:p>
      <w:pPr>
        <w:numPr>
          <w:ilvl w:val="0"/>
          <w:numId w:val="1034"/>
        </w:numPr>
      </w:pPr>
      <w:r>
        <w:t xml:space="preserve">Xu, L. D., Xu, E. L., et Li, L. (2018). Industry 4.0: state of the art and future trends.</w:t>
      </w:r>
      <w:r>
        <w:t xml:space="preserve"> </w:t>
      </w:r>
      <w:r>
        <w:rPr>
          <w:i/>
          <w:iCs/>
        </w:rPr>
        <w:t xml:space="preserve">International Journal of Production Research</w:t>
      </w:r>
      <w:r>
        <w:t xml:space="preserve">, 56(8), 2941-2962. https://doi.org/10.1080/00207543.2018.1444806</w:t>
      </w:r>
    </w:p>
    <w:p>
      <w:pPr>
        <w:numPr>
          <w:ilvl w:val="0"/>
          <w:numId w:val="1034"/>
        </w:numPr>
      </w:pPr>
      <w:r>
        <w:t xml:space="preserve">GLPI Project. (2024).</w:t>
      </w:r>
      <w:r>
        <w:t xml:space="preserve"> </w:t>
      </w:r>
      <w:r>
        <w:rPr>
          <w:i/>
          <w:iCs/>
        </w:rPr>
        <w:t xml:space="preserve">GLPI, Free IT and Asset Management Software, REST API documentation</w:t>
      </w:r>
      <w:r>
        <w:t xml:space="preserve">. https://glpi-project.org/</w:t>
      </w:r>
    </w:p>
    <w:p>
      <w:pPr>
        <w:numPr>
          <w:ilvl w:val="0"/>
          <w:numId w:val="1034"/>
        </w:numPr>
      </w:pPr>
      <w:r>
        <w:t xml:space="preserve">Streamlit. (2024).</w:t>
      </w:r>
      <w:r>
        <w:t xml:space="preserve"> </w:t>
      </w:r>
      <w:r>
        <w:rPr>
          <w:i/>
          <w:iCs/>
        </w:rPr>
        <w:t xml:space="preserve">Streamlit Documentation, A faster way to build and share data apps</w:t>
      </w:r>
      <w:r>
        <w:t xml:space="preserve">. https://docs.streamlit.io/</w:t>
      </w:r>
    </w:p>
    <w:p>
      <w:pPr>
        <w:numPr>
          <w:ilvl w:val="0"/>
          <w:numId w:val="1034"/>
        </w:numPr>
      </w:pPr>
      <w:r>
        <w:t xml:space="preserve">NACE International. (2016).</w:t>
      </w:r>
      <w:r>
        <w:t xml:space="preserve"> </w:t>
      </w:r>
      <w:r>
        <w:rPr>
          <w:i/>
          <w:iCs/>
        </w:rPr>
        <w:t xml:space="preserve">IMPACT Study Press Release, CORROSION 2016 conference</w:t>
      </w:r>
      <w:r>
        <w:t xml:space="preserve">.</w:t>
      </w:r>
    </w:p>
    <w:p>
      <w:pPr>
        <w:numPr>
          <w:ilvl w:val="0"/>
          <w:numId w:val="1034"/>
        </w:numPr>
      </w:pPr>
      <w:r>
        <w:t xml:space="preserve">Onyebuchi, V., et al. (2018). Internal corrosion behaviour of Nigerian gas pipelines.</w:t>
      </w:r>
      <w:r>
        <w:t xml:space="preserve"> </w:t>
      </w:r>
      <w:r>
        <w:rPr>
          <w:i/>
          <w:iCs/>
        </w:rPr>
        <w:t xml:space="preserve">Unizik Journal of Engineering and Applied Sciences</w:t>
      </w:r>
      <w:r>
        <w:t xml:space="preserve">.</w:t>
      </w:r>
    </w:p>
    <w:p>
      <w:pPr>
        <w:numPr>
          <w:ilvl w:val="0"/>
          <w:numId w:val="1034"/>
        </w:numPr>
      </w:pPr>
      <w:r>
        <w:t xml:space="preserve">Ossai, C. I., Boswell, B., &amp; Davies, I. J. (2017). Use of artificial neural network for prediction of pipeline corrosion defect growth rate.</w:t>
      </w:r>
      <w:r>
        <w:t xml:space="preserve"> </w:t>
      </w:r>
      <w:r>
        <w:rPr>
          <w:i/>
          <w:iCs/>
        </w:rPr>
        <w:t xml:space="preserve">Engineering Failure Analysis</w:t>
      </w:r>
      <w:r>
        <w:t xml:space="preserve">, 82, 1–12.</w:t>
      </w:r>
    </w:p>
    <w:p>
      <w:pPr>
        <w:numPr>
          <w:ilvl w:val="0"/>
          <w:numId w:val="1034"/>
        </w:numPr>
      </w:pPr>
      <w:r>
        <w:t xml:space="preserve">Persian Utab. (2023).</w:t>
      </w:r>
      <w:r>
        <w:t xml:space="preserve"> </w:t>
      </w:r>
      <w:r>
        <w:rPr>
          <w:i/>
          <w:iCs/>
        </w:rPr>
        <w:t xml:space="preserve">Phosphoric acid and iron oxide, passivation mechanism</w:t>
      </w:r>
      <w:r>
        <w:t xml:space="preserve">. https://persianutab.com/en/phosphoric-acid-and-iron-oxide/</w:t>
      </w:r>
    </w:p>
    <w:p>
      <w:pPr>
        <w:numPr>
          <w:ilvl w:val="0"/>
          <w:numId w:val="1034"/>
        </w:numPr>
      </w:pPr>
      <w:r>
        <w:t xml:space="preserve">Pollock, D. D. (1991).</w:t>
      </w:r>
      <w:r>
        <w:t xml:space="preserve"> </w:t>
      </w:r>
      <w:r>
        <w:rPr>
          <w:i/>
          <w:iCs/>
        </w:rPr>
        <w:t xml:space="preserve">Physical Properties of Materials for Engineers</w:t>
      </w:r>
      <w:r>
        <w:t xml:space="preserve"> </w:t>
      </w:r>
      <w:r>
        <w:t xml:space="preserve">(2nd ed.). CRC Press.</w:t>
      </w:r>
    </w:p>
    <w:p>
      <w:pPr>
        <w:numPr>
          <w:ilvl w:val="0"/>
          <w:numId w:val="1034"/>
        </w:numPr>
      </w:pPr>
      <w:r>
        <w:t xml:space="preserve">Pumps Africa. (2024).</w:t>
      </w:r>
      <w:r>
        <w:t xml:space="preserve"> </w:t>
      </w:r>
      <w:r>
        <w:rPr>
          <w:i/>
          <w:iCs/>
        </w:rPr>
        <w:t xml:space="preserve">Advanced pipeline monitoring systems for safer oil &amp; gas operations in Africa</w:t>
      </w:r>
      <w:r>
        <w:t xml:space="preserve">. https://pumps-africa.com/advanced-pipeline-monitoring-systems-for-safer-oil-gas-operations-in-africa/</w:t>
      </w:r>
    </w:p>
    <w:p>
      <w:pPr>
        <w:numPr>
          <w:ilvl w:val="0"/>
          <w:numId w:val="1034"/>
        </w:numPr>
      </w:pPr>
      <w:r>
        <w:t xml:space="preserve">Roberge, P. R. (2008).</w:t>
      </w:r>
      <w:r>
        <w:t xml:space="preserve"> </w:t>
      </w:r>
      <w:r>
        <w:rPr>
          <w:i/>
          <w:iCs/>
        </w:rPr>
        <w:t xml:space="preserve">Corrosion Engineering: Principles and Practice</w:t>
      </w:r>
      <w:r>
        <w:t xml:space="preserve">. McGraw-Hill.</w:t>
      </w:r>
    </w:p>
    <w:p>
      <w:pPr>
        <w:numPr>
          <w:ilvl w:val="0"/>
          <w:numId w:val="1034"/>
        </w:numPr>
      </w:pPr>
      <w:r>
        <w:t xml:space="preserve">Savitzky, A., &amp; Golay, M. J. E. (1964). Smoothing and differentiation of data by simplified least squares procedures.</w:t>
      </w:r>
      <w:r>
        <w:t xml:space="preserve"> </w:t>
      </w:r>
      <w:r>
        <w:rPr>
          <w:i/>
          <w:iCs/>
        </w:rPr>
        <w:t xml:space="preserve">Analytical Chemistry</w:t>
      </w:r>
      <w:r>
        <w:t xml:space="preserve">, 36(8), 1627–1639.</w:t>
      </w:r>
    </w:p>
    <w:p>
      <w:pPr>
        <w:numPr>
          <w:ilvl w:val="0"/>
          <w:numId w:val="1034"/>
        </w:numPr>
      </w:pPr>
      <w:r>
        <w:t xml:space="preserve">Schweitzer, P. A. (2010).</w:t>
      </w:r>
      <w:r>
        <w:t xml:space="preserve"> </w:t>
      </w:r>
      <w:r>
        <w:rPr>
          <w:i/>
          <w:iCs/>
        </w:rPr>
        <w:t xml:space="preserve">Fundamentals of Corrosion: Mechanisms, Causes, and Preventive Methods</w:t>
      </w:r>
      <w:r>
        <w:t xml:space="preserve">. CRC Press.</w:t>
      </w:r>
    </w:p>
    <w:p>
      <w:pPr>
        <w:numPr>
          <w:ilvl w:val="0"/>
          <w:numId w:val="1034"/>
        </w:numPr>
      </w:pPr>
      <w:r>
        <w:t xml:space="preserve">Standards Norway. (2017).</w:t>
      </w:r>
      <w:r>
        <w:t xml:space="preserve"> </w:t>
      </w:r>
      <w:r>
        <w:rPr>
          <w:i/>
          <w:iCs/>
        </w:rPr>
        <w:t xml:space="preserve">NORSOK M-506, CO₂ corrosion rate calculation model</w:t>
      </w:r>
      <w:r>
        <w:t xml:space="preserve"> </w:t>
      </w:r>
      <w:r>
        <w:t xml:space="preserve">(3rd ed.).</w:t>
      </w:r>
    </w:p>
    <w:p>
      <w:pPr>
        <w:numPr>
          <w:ilvl w:val="0"/>
          <w:numId w:val="1034"/>
        </w:numPr>
      </w:pPr>
      <w:r>
        <w:t xml:space="preserve">Tan, L., et al. (2025). Prediction of internal corrosion rate for gas pipeline: A new method based on transformer architecture.</w:t>
      </w:r>
      <w:r>
        <w:t xml:space="preserve"> </w:t>
      </w:r>
      <w:r>
        <w:rPr>
          <w:i/>
          <w:iCs/>
        </w:rPr>
        <w:t xml:space="preserve">Computers &amp; Chemical Engineering</w:t>
      </w:r>
      <w:r>
        <w:t xml:space="preserve">. https://www.sciencedirect.com/science/article/abs/pii/S0098135425000882</w:t>
      </w:r>
    </w:p>
    <w:p>
      <w:pPr>
        <w:numPr>
          <w:ilvl w:val="0"/>
          <w:numId w:val="1034"/>
        </w:numPr>
      </w:pPr>
      <w:r>
        <w:t xml:space="preserve">Tukey, J. W. (1977).</w:t>
      </w:r>
      <w:r>
        <w:t xml:space="preserve"> </w:t>
      </w:r>
      <w:r>
        <w:rPr>
          <w:i/>
          <w:iCs/>
        </w:rPr>
        <w:t xml:space="preserve">Exploratory Data Analysis</w:t>
      </w:r>
      <w:r>
        <w:t xml:space="preserve">. Addison-Wesley.</w:t>
      </w:r>
    </w:p>
    <w:p>
      <w:pPr>
        <w:numPr>
          <w:ilvl w:val="0"/>
          <w:numId w:val="1034"/>
        </w:numPr>
      </w:pPr>
      <w:r>
        <w:t xml:space="preserve">Wagner, C., &amp; Traud, W. (1938). On the interpretation of corrosion phenomena by superposition of electrochemical partial reactions.</w:t>
      </w:r>
      <w:r>
        <w:t xml:space="preserve"> </w:t>
      </w:r>
      <w:r>
        <w:rPr>
          <w:i/>
          <w:iCs/>
        </w:rPr>
        <w:t xml:space="preserve">Zeitschrift für Elektrochemie</w:t>
      </w:r>
      <w:r>
        <w:t xml:space="preserve">, 44(7), 391–402.</w:t>
      </w:r>
    </w:p>
    <w:p>
      <w:pPr>
        <w:numPr>
          <w:ilvl w:val="0"/>
          <w:numId w:val="1034"/>
        </w:numPr>
      </w:pPr>
      <w:r>
        <w:t xml:space="preserve">Wang, Y., et al. (2023). Corrosion inhibition mechanism of water-soluble imidazoline on A572 Gr.65 steel in 3.5 wt % NaCl solution.</w:t>
      </w:r>
      <w:r>
        <w:t xml:space="preserve"> </w:t>
      </w:r>
      <w:r>
        <w:rPr>
          <w:i/>
          <w:iCs/>
        </w:rPr>
        <w:t xml:space="preserve">Langmuir</w:t>
      </w:r>
      <w:r>
        <w:t xml:space="preserve">, 39(45), 16108–16119. https://doi.org/10.1021/acs.langmuir.3c02781</w:t>
      </w:r>
    </w:p>
    <w:p>
      <w:pPr>
        <w:numPr>
          <w:ilvl w:val="0"/>
          <w:numId w:val="1034"/>
        </w:numPr>
      </w:pPr>
      <w:r>
        <w:t xml:space="preserve">Webster, J. G. (Ed.). (2014).</w:t>
      </w:r>
      <w:r>
        <w:t xml:space="preserve"> </w:t>
      </w:r>
      <w:r>
        <w:rPr>
          <w:i/>
          <w:iCs/>
        </w:rPr>
        <w:t xml:space="preserve">The Measurement, Instrumentation, and Sensors Handbook</w:t>
      </w:r>
      <w:r>
        <w:t xml:space="preserve"> </w:t>
      </w:r>
      <w:r>
        <w:t xml:space="preserve">(2nd ed.). CRC Press.</w:t>
      </w:r>
    </w:p>
    <w:p>
      <w:pPr>
        <w:numPr>
          <w:ilvl w:val="0"/>
          <w:numId w:val="1034"/>
        </w:numPr>
      </w:pPr>
      <w:r>
        <w:t xml:space="preserve">Wei, X., et al. (2024). Advanced machine learning techniques for corrosion rate estimation and prediction in industrial cooling water pipelines.</w:t>
      </w:r>
      <w:r>
        <w:t xml:space="preserve"> </w:t>
      </w:r>
      <w:r>
        <w:rPr>
          <w:i/>
          <w:iCs/>
        </w:rPr>
        <w:t xml:space="preserve">Sensors</w:t>
      </w:r>
      <w:r>
        <w:t xml:space="preserve">, 24(11), 3564. https://doi.org/10.3390/s24113564</w:t>
      </w:r>
    </w:p>
    <w:p>
      <w:pPr>
        <w:numPr>
          <w:ilvl w:val="0"/>
          <w:numId w:val="1034"/>
        </w:numPr>
      </w:pPr>
      <w:r>
        <w:t xml:space="preserve">Kuang, J., &amp; Long, Z. (2024). Prediction model for corrosion rate of low-alloy steels under atmospheric conditions using machine learning algorithms.</w:t>
      </w:r>
      <w:r>
        <w:t xml:space="preserve"> </w:t>
      </w:r>
      <w:r>
        <w:rPr>
          <w:i/>
          <w:iCs/>
        </w:rPr>
        <w:t xml:space="preserve">International Journal of Minerals, Metallurgy and Materials</w:t>
      </w:r>
      <w:r>
        <w:t xml:space="preserve">, 31(2), 337–350. https://doi.org/10.1007/s12613-023-2679-5</w:t>
      </w:r>
    </w:p>
    <w:p>
      <w:pPr>
        <w:numPr>
          <w:ilvl w:val="0"/>
          <w:numId w:val="1034"/>
        </w:numPr>
      </w:pPr>
      <w:r>
        <w:t xml:space="preserve">XGBoost. (2024).</w:t>
      </w:r>
      <w:r>
        <w:t xml:space="preserve"> </w:t>
      </w:r>
      <w:r>
        <w:rPr>
          <w:i/>
          <w:iCs/>
        </w:rPr>
        <w:t xml:space="preserve">XGBoost Documentation</w:t>
      </w:r>
      <w:r>
        <w:t xml:space="preserve">. https://xgboost.readthedocs.io/</w:t>
      </w:r>
    </w:p>
    <w:p>
      <w:pPr>
        <w:numPr>
          <w:ilvl w:val="0"/>
          <w:numId w:val="1034"/>
        </w:numPr>
      </w:pPr>
      <w:r>
        <w:t xml:space="preserve">Bagheri, B., Yang, S., Kao, H.-A., &amp; Lee, J. (2015). Cyber-physical systems architecture for self-aware machines in industry 4.0 environment.</w:t>
      </w:r>
      <w:r>
        <w:t xml:space="preserve"> </w:t>
      </w:r>
      <w:r>
        <w:rPr>
          <w:i/>
          <w:iCs/>
        </w:rPr>
        <w:t xml:space="preserve">IFAC-PapersOnLine</w:t>
      </w:r>
      <w:r>
        <w:t xml:space="preserve">, 48(3), 1622–1627. https://www.sciencedirect.com/science/article/pii/S2405896315005571</w:t>
      </w:r>
    </w:p>
    <w:p>
      <w:pPr>
        <w:numPr>
          <w:ilvl w:val="0"/>
          <w:numId w:val="1034"/>
        </w:numPr>
      </w:pPr>
      <w:r>
        <w:t xml:space="preserve">CMMS Wikipedia. (2024).</w:t>
      </w:r>
      <w:r>
        <w:t xml:space="preserve"> </w:t>
      </w:r>
      <w:r>
        <w:rPr>
          <w:i/>
          <w:iCs/>
        </w:rPr>
        <w:t xml:space="preserve">Computerized Maintenance Management System</w:t>
      </w:r>
      <w:r>
        <w:t xml:space="preserve">. https://en.wikipedia.org/wiki/Computerized_maintenance_management_system</w:t>
      </w:r>
    </w:p>
    <w:p>
      <w:pPr>
        <w:numPr>
          <w:ilvl w:val="0"/>
          <w:numId w:val="1034"/>
        </w:numPr>
      </w:pPr>
      <w:r>
        <w:t xml:space="preserve">ISO. (2016).</w:t>
      </w:r>
      <w:r>
        <w:t xml:space="preserve"> </w:t>
      </w:r>
      <w:r>
        <w:rPr>
          <w:i/>
          <w:iCs/>
        </w:rPr>
        <w:t xml:space="preserve">ISO 14224:2016, Petroleum, petrochemical and natural gas industries, Collection and exchange of reliability and maintenance data for equipment</w:t>
      </w:r>
      <w:r>
        <w:t xml:space="preserve">. International Organization for Standardization.</w:t>
      </w:r>
    </w:p>
    <w:p>
      <w:pPr>
        <w:numPr>
          <w:ilvl w:val="0"/>
          <w:numId w:val="1034"/>
        </w:numPr>
      </w:pPr>
      <w:r>
        <w:t xml:space="preserve">Lopes, I., Senra, P., Vilarinho, S., Sá, V., Teixeira, C., Lopes, J., Alves, A., Oliveira, J. A., &amp; Figueiredo, M. (2016). Requirements specification of a computerized maintenance management system, A case study.</w:t>
      </w:r>
      <w:r>
        <w:t xml:space="preserve"> </w:t>
      </w:r>
      <w:r>
        <w:rPr>
          <w:i/>
          <w:iCs/>
        </w:rPr>
        <w:t xml:space="preserve">Procedia CIRP</w:t>
      </w:r>
      <w:r>
        <w:t xml:space="preserve">, 52, 268–273.</w:t>
      </w:r>
    </w:p>
    <w:p>
      <w:pPr>
        <w:numPr>
          <w:ilvl w:val="0"/>
          <w:numId w:val="1034"/>
        </w:numPr>
      </w:pPr>
      <w:r>
        <w:t xml:space="preserve">Roda, I., &amp; Macchi, M. (2018). A framework to embed asset management in production companies.</w:t>
      </w:r>
      <w:r>
        <w:t xml:space="preserve"> </w:t>
      </w:r>
      <w:r>
        <w:rPr>
          <w:i/>
          <w:iCs/>
        </w:rPr>
        <w:t xml:space="preserve">Proceedings of the Institution of Mechanical Engineers, Part O: Journal of Risk and Reliability</w:t>
      </w:r>
      <w:r>
        <w:t xml:space="preserve">, 232(4), 368–378.</w:t>
      </w:r>
    </w:p>
    <w:p>
      <w:pPr>
        <w:numPr>
          <w:ilvl w:val="0"/>
          <w:numId w:val="1034"/>
        </w:numPr>
      </w:pPr>
      <w:r>
        <w:t xml:space="preserve">Supabase. (2024).</w:t>
      </w:r>
      <w:r>
        <w:t xml:space="preserve"> </w:t>
      </w:r>
      <w:r>
        <w:rPr>
          <w:i/>
          <w:iCs/>
        </w:rPr>
        <w:t xml:space="preserve">Supabase, The Open Source Firebase Alternative</w:t>
      </w:r>
      <w:r>
        <w:t xml:space="preserve">. https://supabase.com/</w:t>
      </w:r>
    </w:p>
    <w:p>
      <w:pPr>
        <w:numPr>
          <w:ilvl w:val="0"/>
          <w:numId w:val="1034"/>
        </w:numPr>
      </w:pPr>
      <w:r>
        <w:t xml:space="preserve">Avrami, M. (1939). Kinetics of phase change. I. General theory.</w:t>
      </w:r>
      <w:r>
        <w:t xml:space="preserve"> </w:t>
      </w:r>
      <w:r>
        <w:rPr>
          <w:i/>
          <w:iCs/>
        </w:rPr>
        <w:t xml:space="preserve">Journal of Chemical Physics</w:t>
      </w:r>
      <w:r>
        <w:t xml:space="preserve">, 7(12), 1103–1112. https://doi.org/10.1063/1.1750380</w:t>
      </w:r>
    </w:p>
    <w:p>
      <w:pPr>
        <w:numPr>
          <w:ilvl w:val="0"/>
          <w:numId w:val="1034"/>
        </w:numPr>
      </w:pPr>
      <w:r>
        <w:t xml:space="preserve">Saxena, A., Goebel, K., Simon, D., &amp; Eklund, N. (2008). Damage propagation modeling for aircraft engine run-to-failure simulation.</w:t>
      </w:r>
      <w:r>
        <w:t xml:space="preserve"> </w:t>
      </w:r>
      <w:r>
        <w:rPr>
          <w:i/>
          <w:iCs/>
        </w:rPr>
        <w:t xml:space="preserve">International Conference on Prognostics and Health Management (PHM)</w:t>
      </w:r>
      <w:r>
        <w:t xml:space="preserve">, 1–9. IEEE. https://doi.org/10.1109/PHM.2008.4711414</w:t>
      </w:r>
    </w:p>
    <w:p>
      <w:pPr>
        <w:numPr>
          <w:ilvl w:val="0"/>
          <w:numId w:val="1034"/>
        </w:numPr>
      </w:pPr>
      <w:r>
        <w:t xml:space="preserve">He, H., &amp; Garcia, E. A. (2009). Learning from imbalanced data.</w:t>
      </w:r>
      <w:r>
        <w:t xml:space="preserve"> </w:t>
      </w:r>
      <w:r>
        <w:rPr>
          <w:i/>
          <w:iCs/>
        </w:rPr>
        <w:t xml:space="preserve">IEEE Transactions on Knowledge and Data Engineering</w:t>
      </w:r>
      <w:r>
        <w:t xml:space="preserve">, 21(9), 1263–1284. https://doi.org/10.1109/TKDE.2008.239</w:t>
      </w:r>
    </w:p>
    <w:p>
      <w:pPr>
        <w:numPr>
          <w:ilvl w:val="0"/>
          <w:numId w:val="1034"/>
        </w:numPr>
      </w:pPr>
      <w:r>
        <w:t xml:space="preserve">Montgomery, D. C. (2017).</w:t>
      </w:r>
      <w:r>
        <w:t xml:space="preserve"> </w:t>
      </w:r>
      <w:r>
        <w:rPr>
          <w:i/>
          <w:iCs/>
        </w:rPr>
        <w:t xml:space="preserve">Design and Analysis of Experiments</w:t>
      </w:r>
      <w:r>
        <w:t xml:space="preserve"> </w:t>
      </w:r>
      <w:r>
        <w:t xml:space="preserve">(9th ed.). John Wiley &amp; Sons.</w:t>
      </w:r>
    </w:p>
    <w:p>
      <w:r>
        <w:br w:type="page"/>
      </w:r>
    </w:p>
    <w:bookmarkEnd w:id="189"/>
    <w:bookmarkStart w:id="204" w:name="annexes"/>
    <w:p>
      <w:pPr>
        <w:pStyle w:val="Heading1"/>
      </w:pPr>
      <w:r>
        <w:t xml:space="preserve">ANNEXES</w:t>
      </w:r>
    </w:p>
    <w:bookmarkStart w:id="190" w:name="X4a78aeac9d5037a16008a2ee68dd1166d7aa4b4"/>
    <w:p>
      <w:pPr>
        <w:pStyle w:val="Heading2"/>
      </w:pPr>
      <w:r>
        <w:t xml:space="preserve">Annexe A — Code source du firmware ESP32 (extrait)</w:t>
      </w:r>
    </w:p>
    <w:p>
      <w:pPr>
        <w:pStyle w:val="SourceCode"/>
      </w:pPr>
      <w:r>
        <w:rPr>
          <w:rStyle w:val="CommentTok"/>
        </w:rPr>
        <w:t xml:space="preserve">// ─────────────────────────────────────────────────────────</w:t>
      </w:r>
      <w:r>
        <w:br/>
      </w:r>
      <w:r>
        <w:rPr>
          <w:rStyle w:val="CommentTok"/>
        </w:rPr>
        <w:t xml:space="preserve">// Corrosion Monitor, ESP32 + HX711 + DS18B20</w:t>
      </w:r>
      <w:r>
        <w:br/>
      </w:r>
      <w:r>
        <w:rPr>
          <w:rStyle w:val="CommentTok"/>
        </w:rPr>
        <w:t xml:space="preserve">// M2 Maintenance Industrielle, ESTL Douala</w:t>
      </w:r>
      <w:r>
        <w:br/>
      </w:r>
      <w:r>
        <w:rPr>
          <w:rStyle w:val="CommentTok"/>
        </w:rPr>
        <w:t xml:space="preserve">// Cycle : mesure → POST Supabase → temporisation 30 s (acquisition continue)</w:t>
      </w:r>
      <w:r>
        <w:br/>
      </w:r>
      <w:r>
        <w:rPr>
          <w:rStyle w:val="CommentTok"/>
        </w:rPr>
        <w:t xml:space="preserve">// ─────────────────────────────────────────────────────────</w:t>
      </w:r>
      <w:r>
        <w:br/>
      </w:r>
      <w:r>
        <w:br/>
      </w:r>
      <w:r>
        <w:rPr>
          <w:rStyle w:val="PreprocessorTok"/>
        </w:rPr>
        <w:t xml:space="preserve">#include </w:t>
      </w:r>
      <w:r>
        <w:rPr>
          <w:rStyle w:val="ImportTok"/>
        </w:rPr>
        <w:t xml:space="preserve">"HX711.h"</w:t>
      </w:r>
      <w:r>
        <w:br/>
      </w:r>
      <w:r>
        <w:rPr>
          <w:rStyle w:val="PreprocessorTok"/>
        </w:rPr>
        <w:t xml:space="preserve">#include </w:t>
      </w:r>
      <w:r>
        <w:rPr>
          <w:rStyle w:val="ImportTok"/>
        </w:rPr>
        <w:t xml:space="preserve">&lt;OneWire.h&gt;</w:t>
      </w:r>
      <w:r>
        <w:br/>
      </w:r>
      <w:r>
        <w:rPr>
          <w:rStyle w:val="PreprocessorTok"/>
        </w:rPr>
        <w:t xml:space="preserve">#include </w:t>
      </w:r>
      <w:r>
        <w:rPr>
          <w:rStyle w:val="ImportTok"/>
        </w:rPr>
        <w:t xml:space="preserve">&lt;DallasTemperature.h&gt;</w:t>
      </w:r>
      <w:r>
        <w:br/>
      </w:r>
      <w:r>
        <w:br/>
      </w:r>
      <w:r>
        <w:rPr>
          <w:rStyle w:val="PreprocessorTok"/>
        </w:rPr>
        <w:t xml:space="preserve">#define HX711_DOUT_PIN   </w:t>
      </w:r>
      <w:r>
        <w:rPr>
          <w:rStyle w:val="DecValTok"/>
        </w:rPr>
        <w:t xml:space="preserve">21</w:t>
      </w:r>
      <w:r>
        <w:br/>
      </w:r>
      <w:r>
        <w:rPr>
          <w:rStyle w:val="PreprocessorTok"/>
        </w:rPr>
        <w:t xml:space="preserve">#define HX711_SCK_PIN    </w:t>
      </w:r>
      <w:r>
        <w:rPr>
          <w:rStyle w:val="DecValTok"/>
        </w:rPr>
        <w:t xml:space="preserve">22</w:t>
      </w:r>
      <w:r>
        <w:br/>
      </w:r>
      <w:r>
        <w:rPr>
          <w:rStyle w:val="PreprocessorTok"/>
        </w:rPr>
        <w:t xml:space="preserve">#define ONE_WIRE_BUS     </w:t>
      </w:r>
      <w:r>
        <w:rPr>
          <w:rStyle w:val="DecValTok"/>
        </w:rPr>
        <w:t xml:space="preserve">19</w:t>
      </w:r>
      <w:r>
        <w:br/>
      </w:r>
      <w:r>
        <w:br/>
      </w:r>
      <w:r>
        <w:rPr>
          <w:rStyle w:val="PreprocessorTok"/>
        </w:rPr>
        <w:t xml:space="preserve">#define MEASURE_INTERVAL_MS  </w:t>
      </w:r>
      <w:r>
        <w:rPr>
          <w:rStyle w:val="DecValTok"/>
        </w:rPr>
        <w:t xml:space="preserve">30000</w:t>
      </w:r>
      <w:r>
        <w:rPr>
          <w:rStyle w:val="BuiltInTok"/>
        </w:rPr>
        <w:t xml:space="preserve">UL</w:t>
      </w:r>
      <w:r>
        <w:rPr>
          <w:rStyle w:val="PreprocessorTok"/>
        </w:rPr>
        <w:t xml:space="preserve">   </w:t>
      </w:r>
      <w:r>
        <w:rPr>
          <w:rStyle w:val="CommentTok"/>
        </w:rPr>
        <w:t xml:space="preserve">// 30 secondes</w:t>
      </w:r>
      <w:r>
        <w:br/>
      </w:r>
      <w:r>
        <w:rPr>
          <w:rStyle w:val="PreprocessorTok"/>
        </w:rPr>
        <w:t xml:space="preserve">#define MESURES_PAR_CYCLE    </w:t>
      </w:r>
      <w:r>
        <w:rPr>
          <w:rStyle w:val="DecValTok"/>
        </w:rPr>
        <w:t xml:space="preserve">10</w:t>
      </w:r>
      <w:r>
        <w:br/>
      </w:r>
      <w:r>
        <w:br/>
      </w:r>
      <w:r>
        <w:rPr>
          <w:rStyle w:val="AttributeTok"/>
        </w:rPr>
        <w:t xml:space="preserve">static</w:t>
      </w:r>
      <w:r>
        <w:rPr>
          <w:rStyle w:val="NormalTok"/>
        </w:rPr>
        <w:t xml:space="preserve"> </w:t>
      </w:r>
      <w:r>
        <w:rPr>
          <w:rStyle w:val="DataTypeTok"/>
        </w:rPr>
        <w:t xml:space="preserve">double</w:t>
      </w:r>
      <w:r>
        <w:rPr>
          <w:rStyle w:val="NormalTok"/>
        </w:rPr>
        <w:t xml:space="preserve"> last_Rx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AttributeTok"/>
        </w:rPr>
        <w:t xml:space="preserve">static</w:t>
      </w:r>
      <w:r>
        <w:rPr>
          <w:rStyle w:val="NormalTok"/>
        </w:rPr>
        <w:t xml:space="preserve"> </w:t>
      </w:r>
      <w:r>
        <w:rPr>
          <w:rStyle w:val="DataTypeTok"/>
        </w:rPr>
        <w:t xml:space="preserve">bool</w:t>
      </w:r>
      <w:r>
        <w:rPr>
          <w:rStyle w:val="NormalTok"/>
        </w:rPr>
        <w:t xml:space="preserve">   first_measure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rPr>
          <w:i/>
          <w:iCs/>
        </w:rPr>
        <w:t xml:space="preserve">Code complet disponible dans le dépôt GitHub :</w:t>
      </w:r>
      <w:r>
        <w:rPr>
          <w:i/>
          <w:iCs/>
        </w:rPr>
        <w:t xml:space="preserve"> </w:t>
      </w:r>
      <w:r>
        <w:rPr>
          <w:rStyle w:val="VerbatimChar"/>
          <w:i/>
          <w:iCs/>
        </w:rPr>
        <w:t xml:space="preserve">firmware/corrosion_monitor.ino</w:t>
      </w:r>
      <w:r>
        <w:rPr>
          <w:i/>
          <w:iCs/>
        </w:rPr>
        <w:t xml:space="preserve">.</w:t>
      </w:r>
    </w:p>
    <w:bookmarkEnd w:id="190"/>
    <w:bookmarkStart w:id="191" w:name="X89fdaac54454b2f39af1c3d7cfa8452fb9c21c0"/>
    <w:p>
      <w:pPr>
        <w:pStyle w:val="Heading2"/>
      </w:pPr>
      <w:r>
        <w:t xml:space="preserve">Annexe B — Pipeline Python — extrait feature engineering</w:t>
      </w:r>
    </w:p>
    <w:p>
      <w:pPr>
        <w:pStyle w:val="SourceCode"/>
      </w:pPr>
      <w:r>
        <w:rPr>
          <w:rStyle w:val="KeywordTok"/>
        </w:rPr>
        <w:t xml:space="preserve">def</w:t>
      </w:r>
      <w:r>
        <w:rPr>
          <w:rStyle w:val="NormalTok"/>
        </w:rPr>
        <w:t xml:space="preserve"> feature_engineering(df: pd.DataFrame) </w:t>
      </w:r>
      <w:r>
        <w:rPr>
          <w:rStyle w:val="OperatorTok"/>
        </w:rPr>
        <w:t xml:space="preserve">-&gt;</w:t>
      </w:r>
      <w:r>
        <w:rPr>
          <w:rStyle w:val="NormalTok"/>
        </w:rPr>
        <w:t xml:space="preserve"> pd.DataFrame:</w:t>
      </w:r>
      <w:r>
        <w:br/>
      </w:r>
      <w:r>
        <w:rPr>
          <w:rStyle w:val="NormalTok"/>
        </w:rPr>
        <w:t xml:space="preserve">    df[</w:t>
      </w:r>
      <w:r>
        <w:rPr>
          <w:rStyle w:val="StringTok"/>
        </w:rPr>
        <w:t xml:space="preserve">"delta_R_1h"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].diff(N_1H)   </w:t>
      </w:r>
      <w:r>
        <w:rPr>
          <w:rStyle w:val="CommentTok"/>
        </w:rPr>
        <w:t xml:space="preserve"># variation sur ~1 h</w:t>
      </w:r>
      <w:r>
        <w:br/>
      </w:r>
      <w:r>
        <w:rPr>
          <w:rStyle w:val="NormalTok"/>
        </w:rPr>
        <w:t xml:space="preserve">    df[</w:t>
      </w:r>
      <w:r>
        <w:rPr>
          <w:rStyle w:val="StringTok"/>
        </w:rPr>
        <w:t xml:space="preserve">"delta_R_6h"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].diff(N_6H)   </w:t>
      </w:r>
      <w:r>
        <w:rPr>
          <w:rStyle w:val="CommentTok"/>
        </w:rPr>
        <w:t xml:space="preserve"># variation sur ~6 h</w:t>
      </w:r>
      <w:r>
        <w:br/>
      </w:r>
      <w:r>
        <w:rPr>
          <w:rStyle w:val="NormalTok"/>
        </w:rPr>
        <w:t xml:space="preserve">    dt_1h </w:t>
      </w:r>
      <w:r>
        <w:rPr>
          <w:rStyle w:val="OperatorTok"/>
        </w:rPr>
        <w:t xml:space="preserve">=</w:t>
      </w:r>
      <w:r>
        <w:rPr>
          <w:rStyle w:val="NormalTok"/>
        </w:rPr>
        <w:t xml:space="preserve"> df[</w:t>
      </w:r>
      <w:r>
        <w:rPr>
          <w:rStyle w:val="StringTok"/>
        </w:rPr>
        <w:t xml:space="preserve">"timestamp_h"</w:t>
      </w:r>
      <w:r>
        <w:rPr>
          <w:rStyle w:val="NormalTok"/>
        </w:rPr>
        <w:t xml:space="preserve">].diff(</w:t>
      </w:r>
      <w:r>
        <w:rPr>
          <w:rStyle w:val="DecValTok"/>
        </w:rPr>
        <w:t xml:space="preserve">6</w:t>
      </w:r>
      <w:r>
        <w:rPr>
          <w:rStyle w:val="NormalTok"/>
        </w:rPr>
        <w:t xml:space="preserve">).replace(</w:t>
      </w:r>
      <w:r>
        <w:rPr>
          <w:rStyle w:val="DecValTok"/>
        </w:rPr>
        <w:t xml:space="preserve">0</w:t>
      </w:r>
      <w:r>
        <w:rPr>
          <w:rStyle w:val="NormalTok"/>
        </w:rPr>
        <w:t xml:space="preserve">, np.nan)</w:t>
      </w:r>
      <w:r>
        <w:br/>
      </w:r>
      <w:r>
        <w:rPr>
          <w:rStyle w:val="NormalTok"/>
        </w:rPr>
        <w:t xml:space="preserve">    df[</w:t>
      </w:r>
      <w:r>
        <w:rPr>
          <w:rStyle w:val="StringTok"/>
        </w:rPr>
        <w:t xml:space="preserve">"vitesse_CR_1h"</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(df[</w:t>
      </w:r>
      <w:r>
        <w:rPr>
          <w:rStyle w:val="StringTok"/>
        </w:rPr>
        <w:t xml:space="preserve">"rx_corr"</w:t>
      </w:r>
      <w:r>
        <w:rPr>
          <w:rStyle w:val="NormalTok"/>
        </w:rPr>
        <w:t xml:space="preserve">].diff(</w:t>
      </w:r>
      <w:r>
        <w:rPr>
          <w:rStyle w:val="DecValTok"/>
        </w:rPr>
        <w:t xml:space="preserve">6</w:t>
      </w:r>
      <w:r>
        <w:rPr>
          <w:rStyle w:val="NormalTok"/>
        </w:rPr>
        <w:t xml:space="preserve">) </w:t>
      </w:r>
      <w:r>
        <w:rPr>
          <w:rStyle w:val="OperatorTok"/>
        </w:rPr>
        <w:t xml:space="preserve">/</w:t>
      </w:r>
      <w:r>
        <w:rPr>
          <w:rStyle w:val="NormalTok"/>
        </w:rPr>
        <w:t xml:space="preserve"> dt_1h)</w:t>
      </w:r>
      <w:r>
        <w:br/>
      </w:r>
      <w:r>
        <w:rPr>
          <w:rStyle w:val="NormalTok"/>
        </w:rPr>
        <w:t xml:space="preserve">                           </w:t>
      </w:r>
      <w:r>
        <w:rPr>
          <w:rStyle w:val="OperatorTok"/>
        </w:rPr>
        <w:t xml:space="preserve">*</w:t>
      </w:r>
      <w:r>
        <w:rPr>
          <w:rStyle w:val="NormalTok"/>
        </w:rPr>
        <w:t xml:space="preserve"> HEURES_PAR_AN </w:t>
      </w:r>
      <w:r>
        <w:rPr>
          <w:rStyle w:val="OperatorTok"/>
        </w:rPr>
        <w:t xml:space="preserve">*</w:t>
      </w:r>
      <w:r>
        <w:rPr>
          <w:rStyle w:val="NormalTok"/>
        </w:rPr>
        <w:t xml:space="preserve"> </w:t>
      </w:r>
      <w:r>
        <w:rPr>
          <w:rStyle w:val="FloatTok"/>
        </w:rPr>
        <w:t xml:space="preserve">1000.0</w:t>
      </w:r>
      <w:r>
        <w:rPr>
          <w:rStyle w:val="NormalTok"/>
        </w:rPr>
        <w:t xml:space="preserve">)</w:t>
      </w:r>
      <w:r>
        <w:br/>
      </w:r>
      <w:r>
        <w:rPr>
          <w:rStyle w:val="NormalTok"/>
        </w:rPr>
        <w:t xml:space="preserve">    df[</w:t>
      </w:r>
      <w:r>
        <w:rPr>
          <w:rStyle w:val="StringTok"/>
        </w:rPr>
        <w:t xml:space="preserve">"temp_moy_6h"</w:t>
      </w:r>
      <w:r>
        <w:rPr>
          <w:rStyle w:val="NormalTok"/>
        </w:rPr>
        <w:t xml:space="preserve">] </w:t>
      </w:r>
      <w:r>
        <w:rPr>
          <w:rStyle w:val="OperatorTok"/>
        </w:rPr>
        <w:t xml:space="preserve">=</w:t>
      </w:r>
      <w:r>
        <w:rPr>
          <w:rStyle w:val="NormalTok"/>
        </w:rPr>
        <w:t xml:space="preserve"> df[</w:t>
      </w:r>
      <w:r>
        <w:rPr>
          <w:rStyle w:val="StringTok"/>
        </w:rPr>
        <w:t xml:space="preserve">"temp_lisse"</w:t>
      </w:r>
      <w:r>
        <w:rPr>
          <w:rStyle w:val="NormalTok"/>
        </w:rPr>
        <w:t xml:space="preserve">].rolling(</w:t>
      </w:r>
      <w:r>
        <w:rPr>
          <w:rStyle w:val="DecValTok"/>
        </w:rPr>
        <w:t xml:space="preserve">36</w:t>
      </w:r>
      <w:r>
        <w:rPr>
          <w:rStyle w:val="NormalTok"/>
        </w:rPr>
        <w:t xml:space="preserve">, min_periods</w:t>
      </w:r>
      <w:r>
        <w:rPr>
          <w:rStyle w:val="OperatorTok"/>
        </w:rPr>
        <w:t xml:space="preserve">=</w:t>
      </w:r>
      <w:r>
        <w:rPr>
          <w:rStyle w:val="DecValTok"/>
        </w:rPr>
        <w:t xml:space="preserve">1</w:t>
      </w:r>
      <w:r>
        <w:rPr>
          <w:rStyle w:val="NormalTok"/>
        </w:rPr>
        <w:t xml:space="preserve">).mean()</w:t>
      </w:r>
      <w:r>
        <w:br/>
      </w:r>
      <w:r>
        <w:rPr>
          <w:rStyle w:val="NormalTok"/>
        </w:rPr>
        <w:t xml:space="preserve">    df[</w:t>
      </w:r>
      <w:r>
        <w:rPr>
          <w:rStyle w:val="StringTok"/>
        </w:rPr>
        <w:t xml:space="preserve">"temps_immersion_h"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].iloc[</w:t>
      </w:r>
      <w:r>
        <w:rPr>
          <w:rStyle w:val="DecValTok"/>
        </w:rPr>
        <w:t xml:space="preserve">0</w:t>
      </w:r>
      <w:r>
        <w:rPr>
          <w:rStyle w:val="NormalTok"/>
        </w:rPr>
        <w:t xml:space="preserve">]</w:t>
      </w:r>
      <w:r>
        <w:br/>
      </w:r>
      <w:r>
        <w:rPr>
          <w:rStyle w:val="NormalTok"/>
        </w:rPr>
        <w:t xml:space="preserve">    R0 </w:t>
      </w:r>
      <w:r>
        <w:rPr>
          <w:rStyle w:val="OperatorTok"/>
        </w:rPr>
        <w:t xml:space="preserve">=</w:t>
      </w:r>
      <w:r>
        <w:rPr>
          <w:rStyle w:val="NormalTok"/>
        </w:rPr>
        <w:t xml:space="preserve"> df[</w:t>
      </w:r>
      <w:r>
        <w:rPr>
          <w:rStyle w:val="StringTok"/>
        </w:rPr>
        <w:t xml:space="preserve">"rx_corr"</w:t>
      </w:r>
      <w:r>
        <w:rPr>
          <w:rStyle w:val="NormalTok"/>
        </w:rPr>
        <w:t xml:space="preserve">].iloc[</w:t>
      </w:r>
      <w:r>
        <w:rPr>
          <w:rStyle w:val="DecValTok"/>
        </w:rPr>
        <w:t xml:space="preserve">0</w:t>
      </w:r>
      <w:r>
        <w:rPr>
          <w:rStyle w:val="NormalTok"/>
        </w:rPr>
        <w:t xml:space="preserve">]</w:t>
      </w:r>
      <w:r>
        <w:br/>
      </w:r>
      <w:r>
        <w:rPr>
          <w:rStyle w:val="NormalTok"/>
        </w:rPr>
        <w:t xml:space="preserve">    df[</w:t>
      </w:r>
      <w:r>
        <w:rPr>
          <w:rStyle w:val="StringTok"/>
        </w:rPr>
        <w:t xml:space="preserve">"delta_R_absolu"</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 </w:t>
      </w:r>
      <w:r>
        <w:rPr>
          <w:rStyle w:val="OperatorTok"/>
        </w:rPr>
        <w:t xml:space="preserve">-</w:t>
      </w:r>
      <w:r>
        <w:rPr>
          <w:rStyle w:val="NormalTok"/>
        </w:rPr>
        <w:t xml:space="preserve"> R0</w:t>
      </w:r>
      <w:r>
        <w:br/>
      </w:r>
      <w:r>
        <w:rPr>
          <w:rStyle w:val="NormalTok"/>
        </w:rPr>
        <w:t xml:space="preserve">    </w:t>
      </w:r>
      <w:r>
        <w:rPr>
          <w:rStyle w:val="ControlFlowTok"/>
        </w:rPr>
        <w:t xml:space="preserve">return</w:t>
      </w:r>
      <w:r>
        <w:rPr>
          <w:rStyle w:val="NormalTok"/>
        </w:rPr>
        <w:t xml:space="preserve"> df</w:t>
      </w:r>
    </w:p>
    <w:p>
      <w:pPr>
        <w:pStyle w:val="FirstParagraph"/>
      </w:pPr>
      <w:r>
        <w:rPr>
          <w:i/>
          <w:iCs/>
        </w:rPr>
        <w:t xml:space="preserve">Pipeline complet disponible dans le dépôt GitHub :</w:t>
      </w:r>
      <w:r>
        <w:rPr>
          <w:i/>
          <w:iCs/>
        </w:rPr>
        <w:t xml:space="preserve"> </w:t>
      </w:r>
      <w:r>
        <w:rPr>
          <w:rStyle w:val="VerbatimChar"/>
          <w:i/>
          <w:iCs/>
        </w:rPr>
        <w:t xml:space="preserve">pipeline/corrosion_pipeline.py</w:t>
      </w:r>
      <w:r>
        <w:rPr>
          <w:i/>
          <w:iCs/>
        </w:rPr>
        <w:t xml:space="preserve">.</w:t>
      </w:r>
    </w:p>
    <w:bookmarkEnd w:id="191"/>
    <w:bookmarkStart w:id="195" w:name="X866633686f9e59acae75a6fcbe6327624079636"/>
    <w:p>
      <w:pPr>
        <w:pStyle w:val="Heading2"/>
      </w:pPr>
      <w:r>
        <w:t xml:space="preserve">Annexe C — Schéma de câblage de la sonde ER</w:t>
      </w:r>
    </w:p>
    <w:p>
      <w:pPr>
        <w:pStyle w:val="CaptionedFigure"/>
        <w:jc w:val="center"/>
      </w:pPr>
      <w:r>
        <w:drawing>
          <wp:inline>
            <wp:extent cx="5296535" cy="4580705"/>
            <wp:effectExtent b="0" l="0" r="0" t="0"/>
            <wp:docPr descr="Figure C.1 — Schéma de câblage complet : ESP32 + HX711 + montage shunt + R_lift + DS18B20 + cellule en plastique" title="" id="193" name="Picture"/>
            <a:graphic>
              <a:graphicData uri="http://schemas.openxmlformats.org/drawingml/2006/picture">
                <pic:pic>
                  <pic:nvPicPr>
                    <pic:cNvPr descr="figures/fig_c1_cablage.png" id="194" name="Picture"/>
                    <pic:cNvPicPr>
                      <a:picLocks noChangeArrowheads="1" noChangeAspect="1"/>
                    </pic:cNvPicPr>
                  </pic:nvPicPr>
                  <pic:blipFill>
                    <a:blip r:embed="rId192"/>
                    <a:stretch>
                      <a:fillRect/>
                    </a:stretch>
                  </pic:blipFill>
                  <pic:spPr bwMode="auto">
                    <a:xfrm>
                      <a:off x="0" y="0"/>
                      <a:ext cx="5296535" cy="4580705"/>
                    </a:xfrm>
                    <a:prstGeom prst="rect">
                      <a:avLst/>
                    </a:prstGeom>
                    <a:noFill/>
                    <a:ln w="9525">
                      <a:noFill/>
                      <a:headEnd/>
                      <a:tailEnd/>
                    </a:ln>
                  </pic:spPr>
                </pic:pic>
              </a:graphicData>
            </a:graphic>
          </wp:inline>
        </w:drawing>
      </w:r>
    </w:p>
    <w:p>
      <w:pPr>
        <w:pStyle w:val="ImageCaption"/>
      </w:pPr>
      <w:r>
        <w:t xml:space="preserve">Figure C.1 — Schéma de câblage complet : ESP32 + HX711 + montage shunt + R_lift + DS18B20 + cellule en plastique</w:t>
      </w:r>
    </w:p>
    <w:bookmarkEnd w:id="195"/>
    <w:bookmarkStart w:id="196" w:name="Xdbf85f3da9c2680bfbf7a4a2c01e415fedffe50"/>
    <w:p>
      <w:pPr>
        <w:pStyle w:val="Heading2"/>
      </w:pPr>
      <w:r>
        <w:t xml:space="preserve">Annexe D — Fiche de sécurité du milieu corrosif (acide chlorhydrique)</w:t>
      </w:r>
    </w:p>
    <w:p>
      <w:pPr>
        <w:pStyle w:val="FirstParagraph"/>
      </w:pPr>
      <w:r>
        <w:t xml:space="preserve">L’acide chlorhydrique concentré (HCl) est classé comme produit corrosif (catégorie 1A pour les acides minéraux) et volatil. Lors des manipulations, les équipements de protection individuelle (EPI) suivants sont obligatoires :</w:t>
      </w:r>
    </w:p>
    <w:p>
      <w:pPr>
        <w:pStyle w:val="Compact"/>
        <w:numPr>
          <w:ilvl w:val="0"/>
          <w:numId w:val="1035"/>
        </w:numPr>
      </w:pPr>
      <w:r>
        <w:t xml:space="preserve">Lunettes de protection étanches aux projections liquides ;</w:t>
      </w:r>
    </w:p>
    <w:p>
      <w:pPr>
        <w:pStyle w:val="Compact"/>
        <w:numPr>
          <w:ilvl w:val="0"/>
          <w:numId w:val="1035"/>
        </w:numPr>
      </w:pPr>
      <w:r>
        <w:t xml:space="preserve">Gants résistants aux acides (nitrile, épaisseur ≥ 0,5 mm) ;</w:t>
      </w:r>
    </w:p>
    <w:p>
      <w:pPr>
        <w:pStyle w:val="Compact"/>
        <w:numPr>
          <w:ilvl w:val="0"/>
          <w:numId w:val="1035"/>
        </w:numPr>
      </w:pPr>
      <w:r>
        <w:t xml:space="preserve">Blouse de laboratoire en coton ;</w:t>
      </w:r>
    </w:p>
    <w:p>
      <w:pPr>
        <w:pStyle w:val="Compact"/>
        <w:numPr>
          <w:ilvl w:val="0"/>
          <w:numId w:val="1035"/>
        </w:numPr>
      </w:pPr>
      <w:r>
        <w:t xml:space="preserve">Hotte ou ventilation forcée à l’ouverture du récipient ;</w:t>
      </w:r>
    </w:p>
    <w:p>
      <w:pPr>
        <w:pStyle w:val="Compact"/>
        <w:numPr>
          <w:ilvl w:val="0"/>
          <w:numId w:val="1035"/>
        </w:numPr>
      </w:pPr>
      <w:r>
        <w:t xml:space="preserve">Solution de neutralisation (NaHCO₃) à proximité.</w:t>
      </w:r>
    </w:p>
    <w:p>
      <w:pPr>
        <w:pStyle w:val="FirstParagraph"/>
      </w:pPr>
      <w:r>
        <w:t xml:space="preserve">En cas de contact cutané : rincer abondamment à l’eau claire pendant au moins 15 minutes et consulter un médecin.</w:t>
      </w:r>
    </w:p>
    <w:bookmarkEnd w:id="196"/>
    <w:bookmarkStart w:id="197" w:name="X91a67e7467e3c399fd51c132091fc35a498412d"/>
    <w:p>
      <w:pPr>
        <w:pStyle w:val="Heading2"/>
      </w:pPr>
      <w:r>
        <w:t xml:space="preserve">Annexe E — Dispositif de contrôle de la température (phase contrôlée)</w:t>
      </w:r>
    </w:p>
    <w:p>
      <w:pPr>
        <w:pStyle w:val="FirstParagraph"/>
      </w:pPr>
      <w:r>
        <w:t xml:space="preserve">La phase contrôlée de la campagne régule la température du milieu corrosif directement, sans bain d’eau intermédiaire :</w:t>
      </w:r>
    </w:p>
    <w:p>
      <w:pPr>
        <w:pStyle w:val="Compact"/>
        <w:numPr>
          <w:ilvl w:val="0"/>
          <w:numId w:val="1036"/>
        </w:numPr>
      </w:pPr>
      <w:r>
        <w:t xml:space="preserve">Chauffe-eau d’aquarium étanche à thermostat intégré, puissance 25 W, plage de consigne 16–35 °C, immergé directement dans la cellule de corrosion (au même titre que le capteur DS18B20), son corps scellé assurant l’isolation électrique vis-à-vis du milieu ;</w:t>
      </w:r>
    </w:p>
    <w:p>
      <w:pPr>
        <w:pStyle w:val="Compact"/>
        <w:numPr>
          <w:ilvl w:val="0"/>
          <w:numId w:val="1036"/>
        </w:numPr>
      </w:pPr>
      <w:r>
        <w:t xml:space="preserve">Régulation in situ : le thermostat maintient le milieu à la consigne ; la température réelle est suivie en continu par le capteur DS18B20 du dispositif de mesure ;</w:t>
      </w:r>
    </w:p>
    <w:p>
      <w:pPr>
        <w:pStyle w:val="Compact"/>
        <w:numPr>
          <w:ilvl w:val="0"/>
          <w:numId w:val="1036"/>
        </w:numPr>
      </w:pPr>
      <w:r>
        <w:t xml:space="preserve">Cellule couverte : le récipient est couvert pendant l’essai pour limiter l’évaporation du HCl, accentuée par le chauffage, et stabiliser la concentration (cohérent avec le protocole acide, §II.6.3) ;</w:t>
      </w:r>
    </w:p>
    <w:p>
      <w:pPr>
        <w:pStyle w:val="Compact"/>
        <w:numPr>
          <w:ilvl w:val="0"/>
          <w:numId w:val="1036"/>
        </w:numPr>
      </w:pPr>
      <w:r>
        <w:t xml:space="preserve">Limite : à consigne élevée (≥ 32 °C), la puissance de 25 W impose de bien couvrir la cellule pour atteindre et tenir la consigne au-dessus de la température ambiante de Douala (≈ 28–29 °C) ; la compatibilité chimique du corps étanche avec le HCl reste un point de vigilance pratique.</w:t>
      </w:r>
    </w:p>
    <w:bookmarkEnd w:id="197"/>
    <w:bookmarkStart w:id="201" w:name="Xcc55f5e422aaf19d95dc0e373d45c068519994c"/>
    <w:p>
      <w:pPr>
        <w:pStyle w:val="Heading2"/>
      </w:pPr>
      <w:r>
        <w:t xml:space="preserve">Annexe F — Schéma de base de données du prototype GMAO</w:t>
      </w:r>
    </w:p>
    <w:p>
      <w:pPr>
        <w:pStyle w:val="CaptionedFigure"/>
        <w:jc w:val="center"/>
      </w:pPr>
      <w:r>
        <w:drawing>
          <wp:inline>
            <wp:extent cx="5296535" cy="3933096"/>
            <wp:effectExtent b="0" l="0" r="0" t="0"/>
            <wp:docPr descr="Figure F.1 — Schéma relationnel (ERD) de la base Supabase : 8 tables, clés étrangères en cardinalité 1 — *" title="" id="199" name="Picture"/>
            <a:graphic>
              <a:graphicData uri="http://schemas.openxmlformats.org/drawingml/2006/picture">
                <pic:pic>
                  <pic:nvPicPr>
                    <pic:cNvPr descr="figures/fig_f1_erd.png" id="200" name="Picture"/>
                    <pic:cNvPicPr>
                      <a:picLocks noChangeArrowheads="1" noChangeAspect="1"/>
                    </pic:cNvPicPr>
                  </pic:nvPicPr>
                  <pic:blipFill>
                    <a:blip r:embed="rId198"/>
                    <a:stretch>
                      <a:fillRect/>
                    </a:stretch>
                  </pic:blipFill>
                  <pic:spPr bwMode="auto">
                    <a:xfrm>
                      <a:off x="0" y="0"/>
                      <a:ext cx="5296535" cy="3933096"/>
                    </a:xfrm>
                    <a:prstGeom prst="rect">
                      <a:avLst/>
                    </a:prstGeom>
                    <a:noFill/>
                    <a:ln w="9525">
                      <a:noFill/>
                      <a:headEnd/>
                      <a:tailEnd/>
                    </a:ln>
                  </pic:spPr>
                </pic:pic>
              </a:graphicData>
            </a:graphic>
          </wp:inline>
        </w:drawing>
      </w:r>
    </w:p>
    <w:p>
      <w:pPr>
        <w:pStyle w:val="ImageCaption"/>
      </w:pPr>
      <w:r>
        <w:t xml:space="preserve">Figure F.1 — Schéma relationnel (ERD) de la base Supabase : 8 tables, clés étrangères en cardinalité 1 — *</w:t>
      </w:r>
    </w:p>
    <w:p>
      <w:pPr>
        <w:pStyle w:val="BodyText"/>
      </w:pPr>
      <w:r>
        <w:t xml:space="preserve">Définitions SQL des tables :</w:t>
      </w:r>
    </w:p>
    <w:p>
      <w:pPr>
        <w:pStyle w:val="SourceCode"/>
      </w:pPr>
      <w:r>
        <w:rPr>
          <w:rStyle w:val="CommentTok"/>
        </w:rPr>
        <w:t xml:space="preserve">-- Tables relationnelles du prototype GMAO (Supabase / PostgreSQL)</w:t>
      </w:r>
      <w:r>
        <w:br/>
      </w:r>
      <w:r>
        <w:br/>
      </w:r>
      <w:r>
        <w:rPr>
          <w:rStyle w:val="KeywordTok"/>
        </w:rPr>
        <w:t xml:space="preserve">CREATE</w:t>
      </w:r>
      <w:r>
        <w:rPr>
          <w:rStyle w:val="NormalTok"/>
        </w:rPr>
        <w:t xml:space="preserve"> </w:t>
      </w:r>
      <w:r>
        <w:rPr>
          <w:rStyle w:val="KeywordTok"/>
        </w:rPr>
        <w:t xml:space="preserve">TABLE</w:t>
      </w:r>
      <w:r>
        <w:rPr>
          <w:rStyle w:val="NormalTok"/>
        </w:rPr>
        <w:t xml:space="preserve"> assets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nom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text,</w:t>
      </w:r>
      <w:r>
        <w:br/>
      </w:r>
      <w:r>
        <w:rPr>
          <w:rStyle w:val="NormalTok"/>
        </w:rPr>
        <w:t xml:space="preserve">  localisation text,</w:t>
      </w:r>
      <w:r>
        <w:br/>
      </w:r>
      <w:r>
        <w:rPr>
          <w:rStyle w:val="NormalTok"/>
        </w:rPr>
        <w:t xml:space="preserve">  date_installation timestamptz,</w:t>
      </w:r>
      <w:r>
        <w:br/>
      </w:r>
      <w:r>
        <w:rPr>
          <w:rStyle w:val="NormalTok"/>
        </w:rPr>
        <w:t xml:space="preserve">  cr_seuil_orange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1.0</w:t>
      </w:r>
      <w:r>
        <w:rPr>
          <w:rStyle w:val="NormalTok"/>
        </w:rPr>
        <w:t xml:space="preserve">,</w:t>
      </w:r>
      <w:r>
        <w:br/>
      </w:r>
      <w:r>
        <w:rPr>
          <w:rStyle w:val="NormalTok"/>
        </w:rPr>
        <w:t xml:space="preserve">  cr_seuil_rouge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5.0</w:t>
      </w:r>
      <w:r>
        <w:rPr>
          <w:rStyle w:val="NormalTok"/>
        </w:rPr>
        <w:t xml:space="preserve">,</w:t>
      </w:r>
      <w:r>
        <w:br/>
      </w:r>
      <w:r>
        <w:rPr>
          <w:rStyle w:val="NormalTok"/>
        </w:rPr>
        <w:t xml:space="preserve">  rul_seuil_orange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48.0</w:t>
      </w:r>
      <w:r>
        <w:rPr>
          <w:rStyle w:val="NormalTok"/>
        </w:rPr>
        <w:t xml:space="preserve">,</w:t>
      </w:r>
      <w:r>
        <w:br/>
      </w:r>
      <w:r>
        <w:rPr>
          <w:rStyle w:val="NormalTok"/>
        </w:rPr>
        <w:t xml:space="preserve">  rul_seuil_rouge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12.0</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measurements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timestamp_s bigint, vdiff_v </w:t>
      </w:r>
      <w:r>
        <w:rPr>
          <w:rStyle w:val="DataTypeTok"/>
        </w:rPr>
        <w:t xml:space="preserve">float</w:t>
      </w:r>
      <w:r>
        <w:rPr>
          <w:rStyle w:val="NormalTok"/>
        </w:rPr>
        <w:t xml:space="preserve">, rx_ohm </w:t>
      </w:r>
      <w:r>
        <w:rPr>
          <w:rStyle w:val="DataTypeTok"/>
        </w:rPr>
        <w:t xml:space="preserve">float</w:t>
      </w:r>
      <w:r>
        <w:rPr>
          <w:rStyle w:val="NormalTok"/>
        </w:rPr>
        <w:t xml:space="preserve">,</w:t>
      </w:r>
      <w:r>
        <w:br/>
      </w:r>
      <w:r>
        <w:rPr>
          <w:rStyle w:val="NormalTok"/>
        </w:rPr>
        <w:t xml:space="preserve">  temp_c </w:t>
      </w:r>
      <w:r>
        <w:rPr>
          <w:rStyle w:val="DataTypeTok"/>
        </w:rPr>
        <w:t xml:space="preserve">float</w:t>
      </w:r>
      <w:r>
        <w:rPr>
          <w:rStyle w:val="NormalTok"/>
        </w:rPr>
        <w:t xml:space="preserve">, delta_r_per_h </w:t>
      </w:r>
      <w:r>
        <w:rPr>
          <w:rStyle w:val="DataTypeTok"/>
        </w:rPr>
        <w:t xml:space="preserve">float</w:t>
      </w:r>
      <w:r>
        <w:rPr>
          <w:rStyle w:val="NormalTok"/>
        </w:rPr>
        <w:t xml:space="preserve">,</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predictions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DataTypeTok"/>
        </w:rPr>
        <w:t xml:space="preserve">timestamp</w:t>
      </w:r>
      <w:r>
        <w:rPr>
          <w:rStyle w:val="NormalTok"/>
        </w:rPr>
        <w:t xml:space="preserve"> timestamptz,</w:t>
      </w:r>
      <w:r>
        <w:br/>
      </w:r>
      <w:r>
        <w:rPr>
          <w:rStyle w:val="NormalTok"/>
        </w:rPr>
        <w:t xml:space="preserve">  cr_predit </w:t>
      </w:r>
      <w:r>
        <w:rPr>
          <w:rStyle w:val="DataTypeTok"/>
        </w:rPr>
        <w:t xml:space="preserve">float</w:t>
      </w:r>
      <w:r>
        <w:rPr>
          <w:rStyle w:val="NormalTok"/>
        </w:rPr>
        <w:t xml:space="preserve">, rul_predit </w:t>
      </w:r>
      <w:r>
        <w:rPr>
          <w:rStyle w:val="DataTypeTok"/>
        </w:rPr>
        <w:t xml:space="preserve">float</w:t>
      </w:r>
      <w:r>
        <w:rPr>
          <w:rStyle w:val="NormalTok"/>
        </w:rPr>
        <w:t xml:space="preserve">,</w:t>
      </w:r>
      <w:r>
        <w:br/>
      </w:r>
      <w:r>
        <w:rPr>
          <w:rStyle w:val="NormalTok"/>
        </w:rPr>
        <w:t xml:space="preserve">  diagnostic text, confiance </w:t>
      </w:r>
      <w:r>
        <w:rPr>
          <w:rStyle w:val="DataTypeTok"/>
        </w:rPr>
        <w:t xml:space="preserve">float</w:t>
      </w:r>
      <w:r>
        <w:rPr>
          <w:rStyle w:val="NormalTok"/>
        </w:rPr>
        <w:t xml:space="preserve">,</w:t>
      </w:r>
      <w:r>
        <w:br/>
      </w:r>
      <w:r>
        <w:rPr>
          <w:rStyle w:val="NormalTok"/>
        </w:rPr>
        <w:t xml:space="preserve">  shap_top1 text, shap_top2 text, shap_top3 text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alerts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niveau text </w:t>
      </w:r>
      <w:r>
        <w:rPr>
          <w:rStyle w:val="KeywordTok"/>
        </w:rPr>
        <w:t xml:space="preserve">CHECK</w:t>
      </w:r>
      <w:r>
        <w:rPr>
          <w:rStyle w:val="NormalTok"/>
        </w:rPr>
        <w:t xml:space="preserve"> (niveau </w:t>
      </w:r>
      <w:r>
        <w:rPr>
          <w:rStyle w:val="KeywordTok"/>
        </w:rPr>
        <w:t xml:space="preserve">IN</w:t>
      </w:r>
      <w:r>
        <w:rPr>
          <w:rStyle w:val="NormalTok"/>
        </w:rPr>
        <w:t xml:space="preserve"> (</w:t>
      </w:r>
      <w:r>
        <w:rPr>
          <w:rStyle w:val="StringTok"/>
        </w:rPr>
        <w:t xml:space="preserve">'vert'</w:t>
      </w:r>
      <w:r>
        <w:rPr>
          <w:rStyle w:val="NormalTok"/>
        </w:rPr>
        <w:t xml:space="preserve">,</w:t>
      </w:r>
      <w:r>
        <w:rPr>
          <w:rStyle w:val="StringTok"/>
        </w:rPr>
        <w:t xml:space="preserve">'orange'</w:t>
      </w:r>
      <w:r>
        <w:rPr>
          <w:rStyle w:val="NormalTok"/>
        </w:rPr>
        <w:t xml:space="preserve">,</w:t>
      </w:r>
      <w:r>
        <w:rPr>
          <w:rStyle w:val="StringTok"/>
        </w:rPr>
        <w:t xml:space="preserve">'rouge'</w:t>
      </w:r>
      <w:r>
        <w:rPr>
          <w:rStyle w:val="NormalTok"/>
        </w:rPr>
        <w:t xml:space="preserve">)),</w:t>
      </w:r>
      <w:r>
        <w:br/>
      </w:r>
      <w:r>
        <w:rPr>
          <w:rStyle w:val="NormalTok"/>
        </w:rPr>
        <w:t xml:space="preserve">  </w:t>
      </w:r>
      <w:r>
        <w:rPr>
          <w:rStyle w:val="KeywordTok"/>
        </w:rPr>
        <w:t xml:space="preserve">type</w:t>
      </w:r>
      <w:r>
        <w:rPr>
          <w:rStyle w:val="NormalTok"/>
        </w:rPr>
        <w:t xml:space="preserve"> text, message text, recommandation text,</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  acknowledged_at timestamptz, resolved_at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work_orders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alert_id uuid </w:t>
      </w:r>
      <w:r>
        <w:rPr>
          <w:rStyle w:val="KeywordTok"/>
        </w:rPr>
        <w:t xml:space="preserve">REFERENCES</w:t>
      </w:r>
      <w:r>
        <w:rPr>
          <w:rStyle w:val="NormalTok"/>
        </w:rPr>
        <w:t xml:space="preserve"> alerts(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statut text </w:t>
      </w:r>
      <w:r>
        <w:rPr>
          <w:rStyle w:val="KeywordTok"/>
        </w:rPr>
        <w:t xml:space="preserve">CHECK</w:t>
      </w:r>
      <w:r>
        <w:rPr>
          <w:rStyle w:val="NormalTok"/>
        </w:rPr>
        <w:t xml:space="preserve"> (statut </w:t>
      </w:r>
      <w:r>
        <w:rPr>
          <w:rStyle w:val="KeywordTok"/>
        </w:rPr>
        <w:t xml:space="preserve">IN</w:t>
      </w:r>
      <w:r>
        <w:rPr>
          <w:rStyle w:val="NormalTok"/>
        </w:rPr>
        <w:t xml:space="preserve"> (</w:t>
      </w:r>
      <w:r>
        <w:rPr>
          <w:rStyle w:val="StringTok"/>
        </w:rPr>
        <w:t xml:space="preserve">'ouvert'</w:t>
      </w:r>
      <w:r>
        <w:rPr>
          <w:rStyle w:val="NormalTok"/>
        </w:rPr>
        <w:t xml:space="preserve">,</w:t>
      </w:r>
      <w:r>
        <w:rPr>
          <w:rStyle w:val="StringTok"/>
        </w:rPr>
        <w:t xml:space="preserve">'en_cours'</w:t>
      </w:r>
      <w:r>
        <w:rPr>
          <w:rStyle w:val="NormalTok"/>
        </w:rPr>
        <w:t xml:space="preserve">,</w:t>
      </w:r>
      <w:r>
        <w:rPr>
          <w:rStyle w:val="StringTok"/>
        </w:rPr>
        <w:t xml:space="preserve">'ferme'</w:t>
      </w:r>
      <w:r>
        <w:rPr>
          <w:rStyle w:val="NormalTok"/>
        </w:rPr>
        <w:t xml:space="preserve">)),</w:t>
      </w:r>
      <w:r>
        <w:br/>
      </w:r>
      <w:r>
        <w:rPr>
          <w:rStyle w:val="NormalTok"/>
        </w:rPr>
        <w:t xml:space="preserve">  priorite text, technicien_assigne text, description text,</w:t>
      </w:r>
      <w:r>
        <w:br/>
      </w:r>
      <w:r>
        <w:rPr>
          <w:rStyle w:val="NormalTok"/>
        </w:rPr>
        <w:t xml:space="preserve">  created_at timestamptz </w:t>
      </w:r>
      <w:r>
        <w:rPr>
          <w:rStyle w:val="KeywordTok"/>
        </w:rPr>
        <w:t xml:space="preserve">DEFAULT</w:t>
      </w:r>
      <w:r>
        <w:rPr>
          <w:rStyle w:val="NormalTok"/>
        </w:rPr>
        <w:t xml:space="preserve"> now(), ferme_le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interventions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work_order_id uuid </w:t>
      </w:r>
      <w:r>
        <w:rPr>
          <w:rStyle w:val="KeywordTok"/>
        </w:rPr>
        <w:t xml:space="preserve">REFERENCES</w:t>
      </w:r>
      <w:r>
        <w:rPr>
          <w:rStyle w:val="NormalTok"/>
        </w:rPr>
        <w:t xml:space="preserve"> work_orders(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KeywordTok"/>
        </w:rPr>
        <w:t xml:space="preserve">type</w:t>
      </w:r>
      <w:r>
        <w:rPr>
          <w:rStyle w:val="NormalTok"/>
        </w:rPr>
        <w:t xml:space="preserve"> text, technicien text,</w:t>
      </w:r>
      <w:r>
        <w:br/>
      </w:r>
      <w:r>
        <w:rPr>
          <w:rStyle w:val="NormalTok"/>
        </w:rPr>
        <w:t xml:space="preserve">  duree_min </w:t>
      </w:r>
      <w:r>
        <w:rPr>
          <w:rStyle w:val="DataTypeTok"/>
        </w:rPr>
        <w:t xml:space="preserve">int</w:t>
      </w:r>
      <w:r>
        <w:rPr>
          <w:rStyle w:val="NormalTok"/>
        </w:rPr>
        <w:t xml:space="preserve">, cout_fcfa </w:t>
      </w:r>
      <w:r>
        <w:rPr>
          <w:rStyle w:val="DataTypeTok"/>
        </w:rPr>
        <w:t xml:space="preserve">int</w:t>
      </w:r>
      <w:r>
        <w:rPr>
          <w:rStyle w:val="NormalTok"/>
        </w:rPr>
        <w:t xml:space="preserve">,</w:t>
      </w:r>
      <w:r>
        <w:br/>
      </w:r>
      <w:r>
        <w:rPr>
          <w:rStyle w:val="NormalTok"/>
        </w:rPr>
        <w:t xml:space="preserve">  notes text, photo_url text,</w:t>
      </w:r>
      <w:r>
        <w:br/>
      </w:r>
      <w:r>
        <w:rPr>
          <w:rStyle w:val="NormalTok"/>
        </w:rPr>
        <w:t xml:space="preserve">  realise_le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VIEW</w:t>
      </w:r>
      <w:r>
        <w:rPr>
          <w:rStyle w:val="NormalTok"/>
        </w:rPr>
        <w:t xml:space="preserve"> kpi_maintenance </w:t>
      </w:r>
      <w:r>
        <w:rPr>
          <w:rStyle w:val="KeywordTok"/>
        </w:rPr>
        <w:t xml:space="preserve">AS</w:t>
      </w:r>
      <w:r>
        <w:br/>
      </w:r>
      <w:r>
        <w:rPr>
          <w:rStyle w:val="KeywordTok"/>
        </w:rPr>
        <w:t xml:space="preserve">SELECT</w:t>
      </w:r>
      <w:r>
        <w:br/>
      </w:r>
      <w:r>
        <w:rPr>
          <w:rStyle w:val="NormalTok"/>
        </w:rPr>
        <w:t xml:space="preserve">  asset_id,</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wo.</w:t>
      </w:r>
      <w:r>
        <w:rPr>
          <w:rStyle w:val="KeywordTok"/>
        </w:rPr>
        <w:t xml:space="preserve">id</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wo.statut</w:t>
      </w:r>
      <w:r>
        <w:rPr>
          <w:rStyle w:val="OperatorTok"/>
        </w:rPr>
        <w:t xml:space="preserve">=</w:t>
      </w:r>
      <w:r>
        <w:rPr>
          <w:rStyle w:val="StringTok"/>
        </w:rPr>
        <w:t xml:space="preserve">'ferme'</w:t>
      </w:r>
      <w:r>
        <w:rPr>
          <w:rStyle w:val="NormalTok"/>
        </w:rPr>
        <w:t xml:space="preserve">) </w:t>
      </w:r>
      <w:r>
        <w:rPr>
          <w:rStyle w:val="KeywordTok"/>
        </w:rPr>
        <w:t xml:space="preserve">AS</w:t>
      </w:r>
      <w:r>
        <w:rPr>
          <w:rStyle w:val="NormalTok"/>
        </w:rPr>
        <w:t xml:space="preserve"> ot_fermes,</w:t>
      </w:r>
      <w:r>
        <w:br/>
      </w:r>
      <w:r>
        <w:rPr>
          <w:rStyle w:val="NormalTok"/>
        </w:rPr>
        <w:t xml:space="preserve">  </w:t>
      </w:r>
      <w:r>
        <w:rPr>
          <w:rStyle w:val="FunctionTok"/>
        </w:rPr>
        <w:t xml:space="preserve">AVG</w:t>
      </w:r>
      <w:r>
        <w:rPr>
          <w:rStyle w:val="NormalTok"/>
        </w:rPr>
        <w:t xml:space="preserve">(</w:t>
      </w:r>
      <w:r>
        <w:rPr>
          <w:rStyle w:val="FunctionTok"/>
        </w:rPr>
        <w:t xml:space="preserve">EXTRACT</w:t>
      </w:r>
      <w:r>
        <w:rPr>
          <w:rStyle w:val="NormalTok"/>
        </w:rPr>
        <w:t xml:space="preserve">(EPOCH </w:t>
      </w:r>
      <w:r>
        <w:rPr>
          <w:rStyle w:val="KeywordTok"/>
        </w:rPr>
        <w:t xml:space="preserve">FROM</w:t>
      </w:r>
      <w:r>
        <w:rPr>
          <w:rStyle w:val="NormalTok"/>
        </w:rPr>
        <w:t xml:space="preserve"> (wo.ferme_le </w:t>
      </w:r>
      <w:r>
        <w:rPr>
          <w:rStyle w:val="OperatorTok"/>
        </w:rPr>
        <w:t xml:space="preserve">-</w:t>
      </w:r>
      <w:r>
        <w:rPr>
          <w:rStyle w:val="NormalTok"/>
        </w:rPr>
        <w:t xml:space="preserve"> wo.created_at))</w:t>
      </w:r>
      <w:r>
        <w:rPr>
          <w:rStyle w:val="OperatorTok"/>
        </w:rPr>
        <w:t xml:space="preserve">/</w:t>
      </w:r>
      <w:r>
        <w:rPr>
          <w:rStyle w:val="DecValTok"/>
        </w:rPr>
        <w:t xml:space="preserve">3600</w:t>
      </w:r>
      <w:r>
        <w:rPr>
          <w:rStyle w:val="NormalTok"/>
        </w:rPr>
        <w:t xml:space="preserve">) </w:t>
      </w:r>
      <w:r>
        <w:rPr>
          <w:rStyle w:val="KeywordTok"/>
        </w:rPr>
        <w:t xml:space="preserve">AS</w:t>
      </w:r>
      <w:r>
        <w:rPr>
          <w:rStyle w:val="NormalTok"/>
        </w:rPr>
        <w:t xml:space="preserve"> mttr_h</w:t>
      </w:r>
      <w:r>
        <w:br/>
      </w:r>
      <w:r>
        <w:rPr>
          <w:rStyle w:val="KeywordTok"/>
        </w:rPr>
        <w:t xml:space="preserve">FROM</w:t>
      </w:r>
      <w:r>
        <w:rPr>
          <w:rStyle w:val="NormalTok"/>
        </w:rPr>
        <w:t xml:space="preserve"> work_orders wo </w:t>
      </w:r>
      <w:r>
        <w:rPr>
          <w:rStyle w:val="KeywordTok"/>
        </w:rPr>
        <w:t xml:space="preserve">GROUP</w:t>
      </w:r>
      <w:r>
        <w:rPr>
          <w:rStyle w:val="NormalTok"/>
        </w:rPr>
        <w:t xml:space="preserve"> </w:t>
      </w:r>
      <w:r>
        <w:rPr>
          <w:rStyle w:val="KeywordTok"/>
        </w:rPr>
        <w:t xml:space="preserve">BY</w:t>
      </w:r>
      <w:r>
        <w:rPr>
          <w:rStyle w:val="NormalTok"/>
        </w:rPr>
        <w:t xml:space="preserve"> asset_id;</w:t>
      </w:r>
    </w:p>
    <w:bookmarkEnd w:id="201"/>
    <w:bookmarkStart w:id="202" w:name="annexe-g-liste-des-fichiers-du-projet"/>
    <w:p>
      <w:pPr>
        <w:pStyle w:val="Heading2"/>
      </w:pPr>
      <w:r>
        <w:t xml:space="preserve">Annexe G — Liste des fichiers du projet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shd w:val="clear" w:color="auto" w:fill="EFEFEF"/>
          </w:tcPr>
          <w:p>
            <w:pPr>
              <w:pStyle w:val="Compact"/>
            </w:pPr>
            <w:r>
              <w:t xml:space="preserve">Fichier</w:t>
            </w:r>
          </w:p>
        </w:tc>
        <w:tc>
          <w:tcPr>
            <w:shd w:val="clear" w:color="auto" w:fill="EFEFEF"/>
          </w:tcPr>
          <w:p>
            <w:pPr>
              <w:pStyle w:val="Compact"/>
            </w:pPr>
            <w:r>
              <w:t xml:space="preserve">Rôle</w:t>
            </w:r>
          </w:p>
        </w:tc>
      </w:tr>
      <w:tr>
        <w:tc>
          <w:tcPr/>
          <w:p>
            <w:pPr>
              <w:pStyle w:val="Compact"/>
            </w:pPr>
            <w:r>
              <w:rPr>
                <w:rStyle w:val="VerbatimChar"/>
              </w:rPr>
              <w:t xml:space="preserve">firmware/corrosion_monitor.ino</w:t>
            </w:r>
          </w:p>
        </w:tc>
        <w:tc>
          <w:tcPr/>
          <w:p>
            <w:pPr>
              <w:pStyle w:val="Compact"/>
            </w:pPr>
            <w:r>
              <w:t xml:space="preserve">Firmware ESP32 + intégration Supabase</w:t>
            </w:r>
          </w:p>
        </w:tc>
      </w:tr>
      <w:tr>
        <w:tc>
          <w:tcPr/>
          <w:p>
            <w:pPr>
              <w:pStyle w:val="Compact"/>
            </w:pPr>
            <w:r>
              <w:rPr>
                <w:rStyle w:val="VerbatimChar"/>
              </w:rPr>
              <w:t xml:space="preserve">pipeline/corrosion_pipeline.py</w:t>
            </w:r>
          </w:p>
        </w:tc>
        <w:tc>
          <w:tcPr/>
          <w:p>
            <w:pPr>
              <w:pStyle w:val="Compact"/>
            </w:pPr>
            <w:r>
              <w:t xml:space="preserve">Pipeline Python ML + diagnostic</w:t>
            </w:r>
          </w:p>
        </w:tc>
      </w:tr>
      <w:tr>
        <w:tc>
          <w:tcPr/>
          <w:p>
            <w:pPr>
              <w:pStyle w:val="Compact"/>
            </w:pPr>
            <w:r>
              <w:rPr>
                <w:rStyle w:val="VerbatimChar"/>
              </w:rPr>
              <w:t xml:space="preserve">gmao/supabase/migrations/*.sql</w:t>
            </w:r>
          </w:p>
        </w:tc>
        <w:tc>
          <w:tcPr/>
          <w:p>
            <w:pPr>
              <w:pStyle w:val="Compact"/>
            </w:pPr>
            <w:r>
              <w:t xml:space="preserve">Migrations BDD Supabase</w:t>
            </w:r>
          </w:p>
        </w:tc>
      </w:tr>
      <w:tr>
        <w:tc>
          <w:tcPr/>
          <w:p>
            <w:pPr>
              <w:pStyle w:val="Compact"/>
            </w:pPr>
            <w:r>
              <w:rPr>
                <w:rStyle w:val="VerbatimChar"/>
              </w:rPr>
              <w:t xml:space="preserve">dashboard/supervision.py</w:t>
            </w:r>
          </w:p>
        </w:tc>
        <w:tc>
          <w:tcPr/>
          <w:p>
            <w:pPr>
              <w:pStyle w:val="Compact"/>
            </w:pPr>
            <w:r>
              <w:t xml:space="preserve">Dashboard Streamlit (supervision + GMAO maison)</w:t>
            </w:r>
          </w:p>
        </w:tc>
      </w:tr>
      <w:tr>
        <w:tc>
          <w:tcPr/>
          <w:p>
            <w:pPr>
              <w:pStyle w:val="Compact"/>
            </w:pPr>
            <w:r>
              <w:rPr>
                <w:rStyle w:val="VerbatimChar"/>
              </w:rPr>
              <w:t xml:space="preserve">src/realtime/predict_loop.py</w:t>
            </w:r>
          </w:p>
        </w:tc>
        <w:tc>
          <w:tcPr/>
          <w:p>
            <w:pPr>
              <w:pStyle w:val="Compact"/>
            </w:pPr>
            <w:r>
              <w:t xml:space="preserve">Service de prédiction temps réel (CR/RUL, ordres de travail)</w:t>
            </w:r>
          </w:p>
        </w:tc>
      </w:tr>
      <w:tr>
        <w:tc>
          <w:tcPr/>
          <w:p>
            <w:pPr>
              <w:pStyle w:val="Compact"/>
            </w:pPr>
            <w:r>
              <w:rPr>
                <w:rStyle w:val="VerbatimChar"/>
              </w:rPr>
              <w:t xml:space="preserve">memoire/memoire_v4.md</w:t>
            </w:r>
          </w:p>
        </w:tc>
        <w:tc>
          <w:tcPr/>
          <w:p>
            <w:pPr>
              <w:pStyle w:val="Compact"/>
            </w:pPr>
            <w:r>
              <w:t xml:space="preserve">Mémoire (ce document, source Markdown)</w:t>
            </w:r>
          </w:p>
        </w:tc>
      </w:tr>
      <w:tr>
        <w:tc>
          <w:tcPr/>
          <w:p>
            <w:pPr>
              <w:pStyle w:val="Compact"/>
            </w:pPr>
            <w:r>
              <w:rPr>
                <w:rStyle w:val="VerbatimChar"/>
              </w:rPr>
              <w:t xml:space="preserve">memoire/memoire_v4.docx</w:t>
            </w:r>
          </w:p>
        </w:tc>
        <w:tc>
          <w:tcPr/>
          <w:p>
            <w:pPr>
              <w:pStyle w:val="Compact"/>
            </w:pPr>
            <w:r>
              <w:t xml:space="preserve">Mémoire (version Word ENSPD)</w:t>
            </w:r>
          </w:p>
        </w:tc>
      </w:tr>
    </w:tbl>
    <w:p>
      <w:pPr>
        <w:pStyle w:val="BodyText"/>
      </w:pPr>
      <w:r>
        <w:t xml:space="preserve">Lien GitHub :</w:t>
      </w:r>
      <w:r>
        <w:t xml:space="preserve"> </w:t>
      </w:r>
      <w:r>
        <w:rPr>
          <w:rStyle w:val="VerbatimChar"/>
        </w:rPr>
        <w:t xml:space="preserve">londola13/predictive-maintenance-corrosion</w:t>
      </w:r>
    </w:p>
    <w:p>
      <w:r>
        <w:br w:type="page"/>
      </w:r>
    </w:p>
    <w:bookmarkEnd w:id="202"/>
    <w:bookmarkStart w:id="203" w:name="X79083b21c8cb3540f998fbd49761ef428b981e0"/>
    <w:p>
      <w:pPr>
        <w:pStyle w:val="Heading2"/>
      </w:pPr>
      <w:r>
        <w:t xml:space="preserve">Annexe H — Tableau de traçabilité des choix, seuils et données (matrice de provenance)</w:t>
      </w:r>
    </w:p>
    <w:p>
      <w:pPr>
        <w:pStyle w:val="FirstParagraph"/>
      </w:pPr>
      <w:r>
        <w:t xml:space="preserve">En réponse à l’exigence méthodologique de traçabilité intégrale, toute donnée, tout seuil, toute méthode et toute décision d’orientation doit découler d’une source identifiable, le présent tableau récapitule la provenance de chaque élément structurant du mémoire. Quatre types de source sont distingués : (N) norme ou standard ; (R) référence scientifique ; (P) loi physique ; (E) provenance expérimentale documentée. Les éléments dépourvus d’ancrage normatif disponible sont explicitement marqués « convention / objectif de laboratoire, provisoire » : conformément au principe de rigueur retenu, aucun seuil n’est présenté comme normatif s’il ne l’est pas, et tout choix de valeur sans norme est assumé comme provisoire, à recaler en conditions réelles.</w:t>
      </w:r>
    </w:p>
    <w:p>
      <w:pPr>
        <w:pStyle w:val="BodyText"/>
      </w:pPr>
      <w:r>
        <w:t xml:space="preserve">H.1, Données, grandeurs et lois physiques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Élément</w:t>
            </w:r>
          </w:p>
        </w:tc>
        <w:tc>
          <w:tcPr>
            <w:shd w:val="clear" w:color="auto" w:fill="EFEFEF"/>
          </w:tcPr>
          <w:p>
            <w:pPr>
              <w:pStyle w:val="Compact"/>
            </w:pPr>
            <w:r>
              <w:t xml:space="preserve">Valeur / formule</w:t>
            </w:r>
          </w:p>
        </w:tc>
        <w:tc>
          <w:tcPr>
            <w:shd w:val="clear" w:color="auto" w:fill="EFEFEF"/>
          </w:tcPr>
          <w:p>
            <w:pPr>
              <w:pStyle w:val="Compact"/>
            </w:pPr>
            <w:r>
              <w:t xml:space="preserve">Type</w:t>
            </w:r>
          </w:p>
        </w:tc>
        <w:tc>
          <w:tcPr>
            <w:shd w:val="clear" w:color="auto" w:fill="EFEFEF"/>
          </w:tcPr>
          <w:p>
            <w:pPr>
              <w:pStyle w:val="Compact"/>
            </w:pPr>
            <w:r>
              <w:t xml:space="preserve">Source exacte</w:t>
            </w:r>
          </w:p>
        </w:tc>
      </w:tr>
      <w:tr>
        <w:tc>
          <w:tcPr/>
          <w:p>
            <w:pPr>
              <w:pStyle w:val="Compact"/>
            </w:pPr>
            <w:r>
              <w:t xml:space="preserve">Calcul du CR (perte de masse)</w:t>
            </w:r>
          </w:p>
        </w:tc>
        <w:tc>
          <w:tcPr/>
          <w:p>
            <w:pPr>
              <w:pStyle w:val="Compact"/>
            </w:pPr>
            <w:r>
              <w:t xml:space="preserve">CR = f(Δm, ρ, A, t)</w:t>
            </w:r>
          </w:p>
        </w:tc>
        <w:tc>
          <w:tcPr/>
          <w:p>
            <w:pPr>
              <w:pStyle w:val="Compact"/>
            </w:pPr>
            <w:r>
              <w:t xml:space="preserve">N · P</w:t>
            </w:r>
          </w:p>
        </w:tc>
        <w:tc>
          <w:tcPr/>
          <w:p>
            <w:pPr>
              <w:pStyle w:val="Compact"/>
            </w:pPr>
            <w:r>
              <w:t xml:space="preserve">ASTM G1-03 (ASTM, 2017) ; loi de Faraday (1834)</w:t>
            </w:r>
          </w:p>
        </w:tc>
      </w:tr>
      <w:tr>
        <w:tc>
          <w:tcPr/>
          <w:p>
            <w:pPr>
              <w:pStyle w:val="Compact"/>
            </w:pPr>
            <w:r>
              <w:t xml:space="preserve">Principe de la sonde ER</w:t>
            </w:r>
          </w:p>
        </w:tc>
        <w:tc>
          <w:tcPr/>
          <w:p>
            <w:pPr>
              <w:pStyle w:val="Compact"/>
            </w:pPr>
            <w:r>
              <w:t xml:space="preserve">R = ρL/(π r²)</w:t>
            </w:r>
          </w:p>
        </w:tc>
        <w:tc>
          <w:tcPr/>
          <w:p>
            <w:pPr>
              <w:pStyle w:val="Compact"/>
            </w:pPr>
            <w:r>
              <w:t xml:space="preserve">P · N</w:t>
            </w:r>
          </w:p>
        </w:tc>
        <w:tc>
          <w:tcPr/>
          <w:p>
            <w:pPr>
              <w:pStyle w:val="Compact"/>
            </w:pPr>
            <w:r>
              <w:t xml:space="preserve">loi d’Ohm ; ASTM G96 (ASTM, 2018)</w:t>
            </w:r>
          </w:p>
        </w:tc>
      </w:tr>
      <w:tr>
        <w:tc>
          <w:tcPr/>
          <w:p>
            <w:pPr>
              <w:pStyle w:val="Compact"/>
            </w:pPr>
            <w:r>
              <w:t xml:space="preserve">Compensation thermique</w:t>
            </w:r>
          </w:p>
        </w:tc>
        <w:tc>
          <w:tcPr/>
          <w:p>
            <w:pPr>
              <w:pStyle w:val="Compact"/>
            </w:pPr>
            <w:r>
              <w:t xml:space="preserve">ρ(T) = ρ₀[1 + α(T−T_ref)], α = 6,5·10⁻³</w:t>
            </w:r>
          </w:p>
        </w:tc>
        <w:tc>
          <w:tcPr/>
          <w:p>
            <w:pPr>
              <w:pStyle w:val="Compact"/>
            </w:pPr>
            <w:r>
              <w:t xml:space="preserve">P · R</w:t>
            </w:r>
          </w:p>
        </w:tc>
        <w:tc>
          <w:tcPr/>
          <w:p>
            <w:pPr>
              <w:pStyle w:val="Compact"/>
            </w:pPr>
            <w:r>
              <w:t xml:space="preserve">loi de Matthiessen ; Pollock (1991)</w:t>
            </w:r>
          </w:p>
        </w:tc>
      </w:tr>
      <w:tr>
        <w:tc>
          <w:tcPr/>
          <w:p>
            <w:pPr>
              <w:pStyle w:val="Compact"/>
            </w:pPr>
            <w:r>
              <w:t xml:space="preserve">Calibration HX711 (×33,7)</w:t>
            </w:r>
          </w:p>
        </w:tc>
        <w:tc>
          <w:tcPr/>
          <w:p>
            <w:pPr>
              <w:pStyle w:val="Compact"/>
            </w:pPr>
            <w:r>
              <w:t xml:space="preserve">facteur empirique k_cal</w:t>
            </w:r>
          </w:p>
        </w:tc>
        <w:tc>
          <w:tcPr/>
          <w:p>
            <w:pPr>
              <w:pStyle w:val="Compact"/>
            </w:pPr>
            <w:r>
              <w:t xml:space="preserve">E</w:t>
            </w:r>
          </w:p>
        </w:tc>
        <w:tc>
          <w:tcPr/>
          <w:p>
            <w:pPr>
              <w:pStyle w:val="Compact"/>
            </w:pPr>
            <w:r>
              <w:t xml:space="preserve">étalonnage sur résistances étalons (§III.1.1)</w:t>
            </w:r>
          </w:p>
        </w:tc>
      </w:tr>
      <w:tr>
        <w:tc>
          <w:tcPr/>
          <w:p>
            <w:pPr>
              <w:pStyle w:val="Compact"/>
            </w:pPr>
            <w:r>
              <w:t xml:space="preserve">Cadence d’acquisition (30 s)</w:t>
            </w:r>
          </w:p>
        </w:tc>
        <w:tc>
          <w:tcPr/>
          <w:p>
            <w:pPr>
              <w:pStyle w:val="Compact"/>
            </w:pPr>
            <w:r>
              <w:t xml:space="preserve">—</w:t>
            </w:r>
          </w:p>
        </w:tc>
        <w:tc>
          <w:tcPr/>
          <w:p>
            <w:pPr>
              <w:pStyle w:val="Compact"/>
            </w:pPr>
            <w:r>
              <w:t xml:space="preserve">E · P</w:t>
            </w:r>
          </w:p>
        </w:tc>
        <w:tc>
          <w:tcPr/>
          <w:p>
            <w:pPr>
              <w:pStyle w:val="Compact"/>
            </w:pPr>
            <w:r>
              <w:t xml:space="preserve">adéquation corrosion lente ; firmware (§II.2.4)</w:t>
            </w:r>
          </w:p>
        </w:tc>
      </w:tr>
      <w:tr>
        <w:tc>
          <w:tcPr/>
          <w:p>
            <w:pPr>
              <w:pStyle w:val="Compact"/>
            </w:pPr>
            <w:r>
              <w:t xml:space="preserve">Effet de la température</w:t>
            </w:r>
          </w:p>
        </w:tc>
        <w:tc>
          <w:tcPr/>
          <w:p>
            <w:pPr>
              <w:pStyle w:val="Compact"/>
            </w:pPr>
            <w:r>
              <w:t xml:space="preserve">loi d’Arrhenius</w:t>
            </w:r>
          </w:p>
        </w:tc>
        <w:tc>
          <w:tcPr/>
          <w:p>
            <w:pPr>
              <w:pStyle w:val="Compact"/>
            </w:pPr>
            <w:r>
              <w:t xml:space="preserve">P · R</w:t>
            </w:r>
          </w:p>
        </w:tc>
        <w:tc>
          <w:tcPr/>
          <w:p>
            <w:pPr>
              <w:pStyle w:val="Compact"/>
            </w:pPr>
            <w:r>
              <w:t xml:space="preserve">§I.7.7 ; Schweitzer (2010), Roberge (2008)</w:t>
            </w:r>
          </w:p>
        </w:tc>
      </w:tr>
    </w:tbl>
    <w:p>
      <w:pPr>
        <w:pStyle w:val="BodyText"/>
      </w:pPr>
      <w:r>
        <w:t xml:space="preserve">H.2, Méthodes d’apprentissage et de validation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Élément</w:t>
            </w:r>
          </w:p>
        </w:tc>
        <w:tc>
          <w:tcPr>
            <w:shd w:val="clear" w:color="auto" w:fill="EFEFEF"/>
          </w:tcPr>
          <w:p>
            <w:pPr>
              <w:pStyle w:val="Compact"/>
            </w:pPr>
            <w:r>
              <w:t xml:space="preserve">Choix</w:t>
            </w:r>
          </w:p>
        </w:tc>
        <w:tc>
          <w:tcPr>
            <w:shd w:val="clear" w:color="auto" w:fill="EFEFEF"/>
          </w:tcPr>
          <w:p>
            <w:pPr>
              <w:pStyle w:val="Compact"/>
            </w:pPr>
            <w:r>
              <w:t xml:space="preserve">Type</w:t>
            </w:r>
          </w:p>
        </w:tc>
        <w:tc>
          <w:tcPr>
            <w:shd w:val="clear" w:color="auto" w:fill="EFEFEF"/>
          </w:tcPr>
          <w:p>
            <w:pPr>
              <w:pStyle w:val="Compact"/>
            </w:pPr>
            <w:r>
              <w:t xml:space="preserve">Source exacte</w:t>
            </w:r>
          </w:p>
        </w:tc>
      </w:tr>
      <w:tr>
        <w:tc>
          <w:tcPr/>
          <w:p>
            <w:pPr>
              <w:pStyle w:val="Compact"/>
            </w:pPr>
            <w:r>
              <w:t xml:space="preserve">Suppression d’outliers (IQR)</w:t>
            </w:r>
          </w:p>
        </w:tc>
        <w:tc>
          <w:tcPr/>
          <w:p>
            <w:pPr>
              <w:pStyle w:val="Compact"/>
            </w:pPr>
            <w:r>
              <w:t xml:space="preserve">[Q5 − 3·IQR ; Q95 + 3·IQR]</w:t>
            </w:r>
          </w:p>
        </w:tc>
        <w:tc>
          <w:tcPr/>
          <w:p>
            <w:pPr>
              <w:pStyle w:val="Compact"/>
            </w:pPr>
            <w:r>
              <w:t xml:space="preserve">R</w:t>
            </w:r>
          </w:p>
        </w:tc>
        <w:tc>
          <w:tcPr/>
          <w:p>
            <w:pPr>
              <w:pStyle w:val="Compact"/>
            </w:pPr>
            <w:r>
              <w:t xml:space="preserve">Tukey (1977)</w:t>
            </w:r>
          </w:p>
        </w:tc>
      </w:tr>
      <w:tr>
        <w:tc>
          <w:tcPr/>
          <w:p>
            <w:pPr>
              <w:pStyle w:val="Compact"/>
            </w:pPr>
            <w:r>
              <w:t xml:space="preserve">Lissage et dérivation</w:t>
            </w:r>
          </w:p>
        </w:tc>
        <w:tc>
          <w:tcPr/>
          <w:p>
            <w:pPr>
              <w:pStyle w:val="Compact"/>
            </w:pPr>
            <w:r>
              <w:t xml:space="preserve">Savitzky-Golay</w:t>
            </w:r>
          </w:p>
        </w:tc>
        <w:tc>
          <w:tcPr/>
          <w:p>
            <w:pPr>
              <w:pStyle w:val="Compact"/>
            </w:pPr>
            <w:r>
              <w:t xml:space="preserve">R</w:t>
            </w:r>
          </w:p>
        </w:tc>
        <w:tc>
          <w:tcPr/>
          <w:p>
            <w:pPr>
              <w:pStyle w:val="Compact"/>
            </w:pPr>
            <w:r>
              <w:t xml:space="preserve">Savitzky &amp; Golay (1964)</w:t>
            </w:r>
          </w:p>
        </w:tc>
      </w:tr>
      <w:tr>
        <w:tc>
          <w:tcPr/>
          <w:p>
            <w:pPr>
              <w:pStyle w:val="Compact"/>
            </w:pPr>
            <w:r>
              <w:t xml:space="preserve">Algorithme + hyperparamètres</w:t>
            </w:r>
          </w:p>
        </w:tc>
        <w:tc>
          <w:tcPr/>
          <w:p>
            <w:pPr>
              <w:pStyle w:val="Compact"/>
            </w:pPr>
            <w:r>
              <w:t xml:space="preserve">XGBoost (n=500, depth=4, lr=0,05…)</w:t>
            </w:r>
          </w:p>
        </w:tc>
        <w:tc>
          <w:tcPr/>
          <w:p>
            <w:pPr>
              <w:pStyle w:val="Compact"/>
            </w:pPr>
            <w:r>
              <w:t xml:space="preserve">R</w:t>
            </w:r>
          </w:p>
        </w:tc>
        <w:tc>
          <w:tcPr/>
          <w:p>
            <w:pPr>
              <w:pStyle w:val="Compact"/>
            </w:pPr>
            <w:r>
              <w:t xml:space="preserve">Chen &amp; Guestrin (2016)</w:t>
            </w:r>
          </w:p>
        </w:tc>
      </w:tr>
      <w:tr>
        <w:tc>
          <w:tcPr/>
          <w:p>
            <w:pPr>
              <w:pStyle w:val="Compact"/>
            </w:pPr>
            <w:r>
              <w:t xml:space="preserve">Stratégie de validation</w:t>
            </w:r>
          </w:p>
        </w:tc>
        <w:tc>
          <w:tcPr/>
          <w:p>
            <w:pPr>
              <w:pStyle w:val="Compact"/>
            </w:pPr>
            <w:r>
              <w:t xml:space="preserve">leave-one-run-out (LORO)</w:t>
            </w:r>
          </w:p>
        </w:tc>
        <w:tc>
          <w:tcPr/>
          <w:p>
            <w:pPr>
              <w:pStyle w:val="Compact"/>
            </w:pPr>
            <w:r>
              <w:t xml:space="preserve">R</w:t>
            </w:r>
          </w:p>
        </w:tc>
        <w:tc>
          <w:tcPr/>
          <w:p>
            <w:pPr>
              <w:pStyle w:val="Compact"/>
            </w:pPr>
            <w:r>
              <w:t xml:space="preserve">Bergmeir &amp; Benítez (2012)</w:t>
            </w:r>
          </w:p>
        </w:tc>
      </w:tr>
      <w:tr>
        <w:tc>
          <w:tcPr/>
          <w:p>
            <w:pPr>
              <w:pStyle w:val="Compact"/>
            </w:pPr>
            <w:r>
              <w:t xml:space="preserve">Métriques</w:t>
            </w:r>
          </w:p>
        </w:tc>
        <w:tc>
          <w:tcPr/>
          <w:p>
            <w:pPr>
              <w:pStyle w:val="Compact"/>
            </w:pPr>
            <w:r>
              <w:t xml:space="preserve">MAE / RMSE / R²</w:t>
            </w:r>
          </w:p>
        </w:tc>
        <w:tc>
          <w:tcPr/>
          <w:p>
            <w:pPr>
              <w:pStyle w:val="Compact"/>
            </w:pPr>
            <w:r>
              <w:t xml:space="preserve">R</w:t>
            </w:r>
          </w:p>
        </w:tc>
        <w:tc>
          <w:tcPr/>
          <w:p>
            <w:pPr>
              <w:pStyle w:val="Compact"/>
            </w:pPr>
            <w:r>
              <w:t xml:space="preserve">Hyndman &amp; Koehler (2006)</w:t>
            </w:r>
          </w:p>
        </w:tc>
      </w:tr>
      <w:tr>
        <w:tc>
          <w:tcPr/>
          <w:p>
            <w:pPr>
              <w:pStyle w:val="Compact"/>
            </w:pPr>
            <w:r>
              <w:t xml:space="preserve">Interprétabilité</w:t>
            </w:r>
          </w:p>
        </w:tc>
        <w:tc>
          <w:tcPr/>
          <w:p>
            <w:pPr>
              <w:pStyle w:val="Compact"/>
            </w:pPr>
            <w:r>
              <w:t xml:space="preserve">SHAP (top-3 variables)</w:t>
            </w:r>
          </w:p>
        </w:tc>
        <w:tc>
          <w:tcPr/>
          <w:p>
            <w:pPr>
              <w:pStyle w:val="Compact"/>
            </w:pPr>
            <w:r>
              <w:t xml:space="preserve">R</w:t>
            </w:r>
          </w:p>
        </w:tc>
        <w:tc>
          <w:tcPr/>
          <w:p>
            <w:pPr>
              <w:pStyle w:val="Compact"/>
            </w:pPr>
            <w:r>
              <w:t xml:space="preserve">Lundberg &amp; Lee (2017)</w:t>
            </w:r>
          </w:p>
        </w:tc>
      </w:tr>
      <w:tr>
        <w:tc>
          <w:tcPr/>
          <w:p>
            <w:pPr>
              <w:pStyle w:val="Compact"/>
            </w:pPr>
            <w:r>
              <w:t xml:space="preserve">Sous-échantillonnage auxiliaires (1 500 pts)</w:t>
            </w:r>
          </w:p>
        </w:tc>
        <w:tc>
          <w:tcPr/>
          <w:p>
            <w:pPr>
              <w:pStyle w:val="Compact"/>
            </w:pPr>
            <w:r>
              <w:t xml:space="preserve">corrige le déséquilibre ≈ 4,5:1</w:t>
            </w:r>
          </w:p>
        </w:tc>
        <w:tc>
          <w:tcPr/>
          <w:p>
            <w:pPr>
              <w:pStyle w:val="Compact"/>
            </w:pPr>
            <w:r>
              <w:t xml:space="preserve">R · E</w:t>
            </w:r>
          </w:p>
        </w:tc>
        <w:tc>
          <w:tcPr/>
          <w:p>
            <w:pPr>
              <w:pStyle w:val="Compact"/>
            </w:pPr>
            <w:r>
              <w:t xml:space="preserve">He &amp; Garcia (2009) ; mesuré sur les runs</w:t>
            </w:r>
          </w:p>
        </w:tc>
      </w:tr>
      <w:tr>
        <w:tc>
          <w:tcPr/>
          <w:p>
            <w:pPr>
              <w:pStyle w:val="Compact"/>
            </w:pPr>
            <w:r>
              <w:t xml:space="preserve">Contrôle des variables (vitrine 30 °C / contre-exemples)</w:t>
            </w:r>
          </w:p>
        </w:tc>
        <w:tc>
          <w:tcPr/>
          <w:p>
            <w:pPr>
              <w:pStyle w:val="Compact"/>
            </w:pPr>
            <w:r>
              <w:t xml:space="preserve">un facteur à la fois</w:t>
            </w:r>
          </w:p>
        </w:tc>
        <w:tc>
          <w:tcPr/>
          <w:p>
            <w:pPr>
              <w:pStyle w:val="Compact"/>
            </w:pPr>
            <w:r>
              <w:t xml:space="preserve">R · E</w:t>
            </w:r>
          </w:p>
        </w:tc>
        <w:tc>
          <w:tcPr/>
          <w:p>
            <w:pPr>
              <w:pStyle w:val="Compact"/>
            </w:pPr>
            <w:r>
              <w:t xml:space="preserve">Montgomery (2017) ; Run #15, #17</w:t>
            </w:r>
          </w:p>
        </w:tc>
      </w:tr>
    </w:tbl>
    <w:p>
      <w:pPr>
        <w:pStyle w:val="BodyText"/>
      </w:pPr>
      <w:r>
        <w:t xml:space="preserve">H.3, Seuils et conventions (statut explicite)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Seuil / valeur</w:t>
            </w:r>
          </w:p>
        </w:tc>
        <w:tc>
          <w:tcPr>
            <w:shd w:val="clear" w:color="auto" w:fill="EFEFEF"/>
          </w:tcPr>
          <w:p>
            <w:pPr>
              <w:pStyle w:val="Compact"/>
            </w:pPr>
            <w:r>
              <w:t xml:space="preserve">Valeur</w:t>
            </w:r>
          </w:p>
        </w:tc>
        <w:tc>
          <w:tcPr>
            <w:shd w:val="clear" w:color="auto" w:fill="EFEFEF"/>
          </w:tcPr>
          <w:p>
            <w:pPr>
              <w:pStyle w:val="Compact"/>
            </w:pPr>
            <w:r>
              <w:t xml:space="preserve">Statut</w:t>
            </w:r>
          </w:p>
        </w:tc>
        <w:tc>
          <w:tcPr>
            <w:shd w:val="clear" w:color="auto" w:fill="EFEFEF"/>
          </w:tcPr>
          <w:p>
            <w:pPr>
              <w:pStyle w:val="Compact"/>
            </w:pPr>
            <w:r>
              <w:t xml:space="preserve">Ancrage / provenance</w:t>
            </w:r>
          </w:p>
        </w:tc>
      </w:tr>
      <w:tr>
        <w:tc>
          <w:tcPr/>
          <w:p>
            <w:pPr>
              <w:pStyle w:val="Compact"/>
            </w:pPr>
            <w:r>
              <w:rPr>
                <w:rStyle w:val="VerbatimChar"/>
              </w:rPr>
              <w:t xml:space="preserve">r_critique</w:t>
            </w:r>
            <w:r>
              <w:t xml:space="preserve"> </w:t>
            </w:r>
            <w:r>
              <w:t xml:space="preserve">(fin de vie, RUL)</w:t>
            </w:r>
          </w:p>
        </w:tc>
        <w:tc>
          <w:tcPr/>
          <w:p>
            <w:pPr>
              <w:pStyle w:val="Compact"/>
            </w:pPr>
            <w:r>
              <w:t xml:space="preserve">0,15·r₀ (≈ 98 % section)</w:t>
            </w:r>
          </w:p>
        </w:tc>
        <w:tc>
          <w:tcPr/>
          <w:p>
            <w:pPr>
              <w:pStyle w:val="Compact"/>
            </w:pPr>
            <w:r>
              <w:t xml:space="preserve">convention labo — provisoire</w:t>
            </w:r>
          </w:p>
        </w:tc>
        <w:tc>
          <w:tcPr/>
          <w:p>
            <w:pPr>
              <w:pStyle w:val="Compact"/>
            </w:pPr>
            <w:r>
              <w:t xml:space="preserve">principe ISO 13381-1 (ISO, 2025) ; valeur à recaler (critère mécanique)</w:t>
            </w:r>
          </w:p>
        </w:tc>
      </w:tr>
      <w:tr>
        <w:tc>
          <w:tcPr/>
          <w:p>
            <w:pPr>
              <w:pStyle w:val="Compact"/>
            </w:pPr>
            <w:r>
              <w:t xml:space="preserve">Écrêtage du CR</w:t>
            </w:r>
          </w:p>
        </w:tc>
        <w:tc>
          <w:tcPr/>
          <w:p>
            <w:pPr>
              <w:pStyle w:val="Compact"/>
            </w:pPr>
            <w:r>
              <w:t xml:space="preserve">2 000 µm/an</w:t>
            </w:r>
          </w:p>
        </w:tc>
        <w:tc>
          <w:tcPr/>
          <w:p>
            <w:pPr>
              <w:pStyle w:val="Compact"/>
            </w:pPr>
            <w:r>
              <w:t xml:space="preserve">convention de prétraitement</w:t>
            </w:r>
          </w:p>
        </w:tc>
        <w:tc>
          <w:tcPr/>
          <w:p>
            <w:pPr>
              <w:pStyle w:val="Compact"/>
            </w:pPr>
            <w:r>
              <w:t xml:space="preserve">documentée §II.4.4 (exclut l’emballement non stationnaire)</w:t>
            </w:r>
          </w:p>
        </w:tc>
      </w:tr>
      <w:tr>
        <w:tc>
          <w:tcPr/>
          <w:p>
            <w:pPr>
              <w:pStyle w:val="Compact"/>
            </w:pPr>
            <w:r>
              <w:t xml:space="preserve">Seuils des régimes ; pré-rupture</w:t>
            </w:r>
          </w:p>
        </w:tc>
        <w:tc>
          <w:tcPr/>
          <w:p>
            <w:pPr>
              <w:pStyle w:val="Compact"/>
            </w:pPr>
            <w:r>
              <w:t xml:space="preserve">distributions des runs ; RUL &lt; 12 h</w:t>
            </w:r>
          </w:p>
        </w:tc>
        <w:tc>
          <w:tcPr/>
          <w:p>
            <w:pPr>
              <w:pStyle w:val="Compact"/>
            </w:pPr>
            <w:r>
              <w:t xml:space="preserve">principe normatif + objectif de conception</w:t>
            </w:r>
          </w:p>
        </w:tc>
        <w:tc>
          <w:tcPr/>
          <w:p>
            <w:pPr>
              <w:pStyle w:val="Compact"/>
            </w:pPr>
            <w:r>
              <w:t xml:space="preserve">ISO 13381-1 (seuil de santé) ; provisoire</w:t>
            </w:r>
          </w:p>
        </w:tc>
      </w:tr>
      <w:tr>
        <w:tc>
          <w:tcPr/>
          <w:p>
            <w:pPr>
              <w:pStyle w:val="Compact"/>
            </w:pPr>
            <w:r>
              <w:t xml:space="preserve">Seuils d’alerte CR (Tableau II.9)</w:t>
            </w:r>
          </w:p>
        </w:tc>
        <w:tc>
          <w:tcPr/>
          <w:p>
            <w:pPr>
              <w:pStyle w:val="Compact"/>
            </w:pPr>
            <w:r>
              <w:t xml:space="preserve">1 / 5 mm/an</w:t>
            </w:r>
          </w:p>
        </w:tc>
        <w:tc>
          <w:tcPr/>
          <w:p>
            <w:pPr>
              <w:pStyle w:val="Compact"/>
            </w:pPr>
            <w:r>
              <w:t xml:space="preserve">cadre cible industriel — non NACE</w:t>
            </w:r>
          </w:p>
        </w:tc>
        <w:tc>
          <w:tcPr/>
          <w:p>
            <w:pPr>
              <w:pStyle w:val="Compact"/>
            </w:pPr>
            <w:r>
              <w:t xml:space="preserve">réf. NACE/AMPP SP0775 : bandes 0,025 / 0,12 / 0,25 mm/an (AMPP, 2023)</w:t>
            </w:r>
          </w:p>
        </w:tc>
      </w:tr>
      <w:tr>
        <w:tc>
          <w:tcPr/>
          <w:p>
            <w:pPr>
              <w:pStyle w:val="Compact"/>
            </w:pPr>
            <w:r>
              <w:t xml:space="preserve">Seuils opérationnels du prototype</w:t>
            </w:r>
          </w:p>
        </w:tc>
        <w:tc>
          <w:tcPr/>
          <w:p>
            <w:pPr>
              <w:pStyle w:val="Compact"/>
            </w:pPr>
            <w:r>
              <w:t xml:space="preserve">section 60 / 85 % ; RUL 5 / 2 h</w:t>
            </w:r>
          </w:p>
        </w:tc>
        <w:tc>
          <w:tcPr/>
          <w:p>
            <w:pPr>
              <w:pStyle w:val="Compact"/>
            </w:pPr>
            <w:r>
              <w:t xml:space="preserve">convention labo — provisoire</w:t>
            </w:r>
          </w:p>
        </w:tc>
        <w:tc>
          <w:tcPr/>
          <w:p>
            <w:pPr>
              <w:pStyle w:val="Compact"/>
            </w:pPr>
            <w:r>
              <w:t xml:space="preserve">calibrés sur les runs de référence (§III.4.3)</w:t>
            </w:r>
          </w:p>
        </w:tc>
      </w:tr>
      <w:tr>
        <w:tc>
          <w:tcPr/>
          <w:p>
            <w:pPr>
              <w:pStyle w:val="Compact"/>
            </w:pPr>
            <w:r>
              <w:t xml:space="preserve">Cible RMSE &lt; 15 % ; KPIs (dispo &gt; 95 %…)</w:t>
            </w:r>
          </w:p>
        </w:tc>
        <w:tc>
          <w:tcPr/>
          <w:p>
            <w:pPr>
              <w:pStyle w:val="Compact"/>
            </w:pPr>
            <w:r>
              <w:t xml:space="preserve">—</w:t>
            </w:r>
          </w:p>
        </w:tc>
        <w:tc>
          <w:tcPr/>
          <w:p>
            <w:pPr>
              <w:pStyle w:val="Compact"/>
            </w:pPr>
            <w:r>
              <w:t xml:space="preserve">objectifs de conception</w:t>
            </w:r>
          </w:p>
        </w:tc>
        <w:tc>
          <w:tcPr/>
          <w:p>
            <w:pPr>
              <w:pStyle w:val="Compact"/>
            </w:pPr>
            <w:r>
              <w:t xml:space="preserve">valeurs usuelles, non normatives</w:t>
            </w:r>
          </w:p>
        </w:tc>
      </w:tr>
    </w:tbl>
    <w:p>
      <w:pPr>
        <w:pStyle w:val="BodyText"/>
      </w:pPr>
      <w:r>
        <w:t xml:space="preserve">H.4, Décisions d’orientation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Décision</w:t>
            </w:r>
          </w:p>
        </w:tc>
        <w:tc>
          <w:tcPr>
            <w:shd w:val="clear" w:color="auto" w:fill="EFEFEF"/>
          </w:tcPr>
          <w:p>
            <w:pPr>
              <w:pStyle w:val="Compact"/>
            </w:pPr>
            <w:r>
              <w:t xml:space="preserve">Justification</w:t>
            </w:r>
          </w:p>
        </w:tc>
        <w:tc>
          <w:tcPr>
            <w:shd w:val="clear" w:color="auto" w:fill="EFEFEF"/>
          </w:tcPr>
          <w:p>
            <w:pPr>
              <w:pStyle w:val="Compact"/>
            </w:pPr>
            <w:r>
              <w:t xml:space="preserve">Type</w:t>
            </w:r>
          </w:p>
        </w:tc>
        <w:tc>
          <w:tcPr>
            <w:shd w:val="clear" w:color="auto" w:fill="EFEFEF"/>
          </w:tcPr>
          <w:p>
            <w:pPr>
              <w:pStyle w:val="Compact"/>
            </w:pPr>
            <w:r>
              <w:t xml:space="preserve">Source exacte</w:t>
            </w:r>
          </w:p>
        </w:tc>
      </w:tr>
      <w:tr>
        <w:tc>
          <w:tcPr/>
          <w:p>
            <w:pPr>
              <w:pStyle w:val="Compact"/>
            </w:pPr>
            <w:r>
              <w:t xml:space="preserve">Repositionnement Industrie 3.0 → 4.0</w:t>
            </w:r>
          </w:p>
        </w:tc>
        <w:tc>
          <w:tcPr/>
          <w:p>
            <w:pPr>
              <w:pStyle w:val="Compact"/>
            </w:pPr>
            <w:r>
              <w:t xml:space="preserve">verrou = intelligence applicative, non l’instrumentation</w:t>
            </w:r>
          </w:p>
        </w:tc>
        <w:tc>
          <w:tcPr/>
          <w:p>
            <w:pPr>
              <w:pStyle w:val="Compact"/>
            </w:pPr>
            <w:r>
              <w:t xml:space="preserve">R</w:t>
            </w:r>
          </w:p>
        </w:tc>
        <w:tc>
          <w:tcPr/>
          <w:p>
            <w:pPr>
              <w:pStyle w:val="Compact"/>
            </w:pPr>
            <w:r>
              <w:t xml:space="preserve">Lasi et al. (2014) ; Lu (2017) ; Xu et al. (2018) ; Bagheri et al. (2015)</w:t>
            </w:r>
          </w:p>
        </w:tc>
      </w:tr>
      <w:tr>
        <w:tc>
          <w:tcPr/>
          <w:p>
            <w:pPr>
              <w:pStyle w:val="Compact"/>
            </w:pPr>
            <w:r>
              <w:t xml:space="preserve">Recours au ML</w:t>
            </w:r>
          </w:p>
        </w:tc>
        <w:tc>
          <w:tcPr/>
          <w:p>
            <w:pPr>
              <w:pStyle w:val="Compact"/>
            </w:pPr>
            <w:r>
              <w:t xml:space="preserve">modèles physiques : 40–60 % d’erreur réelle</w:t>
            </w:r>
          </w:p>
        </w:tc>
        <w:tc>
          <w:tcPr/>
          <w:p>
            <w:pPr>
              <w:pStyle w:val="Compact"/>
            </w:pPr>
            <w:r>
              <w:t xml:space="preserve">R</w:t>
            </w:r>
          </w:p>
        </w:tc>
        <w:tc>
          <w:tcPr/>
          <w:p>
            <w:pPr>
              <w:pStyle w:val="Compact"/>
            </w:pPr>
            <w:r>
              <w:t xml:space="preserve">de Waard &amp; Milliams (1975) ; Coelho (2022) ; NORSOK M-506</w:t>
            </w:r>
          </w:p>
        </w:tc>
      </w:tr>
      <w:tr>
        <w:tc>
          <w:tcPr/>
          <w:p>
            <w:pPr>
              <w:pStyle w:val="Compact"/>
            </w:pPr>
            <w:r>
              <w:t xml:space="preserve">ML « preuve de concept » (Option B)</w:t>
            </w:r>
          </w:p>
        </w:tc>
        <w:tc>
          <w:tcPr/>
          <w:p>
            <w:pPr>
              <w:pStyle w:val="Compact"/>
            </w:pPr>
            <w:r>
              <w:t xml:space="preserve">limites = conditions du passage à l’échelle</w:t>
            </w:r>
          </w:p>
        </w:tc>
        <w:tc>
          <w:tcPr/>
          <w:p>
            <w:pPr>
              <w:pStyle w:val="Compact"/>
            </w:pPr>
            <w:r>
              <w:t xml:space="preserve">R</w:t>
            </w:r>
          </w:p>
        </w:tc>
        <w:tc>
          <w:tcPr/>
          <w:p>
            <w:pPr>
              <w:pStyle w:val="Compact"/>
            </w:pPr>
            <w:r>
              <w:t xml:space="preserve">Coelho (2022) ; Wei (2024), Kuang &amp; Long (2024), Hu et al. (2024)</w:t>
            </w:r>
          </w:p>
        </w:tc>
      </w:tr>
      <w:tr>
        <w:tc>
          <w:tcPr/>
          <w:p>
            <w:pPr>
              <w:pStyle w:val="Compact"/>
            </w:pPr>
            <w:r>
              <w:t xml:space="preserve">Protocole run-to-failure</w:t>
            </w:r>
          </w:p>
        </w:tc>
        <w:tc>
          <w:tcPr/>
          <w:p>
            <w:pPr>
              <w:pStyle w:val="Compact"/>
            </w:pPr>
            <w:r>
              <w:t xml:space="preserve">cycle complet + événement de défaillance observé</w:t>
            </w:r>
          </w:p>
        </w:tc>
        <w:tc>
          <w:tcPr/>
          <w:p>
            <w:pPr>
              <w:pStyle w:val="Compact"/>
            </w:pPr>
            <w:r>
              <w:t xml:space="preserve">N</w:t>
            </w:r>
          </w:p>
        </w:tc>
        <w:tc>
          <w:tcPr/>
          <w:p>
            <w:pPr>
              <w:pStyle w:val="Compact"/>
            </w:pPr>
            <w:r>
              <w:t xml:space="preserve">ISO 13381-1 (ISO, 2025)</w:t>
            </w:r>
          </w:p>
        </w:tc>
      </w:tr>
      <w:tr>
        <w:tc>
          <w:tcPr/>
          <w:p>
            <w:pPr>
              <w:pStyle w:val="Compact"/>
            </w:pPr>
            <w:r>
              <w:t xml:space="preserve">Module GMAO maison + transposition CMMS open-source</w:t>
            </w:r>
          </w:p>
        </w:tc>
        <w:tc>
          <w:tcPr/>
          <w:p>
            <w:pPr>
              <w:pStyle w:val="Compact"/>
            </w:pPr>
            <w:r>
              <w:t xml:space="preserve">léger, indépendant de l’API tierce, on-premise</w:t>
            </w:r>
          </w:p>
        </w:tc>
        <w:tc>
          <w:tcPr/>
          <w:p>
            <w:pPr>
              <w:pStyle w:val="Compact"/>
            </w:pPr>
            <w:r>
              <w:t xml:space="preserve">N · R</w:t>
            </w:r>
          </w:p>
        </w:tc>
        <w:tc>
          <w:tcPr/>
          <w:p>
            <w:pPr>
              <w:pStyle w:val="Compact"/>
            </w:pPr>
            <w:r>
              <w:t xml:space="preserve">ISO 14224 (ISO, 2016) ; GLPI Project (2024) ; Bagheri et al. (2015)</w:t>
            </w:r>
          </w:p>
        </w:tc>
      </w:tr>
      <w:tr>
        <w:tc>
          <w:tcPr/>
          <w:p>
            <w:pPr>
              <w:pStyle w:val="Compact"/>
            </w:pPr>
            <w:r>
              <w:t xml:space="preserve">Fil fin obligatoire</w:t>
            </w:r>
          </w:p>
        </w:tc>
        <w:tc>
          <w:tcPr/>
          <w:p>
            <w:pPr>
              <w:pStyle w:val="Compact"/>
            </w:pPr>
            <w:r>
              <w:t xml:space="preserve">l’électrolyte shunte la mesure ER (fils épais masqués)</w:t>
            </w:r>
          </w:p>
        </w:tc>
        <w:tc>
          <w:tcPr/>
          <w:p>
            <w:pPr>
              <w:pStyle w:val="Compact"/>
            </w:pPr>
            <w:r>
              <w:t xml:space="preserve">P · E</w:t>
            </w:r>
          </w:p>
        </w:tc>
        <w:tc>
          <w:tcPr/>
          <w:p>
            <w:pPr>
              <w:pStyle w:val="Compact"/>
            </w:pPr>
            <w:r>
              <w:t xml:space="preserve">conduction de l’électrolyte ; Run #18 (§III.6.4)</w:t>
            </w:r>
          </w:p>
        </w:tc>
      </w:tr>
      <w:tr>
        <w:tc>
          <w:tcPr/>
          <w:p>
            <w:pPr>
              <w:pStyle w:val="Compact"/>
            </w:pPr>
            <w:r>
              <w:t xml:space="preserve">Jumeau numérique (perspective III.6)</w:t>
            </w:r>
          </w:p>
        </w:tc>
        <w:tc>
          <w:tcPr/>
          <w:p>
            <w:pPr>
              <w:pStyle w:val="Compact"/>
            </w:pPr>
            <w:r>
              <w:t xml:space="preserve">bande prédictive de durée de vie</w:t>
            </w:r>
          </w:p>
        </w:tc>
        <w:tc>
          <w:tcPr/>
          <w:p>
            <w:pPr>
              <w:pStyle w:val="Compact"/>
            </w:pPr>
            <w:r>
              <w:t xml:space="preserve">R</w:t>
            </w:r>
          </w:p>
        </w:tc>
        <w:tc>
          <w:tcPr/>
          <w:p>
            <w:pPr>
              <w:pStyle w:val="Compact"/>
            </w:pPr>
            <w:r>
              <w:t xml:space="preserve">Avrami (1939) ; Saxena et al. (2008) / NASA C-MAPSS</w:t>
            </w:r>
          </w:p>
        </w:tc>
      </w:tr>
    </w:tbl>
    <w:p>
      <w:r>
        <w:br w:type="page"/>
      </w:r>
    </w:p>
    <w:bookmarkEnd w:id="203"/>
    <w:bookmarkEnd w:id="204"/>
    <w:bookmarkStart w:id="205" w:name="table-des-matières"/>
    <w:p>
      <w:pPr>
        <w:pStyle w:val="Heading1"/>
      </w:pPr>
      <w:r>
        <w:t xml:space="preserve">TABLE DES MATIÈRES</w:t>
      </w:r>
    </w:p>
    <w:p>
      <w:r>
        <w:fldChar w:fldCharType="begin" w:dirty="true"/>
      </w:r>
      <w:r>
        <w:instrText xml:space="preserve"> TOC \o "1-3" \h \z \u </w:instrText>
      </w:r>
      <w:r>
        <w:fldChar w:fldCharType="separate"/>
      </w:r>
      <w:r>
        <w:t>Clic droit puis « Mettre à jour les champs » (ou sélectionner + F9) pour générer la table.</w:t>
      </w:r>
      <w:r>
        <w:fldChar w:fldCharType="end"/>
      </w:r>
    </w:p>
    <w:p>
      <w:pPr>
        <w:pStyle w:val="FirstParagraph"/>
      </w:pPr>
      <w:r>
        <w:rPr>
          <w:i/>
          <w:iCs/>
        </w:rPr>
        <w:t xml:space="preserve">(générée automatiquement par Word à partir des styles Heading 1 / 2 / 3)</w:t>
      </w:r>
    </w:p>
    <w:bookmarkEnd w:id="205"/>
    <w:sectPr>
      <w:footerReference r:id="rId9" w:type="default"/>
      <w:footnotePr>
        <w:numRestart w:val="eachSect"/>
      </w:footnotePr>
      <w:pgSz w:h="16838" w:w="11906"/>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hAnsi="Times New Roman"/>
      <w:color w:val="000000"/>
      <w:sz w:val="24"/>
    </w:rPr>
  </w:style>
  <w:style w:styleId="BodyText" w:type="paragraph">
    <w:name w:val="Body Text"/>
    <w:basedOn w:val="Normal"/>
    <w:link w:val="BodyTextChar"/>
    <w:qFormat/>
    <w:pPr>
      <w:spacing w:after="180" w:before="180"/>
      <w:jc w:val="both"/>
    </w:pPr>
    <w:rPr>
      <w:rFonts w:ascii="Times New Roman" w:cs="Times New Roman" w:hAnsi="Times New Roman"/>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outlineLvl w:val="0"/>
    </w:pPr>
    <w:rPr>
      <w:rFonts w:ascii="Times New Roman" w:asciiTheme="majorHAnsi" w:cs="Times New Roman" w:cstheme="majorBidi"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60" w:before="280" w:line="240" w:lineRule="auto"/>
      <w:outlineLvl w:val="1"/>
    </w:pPr>
    <w:rPr>
      <w:rFonts w:ascii="Times New Roman" w:asciiTheme="majorHAnsi" w:cs="Times New Roman" w:cstheme="majorBidi"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00" w:line="240" w:lineRule="auto"/>
      <w:outlineLvl w:val="2"/>
    </w:pPr>
    <w:rPr>
      <w:rFonts w:ascii="Times New Roman" w:cs="Times New Roman" w:cstheme="majorBidi" w:eastAsiaTheme="majorEastAsia" w:hAnsi="Times New Roman"/>
      <w:b/>
      <w:i w:val="0"/>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80" w:before="160" w:line="240" w:lineRule="auto"/>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120" w:line="240" w:lineRule="auto"/>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80"/>
      <w:jc w:val="center"/>
    </w:pPr>
    <w:rPr>
      <w:rFonts w:ascii="Times New Roman" w:cs="Times New Roman" w:hAnsi="Times New Roman"/>
      <w:i/>
      <w:color w:val="000000"/>
      <w:sz w:val="20"/>
    </w:rPr>
  </w:style>
  <w:style w:customStyle="1" w:styleId="TableCaption" w:type="paragraph">
    <w:name w:val="Table Caption"/>
    <w:basedOn w:val="Caption"/>
    <w:pPr>
      <w:keepNext/>
      <w:spacing w:after="200" w:before="80"/>
      <w:jc w:val="center"/>
    </w:pPr>
    <w:rPr>
      <w:rFonts w:ascii="Times New Roman" w:cs="Times New Roman" w:hAnsi="Times New Roman"/>
      <w:i/>
      <w:color w:val="000000"/>
      <w:sz w:val="20"/>
    </w:rPr>
  </w:style>
  <w:style w:customStyle="1" w:styleId="ImageCaption" w:type="paragraph">
    <w:name w:val="Image Caption"/>
    <w:basedOn w:val="Caption"/>
    <w:pPr>
      <w:spacing w:after="200" w:before="80"/>
      <w:jc w:val="center"/>
    </w:pPr>
    <w:rPr>
      <w:rFonts w:ascii="Times New Roman" w:cs="Times New Roman" w:hAnsi="Times New Roman"/>
      <w:i/>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OC1" w:type="paragraph">
    <w:name w:val="toc 1"/>
    <w:basedOn w:val="Normal"/>
    <w:pPr>
      <w:spacing w:after="40" w:line="240" w:lineRule="auto"/>
      <w:jc w:val="left"/>
    </w:pPr>
    <w:rPr>
      <w:rFonts w:ascii="Times New Roman" w:cs="Times New Roman" w:hAnsi="Times New Roman"/>
      <w:color w:val="000000"/>
      <w:sz w:val="24"/>
    </w:rPr>
  </w:style>
  <w:style w:customStyle="1" w:styleId="TOC2" w:type="paragraph">
    <w:name w:val="toc 2"/>
    <w:basedOn w:val="Normal"/>
    <w:pPr>
      <w:spacing w:after="40" w:line="240" w:lineRule="auto"/>
      <w:jc w:val="left"/>
    </w:pPr>
    <w:rPr>
      <w:rFonts w:ascii="Times New Roman" w:cs="Times New Roman" w:hAnsi="Times New Roman"/>
      <w:color w:val="000000"/>
      <w:sz w:val="24"/>
    </w:rPr>
  </w:style>
  <w:style w:customStyle="1" w:styleId="TOC3" w:type="paragraph">
    <w:name w:val="toc 3"/>
    <w:basedOn w:val="Normal"/>
    <w:pPr>
      <w:spacing w:after="40" w:line="240" w:lineRule="auto"/>
      <w:jc w:val="left"/>
    </w:pPr>
    <w:rPr>
      <w:rFonts w:ascii="Times New Roman" w:cs="Times New Roman" w:hAnsi="Times New Roman"/>
      <w:color w:val="000000"/>
      <w:sz w:val="24"/>
    </w:rPr>
  </w:style>
  <w:style w:customStyle="1" w:styleId="TOC4" w:type="paragraph">
    <w:name w:val="toc 4"/>
    <w:basedOn w:val="Normal"/>
    <w:pPr>
      <w:spacing w:after="40" w:line="240" w:lineRule="auto"/>
      <w:jc w:val="left"/>
    </w:pPr>
    <w:rPr>
      <w:rFonts w:ascii="Times New Roman" w:cs="Times New Roman" w:hAnsi="Times New Roman"/>
      <w:color w:val="000000"/>
      <w:sz w:val="24"/>
    </w:rPr>
  </w:style>
  <w:style w:customStyle="1" w:styleId="TOC5" w:type="paragraph">
    <w:name w:val="toc 5"/>
    <w:basedOn w:val="Normal"/>
    <w:pPr>
      <w:spacing w:after="40" w:line="240" w:lineRule="auto"/>
      <w:jc w:val="left"/>
    </w:pPr>
    <w:rPr>
      <w:rFonts w:ascii="Times New Roman" w:cs="Times New Roman" w:hAnsi="Times New Roman"/>
      <w:color w:val="000000"/>
      <w:sz w:val="24"/>
    </w:rPr>
  </w:style>
  <w:style w:customStyle="1" w:styleId="TOC6" w:type="paragraph">
    <w:name w:val="toc 6"/>
    <w:basedOn w:val="Normal"/>
    <w:pPr>
      <w:spacing w:after="40" w:line="240" w:lineRule="auto"/>
      <w:jc w:val="left"/>
    </w:pPr>
    <w:rPr>
      <w:rFonts w:ascii="Times New Roman" w:cs="Times New Roman" w:hAnsi="Times New Roman"/>
      <w:color w:val="000000"/>
      <w:sz w:val="24"/>
    </w:rPr>
  </w:style>
  <w:style w:customStyle="1" w:styleId="TOC7" w:type="paragraph">
    <w:name w:val="toc 7"/>
    <w:basedOn w:val="Normal"/>
    <w:pPr>
      <w:spacing w:after="40" w:line="240" w:lineRule="auto"/>
      <w:jc w:val="left"/>
    </w:pPr>
    <w:rPr>
      <w:rFonts w:ascii="Times New Roman" w:cs="Times New Roman" w:hAnsi="Times New Roman"/>
      <w:color w:val="000000"/>
      <w:sz w:val="24"/>
    </w:rPr>
  </w:style>
  <w:style w:customStyle="1" w:styleId="TOC8" w:type="paragraph">
    <w:name w:val="toc 8"/>
    <w:basedOn w:val="Normal"/>
    <w:pPr>
      <w:spacing w:after="40" w:line="240" w:lineRule="auto"/>
      <w:jc w:val="left"/>
    </w:pPr>
    <w:rPr>
      <w:rFonts w:ascii="Times New Roman" w:cs="Times New Roman" w:hAnsi="Times New Roman"/>
      <w:color w:val="000000"/>
      <w:sz w:val="24"/>
    </w:rPr>
  </w:style>
  <w:style w:customStyle="1" w:styleId="TOC9" w:type="paragraph">
    <w:name w:val="toc 9"/>
    <w:basedOn w:val="Normal"/>
    <w:pPr>
      <w:spacing w:after="40" w:line="240" w:lineRule="auto"/>
      <w:jc w:val="left"/>
    </w:pPr>
    <w:rPr>
      <w:rFonts w:ascii="Times New Roman" w:cs="Times New Roman" w:hAnsi="Times New Roman"/>
      <w:color w:val="000000"/>
      <w:sz w:val="24"/>
    </w:rPr>
  </w:style>
  <w:style w:customStyle="1" w:styleId="PageTitre" w:type="paragraph">
    <w:name w:val="PageTitre"/>
    <w:basedOn w:val="Normal"/>
    <w:pPr>
      <w:spacing w:after="160"/>
      <w:jc w:val="center"/>
    </w:pPr>
    <w:rPr>
      <w:rFonts w:ascii="Times New Roman" w:cs="Times New Roman" w:hAnsi="Times New Roman"/>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92" Type="http://schemas.openxmlformats.org/officeDocument/2006/relationships/image" Target="media/rId192.png"/><Relationship Id="rId198" Type="http://schemas.openxmlformats.org/officeDocument/2006/relationships/image" Target="media/rId198.png"/><Relationship Id="rId107" Type="http://schemas.openxmlformats.org/officeDocument/2006/relationships/image" Target="media/rId107.png"/><Relationship Id="rId76" Type="http://schemas.openxmlformats.org/officeDocument/2006/relationships/image" Target="media/rId76.png"/><Relationship Id="rId84" Type="http://schemas.openxmlformats.org/officeDocument/2006/relationships/image" Target="media/rId84.png"/><Relationship Id="rId122" Type="http://schemas.openxmlformats.org/officeDocument/2006/relationships/image" Target="media/rId122.png"/><Relationship Id="rId126" Type="http://schemas.openxmlformats.org/officeDocument/2006/relationships/image" Target="media/rId126.png"/><Relationship Id="rId181" Type="http://schemas.openxmlformats.org/officeDocument/2006/relationships/image" Target="media/rId181.png"/><Relationship Id="rId143" Type="http://schemas.openxmlformats.org/officeDocument/2006/relationships/image" Target="media/rId143.png"/><Relationship Id="rId135" Type="http://schemas.openxmlformats.org/officeDocument/2006/relationships/image" Target="media/rId135.png"/><Relationship Id="rId139" Type="http://schemas.openxmlformats.org/officeDocument/2006/relationships/image" Target="media/rId139.png"/><Relationship Id="rId131" Type="http://schemas.openxmlformats.org/officeDocument/2006/relationships/image" Target="media/rId131.png"/><Relationship Id="rId153" Type="http://schemas.openxmlformats.org/officeDocument/2006/relationships/image" Target="media/rId153.png"/><Relationship Id="rId149" Type="http://schemas.openxmlformats.org/officeDocument/2006/relationships/image" Target="media/rId149.png"/><Relationship Id="rId165" Type="http://schemas.openxmlformats.org/officeDocument/2006/relationships/image" Target="media/rId165.png"/><Relationship Id="rId169" Type="http://schemas.openxmlformats.org/officeDocument/2006/relationships/image" Target="media/rId169.png"/><Relationship Id="rId162" Type="http://schemas.openxmlformats.org/officeDocument/2006/relationships/image" Target="media/rId162.png"/><Relationship Id="rId159" Type="http://schemas.openxmlformats.org/officeDocument/2006/relationships/image" Target="media/rId159.png"/><Relationship Id="rId71" Type="http://schemas.openxmlformats.org/officeDocument/2006/relationships/image" Target="media/rId71.png"/><Relationship Id="rId178" Type="http://schemas.openxmlformats.org/officeDocument/2006/relationships/image" Target="media/rId1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2026-06-30T08:19:39Z</dcterms:created>
  <dcterms:modified xsi:type="dcterms:W3CDTF">2026-06-30T08:19:39Z</dcterms:modified>
</cp:coreProperties>
</file>

<file path=docProps/custom.xml><?xml version="1.0" encoding="utf-8"?>
<Properties xmlns="http://schemas.openxmlformats.org/officeDocument/2006/custom-properties" xmlns:vt="http://schemas.openxmlformats.org/officeDocument/2006/docPropsVTypes"/>
</file>