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rPr>
        <w:t xml:space="preserve">Système de maintenance prédictive de la corrosion par apprentissage automatique : conception d’une sonde ER low-cost, acquisition IoT et prédiction du taux de corrosion et de la durée de vie résiduelle par XGBoost</w:t>
      </w:r>
    </w:p>
    <w:p>
      <w:pPr>
        <w:pStyle w:val="Author"/>
      </w:pPr>
      <w:r>
        <w:rPr>
          <w:rFonts w:ascii="Times New Roman" w:hAnsi="Times New Roman"/>
        </w:rPr>
        <w:t xml:space="preserve">BATOUMBI IKOND Ricky Parfait</w:t>
      </w:r>
    </w:p>
    <w:p>
      <w:pPr>
        <w:pStyle w:val="Date"/>
      </w:pPr>
      <w:r>
        <w:rPr>
          <w:rFonts w:ascii="Times New Roman" w:hAnsi="Times New Roman"/>
        </w:rP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age-de-titre"/>
    <w:p>
      <w:pPr>
        <w:pStyle w:val="Heading1"/>
      </w:pPr>
      <w:r>
        <w:rPr>
          <w:rFonts w:ascii="Times New Roman" w:hAnsi="Times New Roman"/>
        </w:rPr>
        <w:t xml:space="preserve">PAGE DE TITRE</w:t>
      </w:r>
    </w:p>
    <w:p>
      <w:pPr>
        <w:pStyle w:val="FirstParagraph"/>
      </w:pPr>
      <w:r>
        <w:rPr>
          <w:rFonts w:ascii="Times New Roman" w:hAnsi="Times New Roman"/>
          <w:b/>
          <w:bCs/>
        </w:rPr>
        <w:t xml:space="preserve">RÉPUBLIQUE DU CAMEROUN</w:t>
      </w:r>
      <w:r>
        <w:rPr>
          <w:rFonts w:ascii="Times New Roman" w:hAnsi="Times New Roman"/>
        </w:rPr>
        <w:t xml:space="preserve"> </w:t>
      </w:r>
      <w:r>
        <w:rPr>
          <w:rFonts w:ascii="Times New Roman" w:hAnsi="Times New Roman"/>
          <w:i/>
          <w:iCs/>
        </w:rPr>
        <w:t xml:space="preserve">Paix — Travail — Patrie</w:t>
      </w:r>
    </w:p>
    <w:p>
      <w:pPr>
        <w:pStyle w:val="BodyText"/>
      </w:pPr>
      <w:r>
        <w:rPr>
          <w:rFonts w:ascii="Times New Roman" w:hAnsi="Times New Roman"/>
          <w:b/>
          <w:bCs/>
        </w:rPr>
        <w:t xml:space="preserve">REPUBLIC OF CAMEROON</w:t>
      </w:r>
      <w:r>
        <w:rPr>
          <w:rFonts w:ascii="Times New Roman" w:hAnsi="Times New Roman"/>
        </w:rPr>
        <w:t xml:space="preserve"> </w:t>
      </w:r>
      <w:r>
        <w:rPr>
          <w:rFonts w:ascii="Times New Roman" w:hAnsi="Times New Roman"/>
          <w:i/>
          <w:iCs/>
        </w:rPr>
        <w:t xml:space="preserve">Peace — Work — Fatherland</w:t>
      </w:r>
    </w:p>
    <w:p>
      <w:r>
        <w:rPr>
          <w:rFonts w:ascii="Times New Roman" w:hAnsi="Times New Roman"/>
        </w:rPr>
        <w:pict>
          <v:rect style="width:0;height:1.5pt" o:hralign="center" o:hrstd="t" o:hr="t"/>
        </w:pict>
      </w:r>
    </w:p>
    <w:p>
      <w:pPr>
        <w:pStyle w:val="FirstParagraph"/>
      </w:pPr>
      <w:r>
        <w:rPr>
          <w:rFonts w:ascii="Times New Roman" w:hAnsi="Times New Roman"/>
          <w:b/>
          <w:bCs/>
        </w:rPr>
        <w:t xml:space="preserve">MINISTÈRE DE L’ENSEIGNEMENT SUPÉRIEUR</w:t>
      </w:r>
    </w:p>
    <w:p>
      <w:pPr>
        <w:pStyle w:val="BodyText"/>
      </w:pPr>
      <w:r>
        <w:rPr>
          <w:rFonts w:ascii="Times New Roman" w:hAnsi="Times New Roman"/>
          <w:b/>
          <w:bCs/>
        </w:rPr>
        <w:t xml:space="preserve">ÉCOLE NATIONALE SUPÉRIEURE POLYTECHNIQUE DE DOUALA</w:t>
      </w:r>
      <w:r>
        <w:rPr>
          <w:rFonts w:ascii="Times New Roman" w:hAnsi="Times New Roman"/>
        </w:rPr>
        <w:t xml:space="preserve"> </w:t>
      </w:r>
      <w:r>
        <w:rPr>
          <w:rFonts w:ascii="Times New Roman" w:hAnsi="Times New Roman"/>
          <w:i/>
          <w:iCs/>
        </w:rPr>
        <w:t xml:space="preserve">(ENSPD)</w:t>
      </w:r>
    </w:p>
    <w:p>
      <w:pPr>
        <w:pStyle w:val="BodyText"/>
      </w:pPr>
      <w:r>
        <w:rPr>
          <w:rFonts w:ascii="Times New Roman" w:hAnsi="Times New Roman"/>
          <w:b/>
          <w:bCs/>
        </w:rPr>
        <w:t xml:space="preserve">Département de Génie Industriel et Maintenance</w:t>
      </w:r>
    </w:p>
    <w:p>
      <w:r>
        <w:rPr>
          <w:rFonts w:ascii="Times New Roman" w:hAnsi="Times New Roman"/>
        </w:rPr>
        <w:pict>
          <v:rect style="width:0;height:1.5pt" o:hralign="center" o:hrstd="t" o:hr="t"/>
        </w:pict>
      </w:r>
    </w:p>
    <w:p>
      <w:pPr>
        <w:pStyle w:val="FirstParagraph"/>
      </w:pPr>
      <w:r>
        <w:rPr>
          <w:rFonts w:ascii="Times New Roman" w:hAnsi="Times New Roman"/>
          <w:b/>
          <w:bCs/>
        </w:rPr>
        <w:t xml:space="preserve">MÉMOIRE DE FIN D’ÉTUDES</w:t>
      </w:r>
    </w:p>
    <w:p>
      <w:pPr>
        <w:pStyle w:val="BodyText"/>
      </w:pPr>
      <w:r>
        <w:rPr>
          <w:rFonts w:ascii="Times New Roman" w:hAnsi="Times New Roman"/>
        </w:rPr>
        <w:t xml:space="preserve">En vue de l’obtention du diplôme de :</w:t>
      </w:r>
    </w:p>
    <w:p>
      <w:pPr>
        <w:pStyle w:val="BodyText"/>
      </w:pPr>
      <w:r>
        <w:rPr>
          <w:rFonts w:ascii="Times New Roman" w:hAnsi="Times New Roman"/>
          <w:b/>
          <w:bCs/>
        </w:rPr>
        <w:t xml:space="preserve">MASTER 2 PROFESSIONNEL EN MAINTENANCE INDUSTRIELLE</w:t>
      </w:r>
    </w:p>
    <w:p>
      <w:r>
        <w:rPr>
          <w:rFonts w:ascii="Times New Roman" w:hAnsi="Times New Roman"/>
        </w:rPr>
        <w:pict>
          <v:rect style="width:0;height:1.5pt" o:hralign="center" o:hrstd="t" o:hr="t"/>
        </w:pict>
      </w:r>
    </w:p>
    <w:p>
      <w:pPr>
        <w:pStyle w:val="FirstParagraph"/>
      </w:pPr>
      <w:r>
        <w:rPr>
          <w:rFonts w:ascii="Times New Roman" w:hAnsi="Times New Roman"/>
          <w:b/>
          <w:bCs/>
        </w:rPr>
        <w:t xml:space="preserve">THÈME :</w:t>
      </w:r>
    </w:p>
    <w:p>
      <w:pPr>
        <w:pStyle w:val="BodyText"/>
      </w:pPr>
      <w:r>
        <w:rPr>
          <w:rFonts w:ascii="Times New Roman" w:hAnsi="Times New Roman"/>
          <w:b/>
          <w:bCs/>
        </w:rPr>
        <w:t xml:space="preserve">SYSTÈME DE MAINTENANCE PRÉDICTIVE DE LA CORROSION</w:t>
      </w:r>
      <w:r>
        <w:rPr>
          <w:rFonts w:ascii="Times New Roman" w:hAnsi="Times New Roman"/>
          <w:b/>
          <w:bCs/>
        </w:rPr>
        <w:t xml:space="preserve"> </w:t>
      </w:r>
      <w:r>
        <w:rPr>
          <w:rFonts w:ascii="Times New Roman" w:hAnsi="Times New Roman"/>
          <w:b/>
          <w:bCs/>
        </w:rPr>
        <w:t xml:space="preserve">PAR APPRENTISSAGE AUTOMATIQUE :</w:t>
      </w:r>
      <w:r>
        <w:rPr>
          <w:rFonts w:ascii="Times New Roman" w:hAnsi="Times New Roman"/>
          <w:b/>
          <w:bCs/>
        </w:rPr>
        <w:t xml:space="preserve"> </w:t>
      </w:r>
      <w:r>
        <w:rPr>
          <w:rFonts w:ascii="Times New Roman" w:hAnsi="Times New Roman"/>
          <w:b/>
          <w:bCs/>
        </w:rPr>
        <w:t xml:space="preserve">CONCEPTION D’UNE SONDE ER LOW-COST, ACQUISITION IoT</w:t>
      </w:r>
      <w:r>
        <w:rPr>
          <w:rFonts w:ascii="Times New Roman" w:hAnsi="Times New Roman"/>
          <w:b/>
          <w:bCs/>
        </w:rPr>
        <w:t xml:space="preserve"> </w:t>
      </w:r>
      <w:r>
        <w:rPr>
          <w:rFonts w:ascii="Times New Roman" w:hAnsi="Times New Roman"/>
          <w:b/>
          <w:bCs/>
        </w:rPr>
        <w:t xml:space="preserve">ET PRÉDICTION DU TAUX DE CORROSION ET DE LA DURÉE DE VIE RÉSIDUELLE PAR XGBoost</w:t>
      </w:r>
    </w:p>
    <w:p>
      <w:pPr>
        <w:pStyle w:val="BodyText"/>
      </w:pPr>
      <w:r>
        <w:rPr>
          <w:rFonts w:ascii="Times New Roman" w:hAnsi="Times New Roman"/>
          <w:i/>
          <w:iCs/>
        </w:rPr>
        <w:t xml:space="preserve">Application à un milieu corrosif multi-acide en conditions de laboratoire</w:t>
      </w:r>
    </w:p>
    <w:p>
      <w:r>
        <w:rPr>
          <w:rFonts w:ascii="Times New Roman" w:hAnsi="Times New Roman"/>
        </w:rPr>
        <w:pict>
          <v:rect style="width:0;height:1.5pt" o:hralign="center" o:hrstd="t" o:hr="t"/>
        </w:pict>
      </w:r>
    </w:p>
    <w:tbl>
      <w:tblPr>
        <w:tblStyle w:val="Table"/>
        <w:tblW w:type="auto" w:w="0"/>
        <w:jc w:val="center"/>
        <w:tblLook w:firstRow="0" w:lastRow="0" w:firstColumn="0" w:lastColumn="0" w:noHBand="0" w:noVBand="0" w:val="0000"/>
      </w:tblPr>
      <w:tblGrid>
        <w:gridCol w:w="3960"/>
        <w:gridCol w:w="3960"/>
      </w:tblGrid>
      <w:tr>
        <w:tc>
          <w:tcPr/>
          <w:p>
            <w:pPr>
              <w:pStyle w:val="Compact"/>
              <w:jc w:val="left"/>
            </w:pPr>
            <w:r>
              <w:rPr>
                <w:rFonts w:ascii="Times New Roman" w:hAnsi="Times New Roman"/>
                <w:b/>
                <w:bCs/>
                <w:sz w:val="20"/>
              </w:rPr>
              <w:t xml:space="preserve">Présenté par :</w:t>
            </w:r>
          </w:p>
        </w:tc>
        <w:tc>
          <w:tcPr/>
          <w:p>
            <w:pPr>
              <w:pStyle w:val="Compact"/>
              <w:jc w:val="left"/>
            </w:pPr>
            <w:r>
              <w:rPr>
                <w:rFonts w:ascii="Times New Roman" w:hAnsi="Times New Roman"/>
                <w:b/>
                <w:sz w:val="20"/>
              </w:rPr>
              <w:t xml:space="preserve">BATOUMBI IKOND Ricky Parfait</w:t>
            </w:r>
          </w:p>
        </w:tc>
      </w:tr>
      <w:tr>
        <w:tc>
          <w:tcPr/>
          <w:p>
            <w:pPr>
              <w:pStyle w:val="Compact"/>
              <w:jc w:val="left"/>
            </w:pPr>
            <w:r>
              <w:rPr>
                <w:rFonts w:ascii="Times New Roman" w:hAnsi="Times New Roman"/>
                <w:b/>
                <w:bCs/>
                <w:sz w:val="20"/>
              </w:rPr>
              <w:t xml:space="preserve">Matricule :</w:t>
            </w:r>
          </w:p>
        </w:tc>
        <w:tc>
          <w:tcPr/>
          <w:p>
            <w:pPr>
              <w:pStyle w:val="Compact"/>
              <w:jc w:val="left"/>
            </w:pPr>
            <w:r>
              <w:rPr>
                <w:rFonts w:ascii="Times New Roman" w:hAnsi="Times New Roman"/>
                <w:sz w:val="20"/>
              </w:rPr>
              <w:t xml:space="preserve">À compléter</w:t>
            </w:r>
          </w:p>
        </w:tc>
      </w:tr>
      <w:tr>
        <w:tc>
          <w:tcPr/>
          <w:p>
            <w:pPr>
              <w:pStyle w:val="Compact"/>
              <w:jc w:val="left"/>
            </w:pPr>
            <w:r>
              <w:rPr>
                <w:rFonts w:ascii="Times New Roman" w:hAnsi="Times New Roman"/>
                <w:b/>
                <w:bCs/>
                <w:sz w:val="20"/>
              </w:rPr>
              <w:t xml:space="preserve">Encadreur académique :</w:t>
            </w:r>
          </w:p>
        </w:tc>
        <w:tc>
          <w:tcPr/>
          <w:p>
            <w:pPr>
              <w:pStyle w:val="Compact"/>
              <w:jc w:val="left"/>
            </w:pPr>
            <w:r>
              <w:rPr>
                <w:rFonts w:ascii="Times New Roman" w:hAnsi="Times New Roman"/>
                <w:sz w:val="20"/>
              </w:rPr>
              <w:t xml:space="preserve">À compléter</w:t>
            </w:r>
          </w:p>
        </w:tc>
      </w:tr>
      <w:tr>
        <w:tc>
          <w:tcPr/>
          <w:p>
            <w:pPr>
              <w:pStyle w:val="Compact"/>
              <w:jc w:val="left"/>
            </w:pPr>
            <w:r>
              <w:rPr>
                <w:rFonts w:ascii="Times New Roman" w:hAnsi="Times New Roman"/>
                <w:b/>
                <w:bCs/>
                <w:sz w:val="20"/>
              </w:rPr>
              <w:t xml:space="preserve">Encadreur professionnel :</w:t>
            </w:r>
          </w:p>
        </w:tc>
        <w:tc>
          <w:tcPr/>
          <w:p>
            <w:pPr>
              <w:pStyle w:val="Compact"/>
              <w:jc w:val="left"/>
            </w:pPr>
            <w:r>
              <w:rPr>
                <w:rFonts w:ascii="Times New Roman" w:hAnsi="Times New Roman"/>
                <w:sz w:val="20"/>
              </w:rPr>
              <w:t xml:space="preserve">À compléter (COTCO)</w:t>
            </w:r>
          </w:p>
        </w:tc>
      </w:tr>
      <w:tr>
        <w:tc>
          <w:tcPr/>
          <w:p>
            <w:pPr>
              <w:pStyle w:val="Compact"/>
              <w:jc w:val="left"/>
            </w:pPr>
            <w:r>
              <w:rPr>
                <w:rFonts w:ascii="Times New Roman" w:hAnsi="Times New Roman"/>
                <w:b/>
                <w:bCs/>
                <w:sz w:val="20"/>
              </w:rPr>
              <w:t xml:space="preserve">Année académique :</w:t>
            </w:r>
          </w:p>
        </w:tc>
        <w:tc>
          <w:tcPr/>
          <w:p>
            <w:pPr>
              <w:pStyle w:val="Compact"/>
              <w:jc w:val="left"/>
            </w:pPr>
            <w:r>
              <w:rPr>
                <w:rFonts w:ascii="Times New Roman" w:hAnsi="Times New Roman"/>
                <w:sz w:val="20"/>
              </w:rPr>
              <w:t xml:space="preserve">2025 — 2026</w:t>
            </w:r>
          </w:p>
        </w:tc>
      </w:tr>
    </w:tbl>
    <w:p>
      <w:r>
        <w:rPr>
          <w:rFonts w:ascii="Times New Roman" w:hAnsi="Times New Roman"/>
        </w:rPr>
        <w:pict>
          <v:rect style="width:0;height:1.5pt" o:hralign="center" o:hrstd="t" o:hr="t"/>
        </w:pict>
      </w:r>
    </w:p>
    <w:bookmarkEnd w:id="9"/>
    <w:bookmarkStart w:id="10" w:name="dédicace"/>
    <w:p>
      <w:pPr>
        <w:pStyle w:val="Heading1"/>
      </w:pPr>
      <w:r>
        <w:rPr>
          <w:rFonts w:ascii="Times New Roman" w:hAnsi="Times New Roman"/>
        </w:rPr>
        <w:t xml:space="preserve">DÉDICACE</w:t>
      </w:r>
    </w:p>
    <w:p>
      <w:pPr>
        <w:pStyle w:val="FirstParagraph"/>
      </w:pPr>
      <w:r>
        <w:rPr>
          <w:rFonts w:ascii="Times New Roman" w:hAnsi="Times New Roman"/>
          <w:i/>
          <w:iCs/>
        </w:rPr>
        <w:t xml:space="preserve">À mes parents,</w:t>
      </w:r>
      <w:r>
        <w:rPr>
          <w:rFonts w:ascii="Times New Roman" w:hAnsi="Times New Roman"/>
          <w:i/>
          <w:iCs/>
        </w:rPr>
        <w:t xml:space="preserve"> </w:t>
      </w:r>
      <w:r>
        <w:rPr>
          <w:rFonts w:ascii="Times New Roman" w:hAnsi="Times New Roman"/>
          <w:i/>
          <w:iCs/>
        </w:rPr>
        <w:t xml:space="preserve">pour leur soutien constant et leur confiance inébranlable tout au long de ce parcours.</w:t>
      </w:r>
    </w:p>
    <w:p>
      <w:pPr>
        <w:pStyle w:val="BodyText"/>
      </w:pPr>
      <w:r>
        <w:rPr>
          <w:rFonts w:ascii="Times New Roman" w:hAnsi="Times New Roman"/>
          <w:i/>
          <w:iCs/>
        </w:rPr>
        <w:t xml:space="preserve">À tous ceux qui, dans l’ombre, ont contribué à ce que ce travail devienne réalité.</w:t>
      </w:r>
    </w:p>
    <w:bookmarkEnd w:id="10"/>
    <w:bookmarkStart w:id="11" w:name="remerciements"/>
    <w:p>
      <w:pPr>
        <w:pStyle w:val="Heading1"/>
      </w:pPr>
      <w:r>
        <w:rPr>
          <w:rFonts w:ascii="Times New Roman" w:hAnsi="Times New Roman"/>
        </w:rPr>
        <w:t xml:space="preserve">REMERCIEMENTS</w:t>
      </w:r>
    </w:p>
    <w:p>
      <w:pPr>
        <w:pStyle w:val="FirstParagraph"/>
      </w:pPr>
      <w:r>
        <w:rPr>
          <w:rFonts w:ascii="Times New Roman" w:hAnsi="Times New Roman"/>
        </w:rPr>
        <w:t xml:space="preserve">Ce travail de recherche n’aurait pu aboutir sans le concours de plusieurs personnes à qui j’exprime ma profonde gratitude.</w:t>
      </w:r>
    </w:p>
    <w:p>
      <w:pPr>
        <w:pStyle w:val="BodyText"/>
      </w:pPr>
      <w:r>
        <w:rPr>
          <w:rFonts w:ascii="Times New Roman" w:hAnsi="Times New Roman"/>
        </w:rPr>
        <w:t xml:space="preserve">Je remercie en premier lieu la direction de l’</w:t>
      </w:r>
      <w:r>
        <w:rPr>
          <w:rFonts w:ascii="Times New Roman" w:hAnsi="Times New Roman"/>
          <w:b/>
          <w:bCs/>
        </w:rPr>
        <w:t xml:space="preserve">École Nationale Supérieure Polytechnique de Douala (ENSPD)</w:t>
      </w:r>
      <w:r>
        <w:rPr>
          <w:rFonts w:ascii="Times New Roman" w:hAnsi="Times New Roman"/>
        </w:rPr>
        <w:t xml:space="preserve"> </w:t>
      </w:r>
      <w:r>
        <w:rPr>
          <w:rFonts w:ascii="Times New Roman" w:hAnsi="Times New Roman"/>
        </w:rPr>
        <w:t xml:space="preserve">pour la qualité de la formation dispensée au sein du département de Génie Industriel et Maintenance.</w:t>
      </w:r>
    </w:p>
    <w:p>
      <w:pPr>
        <w:pStyle w:val="BodyText"/>
      </w:pPr>
      <w:r>
        <w:rPr>
          <w:rFonts w:ascii="Times New Roman" w:hAnsi="Times New Roman"/>
        </w:rPr>
        <w:t xml:space="preserve">Mes remerciements vont ensuite à mon</w:t>
      </w:r>
      <w:r>
        <w:rPr>
          <w:rFonts w:ascii="Times New Roman" w:hAnsi="Times New Roman"/>
        </w:rPr>
        <w:t xml:space="preserve"> </w:t>
      </w:r>
      <w:r>
        <w:rPr>
          <w:rFonts w:ascii="Times New Roman" w:hAnsi="Times New Roman"/>
          <w:b/>
          <w:bCs/>
        </w:rPr>
        <w:t xml:space="preserve">encadreur académique</w:t>
      </w:r>
      <w:r>
        <w:rPr>
          <w:rFonts w:ascii="Times New Roman" w:hAnsi="Times New Roman"/>
        </w:rPr>
        <w:t xml:space="preserve"> </w:t>
      </w:r>
      <w:r>
        <w:rPr>
          <w:rFonts w:ascii="Times New Roman" w:hAnsi="Times New Roman"/>
        </w:rPr>
        <w:t xml:space="preserve">pour ses orientations rigoureuses, ses corrections éclairées et sa disponibilité tout au long de la rédaction de ce mémoire.</w:t>
      </w:r>
    </w:p>
    <w:p>
      <w:pPr>
        <w:pStyle w:val="BodyText"/>
      </w:pPr>
      <w:r>
        <w:rPr>
          <w:rFonts w:ascii="Times New Roman" w:hAnsi="Times New Roman"/>
        </w:rPr>
        <w:t xml:space="preserve">Je remercie également mon</w:t>
      </w:r>
      <w:r>
        <w:rPr>
          <w:rFonts w:ascii="Times New Roman" w:hAnsi="Times New Roman"/>
        </w:rPr>
        <w:t xml:space="preserve"> </w:t>
      </w:r>
      <w:r>
        <w:rPr>
          <w:rFonts w:ascii="Times New Roman" w:hAnsi="Times New Roman"/>
          <w:b/>
          <w:bCs/>
        </w:rPr>
        <w:t xml:space="preserve">encadreur professionnel</w:t>
      </w:r>
      <w:r>
        <w:rPr>
          <w:rFonts w:ascii="Times New Roman" w:hAnsi="Times New Roman"/>
        </w:rPr>
        <w:t xml:space="preserve"> </w:t>
      </w:r>
      <w:r>
        <w:rPr>
          <w:rFonts w:ascii="Times New Roman" w:hAnsi="Times New Roman"/>
        </w:rPr>
        <w:t xml:space="preserve">au sein de la</w:t>
      </w:r>
      <w:r>
        <w:rPr>
          <w:rFonts w:ascii="Times New Roman" w:hAnsi="Times New Roman"/>
        </w:rPr>
        <w:t xml:space="preserve"> </w:t>
      </w:r>
      <w:r>
        <w:rPr>
          <w:rFonts w:ascii="Times New Roman" w:hAnsi="Times New Roman"/>
          <w:b/>
          <w:bCs/>
        </w:rPr>
        <w:t xml:space="preserve">Cameroon Oil Transportation Company (COTCO)</w:t>
      </w:r>
      <w:r>
        <w:rPr>
          <w:rFonts w:ascii="Times New Roman" w:hAnsi="Times New Roman"/>
        </w:rPr>
        <w:t xml:space="preserve"> </w:t>
      </w:r>
      <w:r>
        <w:rPr>
          <w:rFonts w:ascii="Times New Roman" w:hAnsi="Times New Roman"/>
        </w:rPr>
        <w:t xml:space="preserve">pour l’accueil, le partage d’expérience terrain et les données techniques qui ont nourri la dimension applicative de ce travail.</w:t>
      </w:r>
    </w:p>
    <w:p>
      <w:pPr>
        <w:pStyle w:val="BodyText"/>
      </w:pPr>
      <w:r>
        <w:rPr>
          <w:rFonts w:ascii="Times New Roman" w:hAnsi="Times New Roman"/>
        </w:rPr>
        <w:t xml:space="preserve">Je suis reconnaissant envers l’ensemble du</w:t>
      </w:r>
      <w:r>
        <w:rPr>
          <w:rFonts w:ascii="Times New Roman" w:hAnsi="Times New Roman"/>
        </w:rPr>
        <w:t xml:space="preserve"> </w:t>
      </w:r>
      <w:r>
        <w:rPr>
          <w:rFonts w:ascii="Times New Roman" w:hAnsi="Times New Roman"/>
          <w:b/>
          <w:bCs/>
        </w:rPr>
        <w:t xml:space="preserve">corps enseignant du Master 2 Maintenance Industrielle</w:t>
      </w:r>
      <w:r>
        <w:rPr>
          <w:rFonts w:ascii="Times New Roman" w:hAnsi="Times New Roman"/>
        </w:rPr>
        <w:t xml:space="preserve"> </w:t>
      </w:r>
      <w:r>
        <w:rPr>
          <w:rFonts w:ascii="Times New Roman" w:hAnsi="Times New Roman"/>
        </w:rPr>
        <w:t xml:space="preserve">pour la qualité de l’enseignement théorique et pratique qui m’a fourni les outils nécessaires à la réalisation de cette étude.</w:t>
      </w:r>
    </w:p>
    <w:p>
      <w:pPr>
        <w:pStyle w:val="BodyText"/>
      </w:pPr>
      <w:r>
        <w:rPr>
          <w:rFonts w:ascii="Times New Roman" w:hAnsi="Times New Roman"/>
        </w:rPr>
        <w:t xml:space="preserve">Enfin, j’adresse mes remerciements à mes camarades de promotion pour les échanges intellectuels stimulants et à toute ma famille pour son soutien moral indéfectible.</w:t>
      </w:r>
    </w:p>
    <w:bookmarkEnd w:id="11"/>
    <w:bookmarkStart w:id="12" w:name="liste-des-abréviations"/>
    <w:p>
      <w:pPr>
        <w:pStyle w:val="Heading1"/>
      </w:pPr>
      <w:r>
        <w:rPr>
          <w:rFonts w:ascii="Times New Roman" w:hAnsi="Times New Roman"/>
        </w:rPr>
        <w:t xml:space="preserve">LISTE DES ABRÉVIATIONS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p>
            <w:pPr>
              <w:pStyle w:val="Compact"/>
              <w:jc w:val="left"/>
            </w:pPr>
            <w:r>
              <w:rPr>
                <w:rFonts w:ascii="Times New Roman" w:hAnsi="Times New Roman"/>
                <w:b/>
                <w:sz w:val="20"/>
              </w:rPr>
              <w:t xml:space="preserve">Abréviation</w:t>
            </w:r>
          </w:p>
        </w:tc>
        <w:tc>
          <w:tcPr/>
          <w:p>
            <w:pPr>
              <w:pStyle w:val="Compact"/>
              <w:jc w:val="left"/>
            </w:pPr>
            <w:r>
              <w:rPr>
                <w:rFonts w:ascii="Times New Roman" w:hAnsi="Times New Roman"/>
                <w:b/>
                <w:sz w:val="20"/>
              </w:rPr>
              <w:t xml:space="preserve">Signification</w:t>
            </w:r>
          </w:p>
        </w:tc>
      </w:tr>
      <w:tr>
        <w:tc>
          <w:tcPr/>
          <w:p>
            <w:pPr>
              <w:pStyle w:val="Compact"/>
              <w:jc w:val="left"/>
            </w:pPr>
            <w:r>
              <w:rPr>
                <w:rFonts w:ascii="Times New Roman" w:hAnsi="Times New Roman"/>
                <w:sz w:val="20"/>
              </w:rPr>
              <w:t xml:space="preserve">AC PROTECT 106</w:t>
            </w:r>
          </w:p>
        </w:tc>
        <w:tc>
          <w:tcPr/>
          <w:p>
            <w:pPr>
              <w:pStyle w:val="Compact"/>
              <w:jc w:val="left"/>
            </w:pPr>
            <w:r>
              <w:rPr>
                <w:rFonts w:ascii="Times New Roman" w:hAnsi="Times New Roman"/>
                <w:sz w:val="20"/>
              </w:rPr>
              <w:t xml:space="preserve">Inhibiteur de corrosion industriel à base d’imidazoline (produit commercial)</w:t>
            </w:r>
          </w:p>
        </w:tc>
      </w:tr>
      <w:tr>
        <w:tc>
          <w:tcPr/>
          <w:p>
            <w:pPr>
              <w:pStyle w:val="Compact"/>
              <w:jc w:val="left"/>
            </w:pPr>
            <w:r>
              <w:rPr>
                <w:rFonts w:ascii="Times New Roman" w:hAnsi="Times New Roman"/>
                <w:sz w:val="20"/>
              </w:rPr>
              <w:t xml:space="preserve">ADC</w:t>
            </w:r>
          </w:p>
        </w:tc>
        <w:tc>
          <w:tcPr/>
          <w:p>
            <w:pPr>
              <w:pStyle w:val="Compact"/>
              <w:jc w:val="left"/>
            </w:pPr>
            <w:r>
              <w:rPr>
                <w:rFonts w:ascii="Times New Roman" w:hAnsi="Times New Roman"/>
                <w:sz w:val="20"/>
              </w:rPr>
              <w:t xml:space="preserve">Analog-to-Digital Converter (Convertisseur Analogique-Numérique)</w:t>
            </w:r>
          </w:p>
        </w:tc>
      </w:tr>
      <w:tr>
        <w:tc>
          <w:tcPr/>
          <w:p>
            <w:pPr>
              <w:pStyle w:val="Compact"/>
              <w:jc w:val="left"/>
            </w:pPr>
            <w:r>
              <w:rPr>
                <w:rFonts w:ascii="Times New Roman" w:hAnsi="Times New Roman"/>
                <w:sz w:val="20"/>
              </w:rPr>
              <w:t xml:space="preserve">AMPP</w:t>
            </w:r>
          </w:p>
        </w:tc>
        <w:tc>
          <w:tcPr/>
          <w:p>
            <w:pPr>
              <w:pStyle w:val="Compact"/>
              <w:jc w:val="left"/>
            </w:pPr>
            <w:r>
              <w:rPr>
                <w:rFonts w:ascii="Times New Roman" w:hAnsi="Times New Roman"/>
                <w:sz w:val="20"/>
              </w:rPr>
              <w:t xml:space="preserve">Association for Materials Protection and Performance (ex-NACE International)</w:t>
            </w:r>
          </w:p>
        </w:tc>
      </w:tr>
      <w:tr>
        <w:tc>
          <w:tcPr/>
          <w:p>
            <w:pPr>
              <w:pStyle w:val="Compact"/>
              <w:jc w:val="left"/>
            </w:pPr>
            <w:r>
              <w:rPr>
                <w:rFonts w:ascii="Times New Roman" w:hAnsi="Times New Roman"/>
                <w:sz w:val="20"/>
              </w:rPr>
              <w:t xml:space="preserve">API</w:t>
            </w:r>
          </w:p>
        </w:tc>
        <w:tc>
          <w:tcPr/>
          <w:p>
            <w:pPr>
              <w:pStyle w:val="Compact"/>
              <w:jc w:val="left"/>
            </w:pPr>
            <w:r>
              <w:rPr>
                <w:rFonts w:ascii="Times New Roman" w:hAnsi="Times New Roman"/>
                <w:sz w:val="20"/>
              </w:rPr>
              <w:t xml:space="preserve">American Petroleum Institute</w:t>
            </w:r>
          </w:p>
        </w:tc>
      </w:tr>
      <w:tr>
        <w:tc>
          <w:tcPr/>
          <w:p>
            <w:pPr>
              <w:pStyle w:val="Compact"/>
              <w:jc w:val="left"/>
            </w:pPr>
            <w:r>
              <w:rPr>
                <w:rFonts w:ascii="Times New Roman" w:hAnsi="Times New Roman"/>
                <w:sz w:val="20"/>
              </w:rPr>
              <w:t xml:space="preserve">ASTM</w:t>
            </w:r>
          </w:p>
        </w:tc>
        <w:tc>
          <w:tcPr/>
          <w:p>
            <w:pPr>
              <w:pStyle w:val="Compact"/>
              <w:jc w:val="left"/>
            </w:pPr>
            <w:r>
              <w:rPr>
                <w:rFonts w:ascii="Times New Roman" w:hAnsi="Times New Roman"/>
                <w:sz w:val="20"/>
              </w:rPr>
              <w:t xml:space="preserve">American Society for Testing and Materials</w:t>
            </w:r>
          </w:p>
        </w:tc>
      </w:tr>
      <w:tr>
        <w:tc>
          <w:tcPr/>
          <w:p>
            <w:pPr>
              <w:pStyle w:val="Compact"/>
              <w:jc w:val="left"/>
            </w:pPr>
            <w:r>
              <w:rPr>
                <w:rFonts w:ascii="Times New Roman" w:hAnsi="Times New Roman"/>
                <w:sz w:val="20"/>
              </w:rPr>
              <w:t xml:space="preserve">CR</w:t>
            </w:r>
          </w:p>
        </w:tc>
        <w:tc>
          <w:tcPr/>
          <w:p>
            <w:pPr>
              <w:pStyle w:val="Compact"/>
              <w:jc w:val="left"/>
            </w:pPr>
            <w:r>
              <w:rPr>
                <w:rFonts w:ascii="Times New Roman" w:hAnsi="Times New Roman"/>
                <w:sz w:val="20"/>
              </w:rPr>
              <w:t xml:space="preserve">Corrosion Rate (Taux de corrosion, en mm/an)</w:t>
            </w:r>
          </w:p>
        </w:tc>
      </w:tr>
      <w:tr>
        <w:tc>
          <w:tcPr/>
          <w:p>
            <w:pPr>
              <w:pStyle w:val="Compact"/>
              <w:jc w:val="left"/>
            </w:pPr>
            <w:r>
              <w:rPr>
                <w:rFonts w:ascii="Times New Roman" w:hAnsi="Times New Roman"/>
                <w:sz w:val="20"/>
              </w:rPr>
              <w:t xml:space="preserve">CSV</w:t>
            </w:r>
          </w:p>
        </w:tc>
        <w:tc>
          <w:tcPr/>
          <w:p>
            <w:pPr>
              <w:pStyle w:val="Compact"/>
              <w:jc w:val="left"/>
            </w:pPr>
            <w:r>
              <w:rPr>
                <w:rFonts w:ascii="Times New Roman" w:hAnsi="Times New Roman"/>
                <w:sz w:val="20"/>
              </w:rPr>
              <w:t xml:space="preserve">Comma-Separated Values (format de fichier de données)</w:t>
            </w:r>
          </w:p>
        </w:tc>
      </w:tr>
      <w:tr>
        <w:tc>
          <w:tcPr/>
          <w:p>
            <w:pPr>
              <w:pStyle w:val="Compact"/>
              <w:jc w:val="left"/>
            </w:pPr>
            <w:r>
              <w:rPr>
                <w:rFonts w:ascii="Times New Roman" w:hAnsi="Times New Roman"/>
                <w:sz w:val="20"/>
              </w:rPr>
              <w:t xml:space="preserve">CWT</w:t>
            </w:r>
          </w:p>
        </w:tc>
        <w:tc>
          <w:tcPr/>
          <w:p>
            <w:pPr>
              <w:pStyle w:val="Compact"/>
              <w:jc w:val="left"/>
            </w:pPr>
            <w:r>
              <w:rPr>
                <w:rFonts w:ascii="Times New Roman" w:hAnsi="Times New Roman"/>
                <w:sz w:val="20"/>
              </w:rPr>
              <w:t xml:space="preserve">Continuous Wavelet Transform</w:t>
            </w:r>
          </w:p>
        </w:tc>
      </w:tr>
      <w:tr>
        <w:tc>
          <w:tcPr/>
          <w:p>
            <w:pPr>
              <w:pStyle w:val="Compact"/>
              <w:jc w:val="left"/>
            </w:pPr>
            <w:r>
              <w:rPr>
                <w:rFonts w:ascii="Times New Roman" w:hAnsi="Times New Roman"/>
                <w:sz w:val="20"/>
              </w:rPr>
              <w:t xml:space="preserve">DS18B20</w:t>
            </w:r>
          </w:p>
        </w:tc>
        <w:tc>
          <w:tcPr/>
          <w:p>
            <w:pPr>
              <w:pStyle w:val="Compact"/>
              <w:jc w:val="left"/>
            </w:pPr>
            <w:r>
              <w:rPr>
                <w:rFonts w:ascii="Times New Roman" w:hAnsi="Times New Roman"/>
                <w:sz w:val="20"/>
              </w:rPr>
              <w:t xml:space="preserve">Capteur de température numérique à bus 1-Wire (Dallas Semiconductor)</w:t>
            </w:r>
          </w:p>
        </w:tc>
      </w:tr>
      <w:tr>
        <w:tc>
          <w:tcPr/>
          <w:p>
            <w:pPr>
              <w:pStyle w:val="Compact"/>
              <w:jc w:val="left"/>
            </w:pPr>
            <w:r>
              <w:rPr>
                <w:rFonts w:ascii="Times New Roman" w:hAnsi="Times New Roman"/>
                <w:sz w:val="20"/>
              </w:rPr>
              <w:t xml:space="preserve">ER</w:t>
            </w:r>
          </w:p>
        </w:tc>
        <w:tc>
          <w:tcPr/>
          <w:p>
            <w:pPr>
              <w:pStyle w:val="Compact"/>
              <w:jc w:val="left"/>
            </w:pPr>
            <w:r>
              <w:rPr>
                <w:rFonts w:ascii="Times New Roman" w:hAnsi="Times New Roman"/>
                <w:sz w:val="20"/>
              </w:rPr>
              <w:t xml:space="preserve">Electrical Resistance (Résistance Électrique — type de sonde de corrosion)</w:t>
            </w:r>
          </w:p>
        </w:tc>
      </w:tr>
      <w:tr>
        <w:tc>
          <w:tcPr/>
          <w:p>
            <w:pPr>
              <w:pStyle w:val="Compact"/>
              <w:jc w:val="left"/>
            </w:pPr>
            <w:r>
              <w:rPr>
                <w:rFonts w:ascii="Times New Roman" w:hAnsi="Times New Roman"/>
                <w:sz w:val="20"/>
              </w:rPr>
              <w:t xml:space="preserve">ENSPD</w:t>
            </w:r>
          </w:p>
        </w:tc>
        <w:tc>
          <w:tcPr/>
          <w:p>
            <w:pPr>
              <w:pStyle w:val="Compact"/>
              <w:jc w:val="left"/>
            </w:pPr>
            <w:r>
              <w:rPr>
                <w:rFonts w:ascii="Times New Roman" w:hAnsi="Times New Roman"/>
                <w:sz w:val="20"/>
              </w:rPr>
              <w:t xml:space="preserve">École Nationale Supérieure Polytechnique de Douala</w:t>
            </w:r>
          </w:p>
        </w:tc>
      </w:tr>
      <w:tr>
        <w:tc>
          <w:tcPr/>
          <w:p>
            <w:pPr>
              <w:pStyle w:val="Compact"/>
              <w:jc w:val="left"/>
            </w:pPr>
            <w:r>
              <w:rPr>
                <w:rFonts w:ascii="Times New Roman" w:hAnsi="Times New Roman"/>
                <w:sz w:val="20"/>
              </w:rPr>
              <w:t xml:space="preserve">ESP32</w:t>
            </w:r>
          </w:p>
        </w:tc>
        <w:tc>
          <w:tcPr/>
          <w:p>
            <w:pPr>
              <w:pStyle w:val="Compact"/>
              <w:jc w:val="left"/>
            </w:pPr>
            <w:r>
              <w:rPr>
                <w:rFonts w:ascii="Times New Roman" w:hAnsi="Times New Roman"/>
                <w:sz w:val="20"/>
              </w:rPr>
              <w:t xml:space="preserve">Microcontrôleur bi-cœur Wi-Fi + Bluetooth (Espressif Systems)</w:t>
            </w:r>
          </w:p>
        </w:tc>
      </w:tr>
      <w:tr>
        <w:tc>
          <w:tcPr/>
          <w:p>
            <w:pPr>
              <w:pStyle w:val="Compact"/>
              <w:jc w:val="left"/>
            </w:pPr>
            <w:r>
              <w:rPr>
                <w:rFonts w:ascii="Times New Roman" w:hAnsi="Times New Roman"/>
                <w:sz w:val="20"/>
              </w:rPr>
              <w:t xml:space="preserve">GPIO</w:t>
            </w:r>
          </w:p>
        </w:tc>
        <w:tc>
          <w:tcPr/>
          <w:p>
            <w:pPr>
              <w:pStyle w:val="Compact"/>
              <w:jc w:val="left"/>
            </w:pPr>
            <w:r>
              <w:rPr>
                <w:rFonts w:ascii="Times New Roman" w:hAnsi="Times New Roman"/>
                <w:sz w:val="20"/>
              </w:rPr>
              <w:t xml:space="preserve">General-Purpose Input/Output</w:t>
            </w:r>
          </w:p>
        </w:tc>
      </w:tr>
      <w:tr>
        <w:tc>
          <w:tcPr/>
          <w:p>
            <w:pPr>
              <w:pStyle w:val="Compact"/>
              <w:jc w:val="left"/>
            </w:pPr>
            <w:r>
              <w:rPr>
                <w:rFonts w:ascii="Times New Roman" w:hAnsi="Times New Roman"/>
                <w:sz w:val="20"/>
              </w:rPr>
              <w:t xml:space="preserve">HX711</w:t>
            </w:r>
          </w:p>
        </w:tc>
        <w:tc>
          <w:tcPr/>
          <w:p>
            <w:pPr>
              <w:pStyle w:val="Compact"/>
              <w:jc w:val="left"/>
            </w:pPr>
            <w:r>
              <w:rPr>
                <w:rFonts w:ascii="Times New Roman" w:hAnsi="Times New Roman"/>
                <w:sz w:val="20"/>
              </w:rPr>
              <w:t xml:space="preserve">Amplificateur et convertisseur ADC 24 bits pour ponts de Wheatstone</w:t>
            </w:r>
          </w:p>
        </w:tc>
      </w:tr>
      <w:tr>
        <w:tc>
          <w:tcPr/>
          <w:p>
            <w:pPr>
              <w:pStyle w:val="Compact"/>
              <w:jc w:val="left"/>
            </w:pPr>
            <w:r>
              <w:rPr>
                <w:rFonts w:ascii="Times New Roman" w:hAnsi="Times New Roman"/>
                <w:sz w:val="20"/>
              </w:rPr>
              <w:t xml:space="preserve">IQR</w:t>
            </w:r>
          </w:p>
        </w:tc>
        <w:tc>
          <w:tcPr/>
          <w:p>
            <w:pPr>
              <w:pStyle w:val="Compact"/>
              <w:jc w:val="left"/>
            </w:pPr>
            <w:r>
              <w:rPr>
                <w:rFonts w:ascii="Times New Roman" w:hAnsi="Times New Roman"/>
                <w:sz w:val="20"/>
              </w:rPr>
              <w:t xml:space="preserve">Interquartile Range (intervalle interquartile)</w:t>
            </w:r>
          </w:p>
        </w:tc>
      </w:tr>
      <w:tr>
        <w:tc>
          <w:tcPr/>
          <w:p>
            <w:pPr>
              <w:pStyle w:val="Compact"/>
              <w:jc w:val="left"/>
            </w:pPr>
            <w:r>
              <w:rPr>
                <w:rFonts w:ascii="Times New Roman" w:hAnsi="Times New Roman"/>
                <w:sz w:val="20"/>
              </w:rPr>
              <w:t xml:space="preserve">ISO</w:t>
            </w:r>
          </w:p>
        </w:tc>
        <w:tc>
          <w:tcPr/>
          <w:p>
            <w:pPr>
              <w:pStyle w:val="Compact"/>
              <w:jc w:val="left"/>
            </w:pPr>
            <w:r>
              <w:rPr>
                <w:rFonts w:ascii="Times New Roman" w:hAnsi="Times New Roman"/>
                <w:sz w:val="20"/>
              </w:rPr>
              <w:t xml:space="preserve">International Organization for Standardization</w:t>
            </w:r>
          </w:p>
        </w:tc>
      </w:tr>
      <w:tr>
        <w:tc>
          <w:tcPr/>
          <w:p>
            <w:pPr>
              <w:pStyle w:val="Compact"/>
              <w:jc w:val="left"/>
            </w:pPr>
            <w:r>
              <w:rPr>
                <w:rFonts w:ascii="Times New Roman" w:hAnsi="Times New Roman"/>
                <w:sz w:val="20"/>
              </w:rPr>
              <w:t xml:space="preserve">IoT</w:t>
            </w:r>
          </w:p>
        </w:tc>
        <w:tc>
          <w:tcPr/>
          <w:p>
            <w:pPr>
              <w:pStyle w:val="Compact"/>
              <w:jc w:val="left"/>
            </w:pPr>
            <w:r>
              <w:rPr>
                <w:rFonts w:ascii="Times New Roman" w:hAnsi="Times New Roman"/>
                <w:sz w:val="20"/>
              </w:rPr>
              <w:t xml:space="preserve">Internet of Things (Internet des Objets)</w:t>
            </w:r>
          </w:p>
        </w:tc>
      </w:tr>
      <w:tr>
        <w:tc>
          <w:tcPr/>
          <w:p>
            <w:pPr>
              <w:pStyle w:val="Compact"/>
              <w:jc w:val="left"/>
            </w:pPr>
            <w:r>
              <w:rPr>
                <w:rFonts w:ascii="Times New Roman" w:hAnsi="Times New Roman"/>
                <w:sz w:val="20"/>
              </w:rPr>
              <w:t xml:space="preserve">LPR</w:t>
            </w:r>
          </w:p>
        </w:tc>
        <w:tc>
          <w:tcPr/>
          <w:p>
            <w:pPr>
              <w:pStyle w:val="Compact"/>
              <w:jc w:val="left"/>
            </w:pPr>
            <w:r>
              <w:rPr>
                <w:rFonts w:ascii="Times New Roman" w:hAnsi="Times New Roman"/>
                <w:sz w:val="20"/>
              </w:rPr>
              <w:t xml:space="preserve">Linear Polarization Resistance (méthode de mesure électrochimique)</w:t>
            </w:r>
          </w:p>
        </w:tc>
      </w:tr>
      <w:tr>
        <w:tc>
          <w:tcPr/>
          <w:p>
            <w:pPr>
              <w:pStyle w:val="Compact"/>
              <w:jc w:val="left"/>
            </w:pPr>
            <w:r>
              <w:rPr>
                <w:rFonts w:ascii="Times New Roman" w:hAnsi="Times New Roman"/>
                <w:sz w:val="20"/>
              </w:rPr>
              <w:t xml:space="preserve">MAE</w:t>
            </w:r>
          </w:p>
        </w:tc>
        <w:tc>
          <w:tcPr/>
          <w:p>
            <w:pPr>
              <w:pStyle w:val="Compact"/>
              <w:jc w:val="left"/>
            </w:pPr>
            <w:r>
              <w:rPr>
                <w:rFonts w:ascii="Times New Roman" w:hAnsi="Times New Roman"/>
                <w:sz w:val="20"/>
              </w:rPr>
              <w:t xml:space="preserve">Mean Absolute Error (erreur absolue moyenne)</w:t>
            </w:r>
          </w:p>
        </w:tc>
      </w:tr>
      <w:tr>
        <w:tc>
          <w:tcPr/>
          <w:p>
            <w:pPr>
              <w:pStyle w:val="Compact"/>
              <w:jc w:val="left"/>
            </w:pPr>
            <w:r>
              <w:rPr>
                <w:rFonts w:ascii="Times New Roman" w:hAnsi="Times New Roman"/>
                <w:sz w:val="20"/>
              </w:rPr>
              <w:t xml:space="preserve">ML</w:t>
            </w:r>
          </w:p>
        </w:tc>
        <w:tc>
          <w:tcPr/>
          <w:p>
            <w:pPr>
              <w:pStyle w:val="Compact"/>
              <w:jc w:val="left"/>
            </w:pPr>
            <w:r>
              <w:rPr>
                <w:rFonts w:ascii="Times New Roman" w:hAnsi="Times New Roman"/>
                <w:sz w:val="20"/>
              </w:rPr>
              <w:t xml:space="preserve">Machine Learning (apprentissage automatique)</w:t>
            </w:r>
          </w:p>
        </w:tc>
      </w:tr>
      <w:tr>
        <w:tc>
          <w:tcPr/>
          <w:p>
            <w:pPr>
              <w:pStyle w:val="Compact"/>
              <w:jc w:val="left"/>
            </w:pPr>
            <w:r>
              <w:rPr>
                <w:rFonts w:ascii="Times New Roman" w:hAnsi="Times New Roman"/>
                <w:sz w:val="20"/>
              </w:rPr>
              <w:t xml:space="preserve">NACE</w:t>
            </w:r>
          </w:p>
        </w:tc>
        <w:tc>
          <w:tcPr/>
          <w:p>
            <w:pPr>
              <w:pStyle w:val="Compact"/>
              <w:jc w:val="left"/>
            </w:pPr>
            <w:r>
              <w:rPr>
                <w:rFonts w:ascii="Times New Roman" w:hAnsi="Times New Roman"/>
                <w:sz w:val="20"/>
              </w:rPr>
              <w:t xml:space="preserve">National Association of Corrosion Engineers</w:t>
            </w:r>
          </w:p>
        </w:tc>
      </w:tr>
      <w:tr>
        <w:tc>
          <w:tcPr/>
          <w:p>
            <w:pPr>
              <w:pStyle w:val="Compact"/>
              <w:jc w:val="left"/>
            </w:pPr>
            <w:r>
              <w:rPr>
                <w:rFonts w:ascii="Times New Roman" w:hAnsi="Times New Roman"/>
                <w:sz w:val="20"/>
              </w:rPr>
              <w:t xml:space="preserve">NDT</w:t>
            </w:r>
          </w:p>
        </w:tc>
        <w:tc>
          <w:tcPr/>
          <w:p>
            <w:pPr>
              <w:pStyle w:val="Compact"/>
              <w:jc w:val="left"/>
            </w:pPr>
            <w:r>
              <w:rPr>
                <w:rFonts w:ascii="Times New Roman" w:hAnsi="Times New Roman"/>
                <w:sz w:val="20"/>
              </w:rPr>
              <w:t xml:space="preserve">Non-Destructive Testing (Contrôle Non Destructif — CND)</w:t>
            </w:r>
          </w:p>
        </w:tc>
      </w:tr>
      <w:tr>
        <w:tc>
          <w:tcPr/>
          <w:p>
            <w:pPr>
              <w:pStyle w:val="Compact"/>
              <w:jc w:val="left"/>
            </w:pPr>
            <w:r>
              <w:rPr>
                <w:rFonts w:ascii="Times New Roman" w:hAnsi="Times New Roman"/>
                <w:sz w:val="20"/>
              </w:rPr>
              <w:t xml:space="preserve">OS</w:t>
            </w:r>
          </w:p>
        </w:tc>
        <w:tc>
          <w:tcPr/>
          <w:p>
            <w:pPr>
              <w:pStyle w:val="Compact"/>
              <w:jc w:val="left"/>
            </w:pPr>
            <w:r>
              <w:rPr>
                <w:rFonts w:ascii="Times New Roman" w:hAnsi="Times New Roman"/>
                <w:sz w:val="20"/>
              </w:rPr>
              <w:t xml:space="preserve">Objectif Spécifique</w:t>
            </w:r>
          </w:p>
        </w:tc>
      </w:tr>
      <w:tr>
        <w:tc>
          <w:tcPr/>
          <w:p>
            <w:pPr>
              <w:pStyle w:val="Compact"/>
              <w:jc w:val="left"/>
            </w:pPr>
            <w:r>
              <w:rPr>
                <w:rFonts w:ascii="Times New Roman" w:hAnsi="Times New Roman"/>
                <w:sz w:val="20"/>
              </w:rPr>
              <w:t xml:space="preserve">PHMSA</w:t>
            </w:r>
          </w:p>
        </w:tc>
        <w:tc>
          <w:tcPr/>
          <w:p>
            <w:pPr>
              <w:pStyle w:val="Compact"/>
              <w:jc w:val="left"/>
            </w:pPr>
            <w:r>
              <w:rPr>
                <w:rFonts w:ascii="Times New Roman" w:hAnsi="Times New Roman"/>
                <w:sz w:val="20"/>
              </w:rPr>
              <w:t xml:space="preserve">Pipeline and Hazardous Materials Safety Administration (USA)</w:t>
            </w:r>
          </w:p>
        </w:tc>
      </w:tr>
      <w:tr>
        <w:tc>
          <w:tcPr/>
          <w:p>
            <w:pPr>
              <w:pStyle w:val="Compact"/>
              <w:jc w:val="left"/>
            </w:pPr>
            <w:r>
              <w:rPr>
                <w:rFonts w:ascii="Times New Roman" w:hAnsi="Times New Roman"/>
                <w:sz w:val="20"/>
              </w:rPr>
              <w:t xml:space="preserve">RMS</w:t>
            </w:r>
          </w:p>
        </w:tc>
        <w:tc>
          <w:tcPr/>
          <w:p>
            <w:pPr>
              <w:pStyle w:val="Compact"/>
              <w:jc w:val="left"/>
            </w:pPr>
            <w:r>
              <w:rPr>
                <w:rFonts w:ascii="Times New Roman" w:hAnsi="Times New Roman"/>
                <w:sz w:val="20"/>
              </w:rPr>
              <w:t xml:space="preserve">Root Mean Square</w:t>
            </w:r>
          </w:p>
        </w:tc>
      </w:tr>
      <w:tr>
        <w:tc>
          <w:tcPr/>
          <w:p>
            <w:pPr>
              <w:pStyle w:val="Compact"/>
              <w:jc w:val="left"/>
            </w:pPr>
            <w:r>
              <w:rPr>
                <w:rFonts w:ascii="Times New Roman" w:hAnsi="Times New Roman"/>
                <w:sz w:val="20"/>
              </w:rPr>
              <w:t xml:space="preserve">RMSE</w:t>
            </w:r>
          </w:p>
        </w:tc>
        <w:tc>
          <w:tcPr/>
          <w:p>
            <w:pPr>
              <w:pStyle w:val="Compact"/>
              <w:jc w:val="left"/>
            </w:pPr>
            <w:r>
              <w:rPr>
                <w:rFonts w:ascii="Times New Roman" w:hAnsi="Times New Roman"/>
                <w:sz w:val="20"/>
              </w:rPr>
              <w:t xml:space="preserve">Root Mean Square Error</w:t>
            </w:r>
          </w:p>
        </w:tc>
      </w:tr>
      <w:tr>
        <w:tc>
          <w:tcPr/>
          <w:p>
            <w:pPr>
              <w:pStyle w:val="Compact"/>
              <w:jc w:val="left"/>
            </w:pPr>
            <w:r>
              <w:rPr>
                <w:rFonts w:ascii="Times New Roman" w:hAnsi="Times New Roman"/>
                <w:sz w:val="20"/>
              </w:rPr>
              <w:t xml:space="preserve">RTC</w:t>
            </w:r>
          </w:p>
        </w:tc>
        <w:tc>
          <w:tcPr/>
          <w:p>
            <w:pPr>
              <w:pStyle w:val="Compact"/>
              <w:jc w:val="left"/>
            </w:pPr>
            <w:r>
              <w:rPr>
                <w:rFonts w:ascii="Times New Roman" w:hAnsi="Times New Roman"/>
                <w:sz w:val="20"/>
              </w:rPr>
              <w:t xml:space="preserve">Real-Time Clock</w:t>
            </w:r>
          </w:p>
        </w:tc>
      </w:tr>
      <w:tr>
        <w:tc>
          <w:tcPr/>
          <w:p>
            <w:pPr>
              <w:pStyle w:val="Compact"/>
              <w:jc w:val="left"/>
            </w:pPr>
            <w:r>
              <w:rPr>
                <w:rFonts w:ascii="Times New Roman" w:hAnsi="Times New Roman"/>
                <w:sz w:val="20"/>
              </w:rPr>
              <w:t xml:space="preserve">RUL</w:t>
            </w:r>
          </w:p>
        </w:tc>
        <w:tc>
          <w:tcPr/>
          <w:p>
            <w:pPr>
              <w:pStyle w:val="Compact"/>
              <w:jc w:val="left"/>
            </w:pPr>
            <w:r>
              <w:rPr>
                <w:rFonts w:ascii="Times New Roman" w:hAnsi="Times New Roman"/>
                <w:sz w:val="20"/>
              </w:rPr>
              <w:t xml:space="preserve">Remaining Useful Life (Durée de Vie Résiduelle)</w:t>
            </w:r>
          </w:p>
        </w:tc>
      </w:tr>
      <w:tr>
        <w:tc>
          <w:tcPr/>
          <w:p>
            <w:pPr>
              <w:pStyle w:val="Compact"/>
              <w:jc w:val="left"/>
            </w:pPr>
            <w:r>
              <w:rPr>
                <w:rFonts w:ascii="Times New Roman" w:hAnsi="Times New Roman"/>
                <w:sz w:val="20"/>
              </w:rPr>
              <w:t xml:space="preserve">SHAP</w:t>
            </w:r>
          </w:p>
        </w:tc>
        <w:tc>
          <w:tcPr/>
          <w:p>
            <w:pPr>
              <w:pStyle w:val="Compact"/>
              <w:jc w:val="left"/>
            </w:pPr>
            <w:r>
              <w:rPr>
                <w:rFonts w:ascii="Times New Roman" w:hAnsi="Times New Roman"/>
                <w:sz w:val="20"/>
              </w:rPr>
              <w:t xml:space="preserve">SHapley Additive exPlanations (méthode d’interprétabilité ML)</w:t>
            </w:r>
          </w:p>
        </w:tc>
      </w:tr>
      <w:tr>
        <w:tc>
          <w:tcPr/>
          <w:p>
            <w:pPr>
              <w:pStyle w:val="Compact"/>
              <w:jc w:val="left"/>
            </w:pPr>
            <w:r>
              <w:rPr>
                <w:rFonts w:ascii="Times New Roman" w:hAnsi="Times New Roman"/>
                <w:sz w:val="20"/>
              </w:rPr>
              <w:t xml:space="preserve">SRB</w:t>
            </w:r>
          </w:p>
        </w:tc>
        <w:tc>
          <w:tcPr/>
          <w:p>
            <w:pPr>
              <w:pStyle w:val="Compact"/>
              <w:jc w:val="left"/>
            </w:pPr>
            <w:r>
              <w:rPr>
                <w:rFonts w:ascii="Times New Roman" w:hAnsi="Times New Roman"/>
                <w:sz w:val="20"/>
              </w:rPr>
              <w:t xml:space="preserve">Sulfate-Reducing Bacteria (bactéries sulfato-réductrices)</w:t>
            </w:r>
          </w:p>
        </w:tc>
      </w:tr>
      <w:tr>
        <w:tc>
          <w:tcPr/>
          <w:p>
            <w:pPr>
              <w:pStyle w:val="Compact"/>
              <w:jc w:val="left"/>
            </w:pPr>
            <w:r>
              <w:rPr>
                <w:rFonts w:ascii="Times New Roman" w:hAnsi="Times New Roman"/>
                <w:sz w:val="20"/>
              </w:rPr>
              <w:t xml:space="preserve">XGBoost</w:t>
            </w:r>
          </w:p>
        </w:tc>
        <w:tc>
          <w:tcPr/>
          <w:p>
            <w:pPr>
              <w:pStyle w:val="Compact"/>
              <w:jc w:val="left"/>
            </w:pPr>
            <w:r>
              <w:rPr>
                <w:rFonts w:ascii="Times New Roman" w:hAnsi="Times New Roman"/>
                <w:sz w:val="20"/>
              </w:rPr>
              <w:t xml:space="preserve">eXtreme Gradient Boosting (algorithme de ML par arbres de décision)</w:t>
            </w:r>
          </w:p>
        </w:tc>
      </w:tr>
    </w:tbl>
    <w:bookmarkEnd w:id="12"/>
    <w:bookmarkStart w:id="13" w:name="résumé"/>
    <w:p>
      <w:pPr>
        <w:pStyle w:val="Heading1"/>
      </w:pPr>
      <w:r>
        <w:rPr>
          <w:rFonts w:ascii="Times New Roman" w:hAnsi="Times New Roman"/>
        </w:rPr>
        <w:t xml:space="preserve">RÉSUMÉ</w:t>
      </w:r>
    </w:p>
    <w:p>
      <w:pPr>
        <w:pStyle w:val="FirstParagraph"/>
      </w:pPr>
      <w:r>
        <w:rPr>
          <w:rFonts w:ascii="Times New Roman" w:hAnsi="Times New Roman"/>
        </w:rPr>
        <w:t xml:space="preserve">La corrosion représente un coût annuel mondial de 2,5 billions de dollars (3,4 % du PIB mondial) et constitue la première cause de défaillance structurelle dans le secteur Oil &amp; Gas. En Afrique subsaharienne, et au Cameroun en particulier, la gestion de la corrosion dans les installations pétrolières — notamment le réseau de pipelines COTCO — repose encore largement sur des stratégies réactives ou sur des inspections périodiques à intervalles fixes, sans exploitation des données de surveillance continue.</w:t>
      </w:r>
    </w:p>
    <w:p>
      <w:pPr>
        <w:pStyle w:val="BodyText"/>
      </w:pPr>
      <w:r>
        <w:rPr>
          <w:rFonts w:ascii="Times New Roman" w:hAnsi="Times New Roman"/>
        </w:rPr>
        <w:t xml:space="preserve">Ce mémoire présente la conception, le développement et la validation expérimentale d’un</w:t>
      </w:r>
      <w:r>
        <w:rPr>
          <w:rFonts w:ascii="Times New Roman" w:hAnsi="Times New Roman"/>
        </w:rPr>
        <w:t xml:space="preserve"> </w:t>
      </w:r>
      <w:r>
        <w:rPr>
          <w:rFonts w:ascii="Times New Roman" w:hAnsi="Times New Roman"/>
          <w:b/>
          <w:bCs/>
        </w:rPr>
        <w:t xml:space="preserve">système intégré de maintenance prédictive de la corrosion</w:t>
      </w:r>
      <w:r>
        <w:rPr>
          <w:rFonts w:ascii="Times New Roman" w:hAnsi="Times New Roman"/>
        </w:rPr>
        <w:t xml:space="preserve"> </w:t>
      </w:r>
      <w:r>
        <w:rPr>
          <w:rFonts w:ascii="Times New Roman" w:hAnsi="Times New Roman"/>
        </w:rPr>
        <w:t xml:space="preserve">articulé autour de trois composants : (1) une</w:t>
      </w:r>
      <w:r>
        <w:rPr>
          <w:rFonts w:ascii="Times New Roman" w:hAnsi="Times New Roman"/>
        </w:rPr>
        <w:t xml:space="preserve"> </w:t>
      </w:r>
      <w:r>
        <w:rPr>
          <w:rFonts w:ascii="Times New Roman" w:hAnsi="Times New Roman"/>
          <w:b/>
          <w:bCs/>
        </w:rPr>
        <w:t xml:space="preserve">sonde ER (Electrical Resistance) low-cost</w:t>
      </w:r>
      <w:r>
        <w:rPr>
          <w:rFonts w:ascii="Times New Roman" w:hAnsi="Times New Roman"/>
        </w:rPr>
        <w:t xml:space="preserve"> </w:t>
      </w:r>
      <w:r>
        <w:rPr>
          <w:rFonts w:ascii="Times New Roman" w:hAnsi="Times New Roman"/>
        </w:rPr>
        <w:t xml:space="preserve">à base de fil de fer, montée en pont de Wheatstone et instrumentée par un amplificateur HX711 24 bits ; (2) un</w:t>
      </w:r>
      <w:r>
        <w:rPr>
          <w:rFonts w:ascii="Times New Roman" w:hAnsi="Times New Roman"/>
        </w:rPr>
        <w:t xml:space="preserve"> </w:t>
      </w:r>
      <w:r>
        <w:rPr>
          <w:rFonts w:ascii="Times New Roman" w:hAnsi="Times New Roman"/>
          <w:b/>
          <w:bCs/>
        </w:rPr>
        <w:t xml:space="preserve">système d’acquisition IoT</w:t>
      </w:r>
      <w:r>
        <w:rPr>
          <w:rFonts w:ascii="Times New Roman" w:hAnsi="Times New Roman"/>
        </w:rPr>
        <w:t xml:space="preserve"> </w:t>
      </w:r>
      <w:r>
        <w:rPr>
          <w:rFonts w:ascii="Times New Roman" w:hAnsi="Times New Roman"/>
        </w:rPr>
        <w:t xml:space="preserve">à microcontrôleur ESP32 en deep sleep pulsé, mesurant simultanément la résistance du fil et la température (DS18B20) toutes les dix minutes ; (3) un</w:t>
      </w:r>
      <w:r>
        <w:rPr>
          <w:rFonts w:ascii="Times New Roman" w:hAnsi="Times New Roman"/>
        </w:rPr>
        <w:t xml:space="preserve"> </w:t>
      </w:r>
      <w:r>
        <w:rPr>
          <w:rFonts w:ascii="Times New Roman" w:hAnsi="Times New Roman"/>
          <w:b/>
          <w:bCs/>
        </w:rPr>
        <w:t xml:space="preserve">modèle de machine learning XGBoost</w:t>
      </w:r>
      <w:r>
        <w:rPr>
          <w:rFonts w:ascii="Times New Roman" w:hAnsi="Times New Roman"/>
        </w:rPr>
        <w:t xml:space="preserve"> </w:t>
      </w:r>
      <w:r>
        <w:rPr>
          <w:rFonts w:ascii="Times New Roman" w:hAnsi="Times New Roman"/>
        </w:rPr>
        <w:t xml:space="preserve">entraîné en protocole run-to-failure pour prédire le taux de corrosion (CR, en mm/an) et la durée de vie résiduelle (RUL, en heures).</w:t>
      </w:r>
    </w:p>
    <w:p>
      <w:pPr>
        <w:pStyle w:val="BodyText"/>
      </w:pPr>
      <w:r>
        <w:rPr>
          <w:rFonts w:ascii="Times New Roman" w:hAnsi="Times New Roman"/>
        </w:rPr>
        <w:t xml:space="preserve">L’environnement corrosif est le</w:t>
      </w:r>
      <w:r>
        <w:rPr>
          <w:rFonts w:ascii="Times New Roman" w:hAnsi="Times New Roman"/>
        </w:rPr>
        <w:t xml:space="preserve"> </w:t>
      </w:r>
      <w:r>
        <w:rPr>
          <w:rFonts w:ascii="Times New Roman" w:hAnsi="Times New Roman"/>
          <w:b/>
          <w:bCs/>
        </w:rPr>
        <w:t xml:space="preserve">Detar Plus</w:t>
      </w:r>
      <w:r>
        <w:rPr>
          <w:rFonts w:ascii="Times New Roman" w:hAnsi="Times New Roman"/>
        </w:rPr>
        <w:t xml:space="preserve">, détartrant industriel commercial à base d’acide chlorhydrique (~5–15 %) et d’acide phosphorique (~10–30 %), générant un milieu acide mixte (pH ≈ 1) reproduisant des conditions agressives comparables à certains effluents de champs pétroliers. Le protocole expérimental adopte une approche</w:t>
      </w:r>
      <w:r>
        <w:rPr>
          <w:rFonts w:ascii="Times New Roman" w:hAnsi="Times New Roman"/>
        </w:rPr>
        <w:t xml:space="preserve"> </w:t>
      </w:r>
      <w:r>
        <w:rPr>
          <w:rFonts w:ascii="Times New Roman" w:hAnsi="Times New Roman"/>
          <w:b/>
          <w:bCs/>
        </w:rPr>
        <w:t xml:space="preserve">run-to-failure</w:t>
      </w:r>
      <w:r>
        <w:rPr>
          <w:rFonts w:ascii="Times New Roman" w:hAnsi="Times New Roman"/>
        </w:rPr>
        <w:t xml:space="preserve"> </w:t>
      </w:r>
      <w:r>
        <w:rPr>
          <w:rFonts w:ascii="Times New Roman" w:hAnsi="Times New Roman"/>
        </w:rPr>
        <w:t xml:space="preserve">(quatre séquences de corrosion jusqu’à la rupture du fil), conforme à l’esprit de l’ISO 13381-1, pour constituer un jeu d’apprentissage couvrant l’intégralité du cycle de dégradation.</w:t>
      </w:r>
    </w:p>
    <w:p>
      <w:pPr>
        <w:pStyle w:val="BodyText"/>
      </w:pPr>
      <w:r>
        <w:rPr>
          <w:rFonts w:ascii="Times New Roman" w:hAnsi="Times New Roman"/>
        </w:rPr>
        <w:t xml:space="preserve">Les résultats obtenus démontrent la faisabilité d’un système de surveillance de la corrosion entièrement développé avec des composants disponibles localement (coût estimé à moins de 50 000 FCFA), et la capacité du modèle XGBoost à prédire le taux de corrosion avec une erreur inférieure à 15 % (RMSE) sur les données de validation. Le système génère automatiquement des alertes graduées (vert / orange / rouge) et des recommandations de dosage d’inhibiteur AC PROTECT 106.</w:t>
      </w:r>
    </w:p>
    <w:p>
      <w:pPr>
        <w:pStyle w:val="BodyText"/>
      </w:pPr>
      <w:r>
        <w:rPr>
          <w:rFonts w:ascii="Times New Roman" w:hAnsi="Times New Roman"/>
          <w:b/>
          <w:bCs/>
        </w:rPr>
        <w:t xml:space="preserve">Mots-clés :</w:t>
      </w:r>
      <w:r>
        <w:rPr>
          <w:rFonts w:ascii="Times New Roman" w:hAnsi="Times New Roman"/>
        </w:rPr>
        <w:t xml:space="preserve"> </w:t>
      </w:r>
      <w:r>
        <w:rPr>
          <w:rFonts w:ascii="Times New Roman" w:hAnsi="Times New Roman"/>
        </w:rPr>
        <w:t xml:space="preserve">corrosion, sonde ER, XGBoost, maintenance prédictive, IoT, ESP32, HX711, durée de vie résiduelle, inhibiteur de corrosion, apprentissage automatique.</w:t>
      </w:r>
    </w:p>
    <w:bookmarkEnd w:id="13"/>
    <w:bookmarkStart w:id="14" w:name="abstract"/>
    <w:p>
      <w:pPr>
        <w:pStyle w:val="Heading1"/>
      </w:pPr>
      <w:r>
        <w:rPr>
          <w:rFonts w:ascii="Times New Roman" w:hAnsi="Times New Roman"/>
        </w:rPr>
        <w:t xml:space="preserve">ABSTRACT</w:t>
      </w:r>
    </w:p>
    <w:p>
      <w:pPr>
        <w:pStyle w:val="FirstParagraph"/>
      </w:pPr>
      <w:r>
        <w:rPr>
          <w:rFonts w:ascii="Times New Roman" w:hAnsi="Times New Roman"/>
        </w:rPr>
        <w:t xml:space="preserve">Corrosion represents an annual global cost of USD 2.5 trillion (3.4% of global GDP) and is the primary cause of structural failure in the Oil &amp; Gas sector. In sub-Saharan Africa, and Cameroon in particular, corrosion management in petroleum installations — notably the COTCO pipeline network — still relies largely on reactive strategies or fixed-interval periodic inspections, without exploiting continuous monitoring data.</w:t>
      </w:r>
    </w:p>
    <w:p>
      <w:pPr>
        <w:pStyle w:val="BodyText"/>
      </w:pPr>
      <w:r>
        <w:rPr>
          <w:rFonts w:ascii="Times New Roman" w:hAnsi="Times New Roman"/>
        </w:rPr>
        <w:t xml:space="preserve">This thesis presents the design, development and experimental validation of an</w:t>
      </w:r>
      <w:r>
        <w:rPr>
          <w:rFonts w:ascii="Times New Roman" w:hAnsi="Times New Roman"/>
        </w:rPr>
        <w:t xml:space="preserve"> </w:t>
      </w:r>
      <w:r>
        <w:rPr>
          <w:rFonts w:ascii="Times New Roman" w:hAnsi="Times New Roman"/>
          <w:b/>
          <w:bCs/>
        </w:rPr>
        <w:t xml:space="preserve">integrated corrosion predictive maintenance system</w:t>
      </w:r>
      <w:r>
        <w:rPr>
          <w:rFonts w:ascii="Times New Roman" w:hAnsi="Times New Roman"/>
        </w:rPr>
        <w:t xml:space="preserve"> </w:t>
      </w:r>
      <w:r>
        <w:rPr>
          <w:rFonts w:ascii="Times New Roman" w:hAnsi="Times New Roman"/>
        </w:rPr>
        <w:t xml:space="preserve">built around three components: (1) a</w:t>
      </w:r>
      <w:r>
        <w:rPr>
          <w:rFonts w:ascii="Times New Roman" w:hAnsi="Times New Roman"/>
        </w:rPr>
        <w:t xml:space="preserve"> </w:t>
      </w:r>
      <w:r>
        <w:rPr>
          <w:rFonts w:ascii="Times New Roman" w:hAnsi="Times New Roman"/>
          <w:b/>
          <w:bCs/>
        </w:rPr>
        <w:t xml:space="preserve">low-cost ER (Electrical Resistance) probe</w:t>
      </w:r>
      <w:r>
        <w:rPr>
          <w:rFonts w:ascii="Times New Roman" w:hAnsi="Times New Roman"/>
        </w:rPr>
        <w:t xml:space="preserve"> </w:t>
      </w:r>
      <w:r>
        <w:rPr>
          <w:rFonts w:ascii="Times New Roman" w:hAnsi="Times New Roman"/>
        </w:rPr>
        <w:t xml:space="preserve">based on an iron wire mounted in a Wheatstone bridge and instrumented by a 24-bit HX711 amplifier; (2) an</w:t>
      </w:r>
      <w:r>
        <w:rPr>
          <w:rFonts w:ascii="Times New Roman" w:hAnsi="Times New Roman"/>
        </w:rPr>
        <w:t xml:space="preserve"> </w:t>
      </w:r>
      <w:r>
        <w:rPr>
          <w:rFonts w:ascii="Times New Roman" w:hAnsi="Times New Roman"/>
          <w:b/>
          <w:bCs/>
        </w:rPr>
        <w:t xml:space="preserve">IoT acquisition system</w:t>
      </w:r>
      <w:r>
        <w:rPr>
          <w:rFonts w:ascii="Times New Roman" w:hAnsi="Times New Roman"/>
        </w:rPr>
        <w:t xml:space="preserve"> </w:t>
      </w:r>
      <w:r>
        <w:rPr>
          <w:rFonts w:ascii="Times New Roman" w:hAnsi="Times New Roman"/>
        </w:rPr>
        <w:t xml:space="preserve">using an ESP32 microcontroller in pulsed deep sleep mode, simultaneously measuring wire resistance and temperature (DS18B20) every ten minutes; (3) an</w:t>
      </w:r>
      <w:r>
        <w:rPr>
          <w:rFonts w:ascii="Times New Roman" w:hAnsi="Times New Roman"/>
        </w:rPr>
        <w:t xml:space="preserve"> </w:t>
      </w:r>
      <w:r>
        <w:rPr>
          <w:rFonts w:ascii="Times New Roman" w:hAnsi="Times New Roman"/>
          <w:b/>
          <w:bCs/>
        </w:rPr>
        <w:t xml:space="preserve">XGBoost machine learning model</w:t>
      </w:r>
      <w:r>
        <w:rPr>
          <w:rFonts w:ascii="Times New Roman" w:hAnsi="Times New Roman"/>
        </w:rPr>
        <w:t xml:space="preserve"> </w:t>
      </w:r>
      <w:r>
        <w:rPr>
          <w:rFonts w:ascii="Times New Roman" w:hAnsi="Times New Roman"/>
        </w:rPr>
        <w:t xml:space="preserve">trained using a run-to-failure protocol to predict corrosion rate (CR, in mm/year) and remaining useful life (RUL, in hours).</w:t>
      </w:r>
    </w:p>
    <w:p>
      <w:pPr>
        <w:pStyle w:val="BodyText"/>
      </w:pPr>
      <w:r>
        <w:rPr>
          <w:rFonts w:ascii="Times New Roman" w:hAnsi="Times New Roman"/>
        </w:rPr>
        <w:t xml:space="preserve">The corrosive environment is</w:t>
      </w:r>
      <w:r>
        <w:rPr>
          <w:rFonts w:ascii="Times New Roman" w:hAnsi="Times New Roman"/>
        </w:rPr>
        <w:t xml:space="preserve"> </w:t>
      </w:r>
      <w:r>
        <w:rPr>
          <w:rFonts w:ascii="Times New Roman" w:hAnsi="Times New Roman"/>
          <w:b/>
          <w:bCs/>
        </w:rPr>
        <w:t xml:space="preserve">Detar Plus</w:t>
      </w:r>
      <w:r>
        <w:rPr>
          <w:rFonts w:ascii="Times New Roman" w:hAnsi="Times New Roman"/>
        </w:rPr>
        <w:t xml:space="preserve">, a commercial industrial descaler based on hydrochloric acid (~5–15%) and phosphoric acid (~10–30%), generating a mixed acidic medium (pH ≈ 1) that reproduces aggressive conditions comparable to certain oilfield effluents. The experimental protocol adopts a</w:t>
      </w:r>
      <w:r>
        <w:rPr>
          <w:rFonts w:ascii="Times New Roman" w:hAnsi="Times New Roman"/>
        </w:rPr>
        <w:t xml:space="preserve"> </w:t>
      </w:r>
      <w:r>
        <w:rPr>
          <w:rFonts w:ascii="Times New Roman" w:hAnsi="Times New Roman"/>
          <w:b/>
          <w:bCs/>
        </w:rPr>
        <w:t xml:space="preserve">run-to-failure</w:t>
      </w:r>
      <w:r>
        <w:rPr>
          <w:rFonts w:ascii="Times New Roman" w:hAnsi="Times New Roman"/>
        </w:rPr>
        <w:t xml:space="preserve"> </w:t>
      </w:r>
      <w:r>
        <w:rPr>
          <w:rFonts w:ascii="Times New Roman" w:hAnsi="Times New Roman"/>
        </w:rPr>
        <w:t xml:space="preserve">approach (four corrosion sequences run until wire breakage), consistent with the spirit of ISO 13381-1, to build a training dataset covering the complete degradation cycle.</w:t>
      </w:r>
    </w:p>
    <w:p>
      <w:pPr>
        <w:pStyle w:val="BodyText"/>
      </w:pPr>
      <w:r>
        <w:rPr>
          <w:rFonts w:ascii="Times New Roman" w:hAnsi="Times New Roman"/>
        </w:rPr>
        <w:t xml:space="preserve">Results demonstrate the feasibility of a corrosion monitoring system developed entirely with locally available components (estimated cost under 50,000 FCFA), and the capacity of the XGBoost model to predict corrosion rate with less than 15% error (RMSE) on validation data. The system automatically generates graded alerts (green / orange / red) and AC PROTECT 106 inhibitor dosage recommendations.</w:t>
      </w:r>
    </w:p>
    <w:p>
      <w:pPr>
        <w:pStyle w:val="BodyText"/>
      </w:pPr>
      <w:r>
        <w:rPr>
          <w:rFonts w:ascii="Times New Roman" w:hAnsi="Times New Roman"/>
          <w:b/>
          <w:bCs/>
        </w:rPr>
        <w:t xml:space="preserve">Keywords:</w:t>
      </w:r>
      <w:r>
        <w:rPr>
          <w:rFonts w:ascii="Times New Roman" w:hAnsi="Times New Roman"/>
        </w:rPr>
        <w:t xml:space="preserve"> </w:t>
      </w:r>
      <w:r>
        <w:rPr>
          <w:rFonts w:ascii="Times New Roman" w:hAnsi="Times New Roman"/>
        </w:rPr>
        <w:t xml:space="preserve">corrosion, ER probe, XGBoost, predictive maintenance, IoT, ESP32, HX711, remaining useful life, corrosion inhibitor, machine learning.</w:t>
      </w:r>
    </w:p>
    <w:bookmarkEnd w:id="14"/>
    <w:bookmarkStart w:id="29" w:name="chapitre-1-introduction-générale"/>
    <w:p>
      <w:pPr>
        <w:pStyle w:val="Heading1"/>
      </w:pPr>
      <w:r>
        <w:rPr>
          <w:rFonts w:ascii="Times New Roman" w:hAnsi="Times New Roman"/>
        </w:rPr>
        <w:t xml:space="preserve">CHAPITRE 1 : INTRODUCTION GÉNÉRALE</w:t>
      </w:r>
    </w:p>
    <w:bookmarkStart w:id="20" w:name="contexte-et-justification"/>
    <w:p>
      <w:pPr>
        <w:pStyle w:val="Heading2"/>
      </w:pPr>
      <w:r>
        <w:rPr>
          <w:rFonts w:ascii="Times New Roman" w:hAnsi="Times New Roman"/>
        </w:rPr>
        <w:t xml:space="preserve">1.1 Contexte et justification</w:t>
      </w:r>
    </w:p>
    <w:bookmarkStart w:id="15" w:name="approche-définitionnelle-et-historique"/>
    <w:p>
      <w:pPr>
        <w:pStyle w:val="Heading3"/>
      </w:pPr>
      <w:r>
        <w:rPr>
          <w:rFonts w:ascii="Times New Roman" w:hAnsi="Times New Roman"/>
        </w:rPr>
        <w:t xml:space="preserve">1.1.1 Approche définitionnelle et historique</w:t>
      </w:r>
    </w:p>
    <w:p>
      <w:pPr>
        <w:pStyle w:val="FirstParagraph"/>
      </w:pPr>
      <w:r>
        <w:rPr>
          <w:rFonts w:ascii="Times New Roman" w:hAnsi="Times New Roman"/>
        </w:rPr>
        <w:t xml:space="preserve">La corrosion est définie par la norme ISO 8044 comme « une interaction physico-chimique entre un métal et son environnement qui entraîne des modifications des propriétés du métal et qui peut conduire à une dégradation significative de la fonction du métal, de l’environnement ou du système technique dont ils font partie ». Ce phénomène naturel et irréversible constitue la manifestation de la tendance thermodynamique des métaux à retourner à leur état d’oxyde stable — l’état sous lequel ils existent dans la nature avant tout traitement métallurgique.</w:t>
      </w:r>
    </w:p>
    <w:p>
      <w:pPr>
        <w:pStyle w:val="BodyText"/>
      </w:pPr>
      <w:r>
        <w:rPr>
          <w:rFonts w:ascii="Times New Roman" w:hAnsi="Times New Roman"/>
        </w:rPr>
        <w:t xml:space="preserve">L’étude scientifique systématique de la corrosion remonte aux travaux fondateurs de Michael Faraday (1834), qui établit la relation quantitative entre le courant électrique et la masse de métal dissous, posant ainsi les bases de l’électrochimie de la corrosion. Au XXe siècle, les travaux de Wagner et Traud (1938) formalisèrent la théorie des électrodes mixtes, permettant de modéliser quantitativement la vitesse de corrosion à partir des courbes de polarisation. Le modèle semi-empirique de de Waard et Milliams (1975), développé pour la prédiction de la corrosion CO₂ dans les pipelines pétroliers, devint la référence industrielle mondiale et reste, à ce jour, la base de nombreux outils de calcul utilisés dans le secteur Oil &amp; Gas (NORSOK M-506 ; ECE Corrosion Simulator).</w:t>
      </w:r>
    </w:p>
    <w:p>
      <w:pPr>
        <w:pStyle w:val="BodyText"/>
      </w:pPr>
      <w:r>
        <w:rPr>
          <w:rFonts w:ascii="Times New Roman" w:hAnsi="Times New Roman"/>
        </w:rPr>
        <w:t xml:space="preserve">La maintenance industrielle, quant à elle, a connu une évolution parallèle : de la maintenance corrective (réparation après défaillance), à la maintenance préventive systématique (remplacement à intervalles fixes), puis à la maintenance conditionnelle et prédictive (intervention basée sur l’état réel de l’équipement). La norme internationale EN 13306 définit la maintenance prédictive comme une « maintenance conditionnelle effectuée en suivant les prévisions extrapolées de l’analyse et de l’évaluation de paramètres importants de la dégradation du bien ». C’est dans ce cadre que s’inscrit le présent travail : l’instrumentation et la modélisation pour anticiper la défaillance avant qu’elle ne survienne.</w:t>
      </w:r>
    </w:p>
    <w:bookmarkEnd w:id="15"/>
    <w:bookmarkStart w:id="16" w:name="contexte-international-et-national"/>
    <w:p>
      <w:pPr>
        <w:pStyle w:val="Heading3"/>
      </w:pPr>
      <w:r>
        <w:rPr>
          <w:rFonts w:ascii="Times New Roman" w:hAnsi="Times New Roman"/>
        </w:rPr>
        <w:t xml:space="preserve">1.1.2 Contexte international et national</w:t>
      </w:r>
    </w:p>
    <w:p>
      <w:pPr>
        <w:pStyle w:val="FirstParagraph"/>
      </w:pPr>
      <w:r>
        <w:rPr>
          <w:rFonts w:ascii="Times New Roman" w:hAnsi="Times New Roman"/>
        </w:rPr>
        <w:t xml:space="preserve">À l’échelle mondiale, le coût économique de la corrosion représente 2,5 billions de dollars par an, soit 3,4 % du PIB mondial, selon l’étude NACE International (Koch et al., 2016), la plus complète jamais réalisée sur le sujet. Dans le seul secteur Oil &amp; Gas, les pertes imputables à la corrosion sont estimées entre 1,3 et 1,8 milliard de dollars annuellement, incluant les coûts de réparation, les pertes de production et les conséquences des incidents environnementaux. Ces chiffres représentent une opportunité directe d’économies si des stratégies de surveillance et de prédiction efficaces sont déployées.</w:t>
      </w:r>
    </w:p>
    <w:p>
      <w:pPr>
        <w:pStyle w:val="BodyText"/>
      </w:pPr>
      <w:r>
        <w:rPr>
          <w:rFonts w:ascii="Times New Roman" w:hAnsi="Times New Roman"/>
        </w:rPr>
        <w:t xml:space="preserve">En Afrique subsaharienne, la problématique est amplifiée par les conditions environnementales tropicales — températures élevées, humidité relative importante, présence d’agents corrosifs naturels — et par les contraintes spécifiques d’accès aux équipements offshore ou en milieux reculés. Au Cameroun, le secteur pétrolier représente une part significative des recettes de l’État. La</w:t>
      </w:r>
      <w:r>
        <w:rPr>
          <w:rFonts w:ascii="Times New Roman" w:hAnsi="Times New Roman"/>
        </w:rPr>
        <w:t xml:space="preserve"> </w:t>
      </w:r>
      <w:r>
        <w:rPr>
          <w:rFonts w:ascii="Times New Roman" w:hAnsi="Times New Roman"/>
          <w:b/>
          <w:bCs/>
        </w:rPr>
        <w:t xml:space="preserve">Cameroon Oil Transportation Company (COTCO)</w:t>
      </w:r>
      <w:r>
        <w:rPr>
          <w:rFonts w:ascii="Times New Roman" w:hAnsi="Times New Roman"/>
        </w:rPr>
        <w:t xml:space="preserve"> </w:t>
      </w:r>
      <w:r>
        <w:rPr>
          <w:rFonts w:ascii="Times New Roman" w:hAnsi="Times New Roman"/>
        </w:rPr>
        <w:t xml:space="preserve">exploite le pipeline Tchad-Cameroun (1 070 km, diamètre 30 pouces, capacité nominale de 225 000 barils/jour), infrastructure critique dont l’intégrité conditionne directement la sécurité des personnes, la préservation de l’environnement et la stabilité économique du pays. Le pipeline traverse des zones de forêt équatoriale, franchit de nombreux cours d’eau et traverse des zones habitées, rendant toute défaillance non anticipée potentiellement catastrophique.</w:t>
      </w:r>
    </w:p>
    <w:bookmarkEnd w:id="16"/>
    <w:bookmarkStart w:id="17" w:name="Xc04193723c4ecef5b922dfac59cd00c08c162fc"/>
    <w:p>
      <w:pPr>
        <w:pStyle w:val="Heading3"/>
      </w:pPr>
      <w:r>
        <w:rPr>
          <w:rFonts w:ascii="Times New Roman" w:hAnsi="Times New Roman"/>
        </w:rPr>
        <w:t xml:space="preserve">1.1.3 État de la recherche scientifique et limites identifiées</w:t>
      </w:r>
    </w:p>
    <w:p>
      <w:pPr>
        <w:pStyle w:val="FirstParagraph"/>
      </w:pPr>
      <w:r>
        <w:rPr>
          <w:rFonts w:ascii="Times New Roman" w:hAnsi="Times New Roman"/>
        </w:rPr>
        <w:t xml:space="preserve">La recherche sur la prédiction de la corrosion par apprentissage automatique a connu une accélération significative depuis 2015. Les approches les plus récentes incluent les forêts aléatoires (Cheng et al., 2018), les réseaux de neurones récurrents (LSTM) pour les séries temporelles de corrosion (Ossai et al., 2017 ; Xu et al., 2020), et les méthodes d’ensemble comme le Gradient Boosting et XGBoost (Ma et al., 2021). Ces travaux, menés principalement sur des données de pipelines nord-américains (PHMSA) ou des jeux de données synthétiques issus du modèle de de Waard et Milliams, démontrent des erreurs de prédiction inférieures à 15 % (RMSE) pour le taux de corrosion, contre 40 à 60 % pour les modèles physiques classiques dans des conditions d’exploitation réelles.</w:t>
      </w:r>
    </w:p>
    <w:p>
      <w:pPr>
        <w:pStyle w:val="BodyText"/>
      </w:pPr>
      <w:r>
        <w:rPr>
          <w:rFonts w:ascii="Times New Roman" w:hAnsi="Times New Roman"/>
        </w:rPr>
        <w:t xml:space="preserve">Cependant, plusieurs lacunes importantes subsistent dans la littérature :</w:t>
      </w:r>
    </w:p>
    <w:p>
      <w:pPr>
        <w:pStyle w:val="Compact"/>
        <w:numPr>
          <w:ilvl w:val="0"/>
          <w:numId w:val="1001"/>
        </w:numPr>
      </w:pPr>
      <w:r>
        <w:rPr>
          <w:rFonts w:ascii="Times New Roman" w:hAnsi="Times New Roman"/>
          <w:b/>
          <w:bCs/>
        </w:rPr>
        <w:t xml:space="preserve">Absence de données africaines</w:t>
      </w:r>
      <w:r>
        <w:rPr>
          <w:rFonts w:ascii="Times New Roman" w:hAnsi="Times New Roman"/>
        </w:rPr>
        <w:t xml:space="preserve"> </w:t>
      </w:r>
      <w:r>
        <w:rPr>
          <w:rFonts w:ascii="Times New Roman" w:hAnsi="Times New Roman"/>
        </w:rPr>
        <w:t xml:space="preserve">: Aucune étude publiée n’intègre de données de corrosion issues de pipelines subsahariens. Les modèles entraînés sur des données nord-américaines ou européennes ne sont pas nécessairement transférables dans les conditions climatiques et chimiques de la région.</w:t>
      </w:r>
    </w:p>
    <w:p>
      <w:pPr>
        <w:pStyle w:val="Compact"/>
        <w:numPr>
          <w:ilvl w:val="0"/>
          <w:numId w:val="1001"/>
        </w:numPr>
      </w:pPr>
      <w:r>
        <w:rPr>
          <w:rFonts w:ascii="Times New Roman" w:hAnsi="Times New Roman"/>
          <w:b/>
          <w:bCs/>
        </w:rPr>
        <w:t xml:space="preserve">Coût prohibitif des instruments commerciaux</w:t>
      </w:r>
      <w:r>
        <w:rPr>
          <w:rFonts w:ascii="Times New Roman" w:hAnsi="Times New Roman"/>
        </w:rPr>
        <w:t xml:space="preserve"> </w:t>
      </w:r>
      <w:r>
        <w:rPr>
          <w:rFonts w:ascii="Times New Roman" w:hAnsi="Times New Roman"/>
        </w:rPr>
        <w:t xml:space="preserve">: Les sondes ER industrielles commerciales (Rohrback Cosasco, Metal Samples, Permasense) ont un coût unitaire de l’ordre de 500 à 5 000 USD, hors frais d’installation et de maintenance. Ce niveau de coût est incompatible avec un déploiement massif sur un réseau de milliers de kilometres.</w:t>
      </w:r>
    </w:p>
    <w:p>
      <w:pPr>
        <w:pStyle w:val="Compact"/>
        <w:numPr>
          <w:ilvl w:val="0"/>
          <w:numId w:val="1001"/>
        </w:numPr>
      </w:pPr>
      <w:r>
        <w:rPr>
          <w:rFonts w:ascii="Times New Roman" w:hAnsi="Times New Roman"/>
          <w:b/>
          <w:bCs/>
        </w:rPr>
        <w:t xml:space="preserve">Circularité des approches ML sur données synthétiques</w:t>
      </w:r>
      <w:r>
        <w:rPr>
          <w:rFonts w:ascii="Times New Roman" w:hAnsi="Times New Roman"/>
        </w:rPr>
        <w:t xml:space="preserve"> </w:t>
      </w:r>
      <w:r>
        <w:rPr>
          <w:rFonts w:ascii="Times New Roman" w:hAnsi="Times New Roman"/>
        </w:rPr>
        <w:t xml:space="preserve">: La majorité des études ML sur la corrosion entraînent et évaluent leurs modèles sur des données générées par le modèle de de Waard lui-même, créant une circularité qui invalide les métriques de performance. Un modèle XGBoost entraîné sur des données de Waard et évalué sur des données de Waard apprend à reproduire de Waard — ce qui ne prouve pas la capacité de généralisation à des données réelles.</w:t>
      </w:r>
    </w:p>
    <w:p>
      <w:pPr>
        <w:pStyle w:val="Compact"/>
        <w:numPr>
          <w:ilvl w:val="0"/>
          <w:numId w:val="1001"/>
        </w:numPr>
      </w:pPr>
      <w:r>
        <w:rPr>
          <w:rFonts w:ascii="Times New Roman" w:hAnsi="Times New Roman"/>
          <w:b/>
          <w:bCs/>
        </w:rPr>
        <w:t xml:space="preserve">Absence de prédiction de la durée de vie résiduelle (RUL)</w:t>
      </w:r>
      <w:r>
        <w:rPr>
          <w:rFonts w:ascii="Times New Roman" w:hAnsi="Times New Roman"/>
        </w:rPr>
        <w:t xml:space="preserve"> </w:t>
      </w:r>
      <w:r>
        <w:rPr>
          <w:rFonts w:ascii="Times New Roman" w:hAnsi="Times New Roman"/>
        </w:rPr>
        <w:t xml:space="preserve">: La plupart des travaux se limitent à la prédiction instantanée du taux de corrosion, sans extrapoler vers le temps avant défaillance — information pourtant décisive pour la planification des interventions de maintenance.</w:t>
      </w:r>
    </w:p>
    <w:p>
      <w:pPr>
        <w:pStyle w:val="Compact"/>
        <w:numPr>
          <w:ilvl w:val="0"/>
          <w:numId w:val="1001"/>
        </w:numPr>
      </w:pPr>
      <w:r>
        <w:rPr>
          <w:rFonts w:ascii="Times New Roman" w:hAnsi="Times New Roman"/>
          <w:b/>
          <w:bCs/>
        </w:rPr>
        <w:t xml:space="preserve">Environnements corrosifs multi-composants</w:t>
      </w:r>
      <w:r>
        <w:rPr>
          <w:rFonts w:ascii="Times New Roman" w:hAnsi="Times New Roman"/>
        </w:rPr>
        <w:t xml:space="preserve"> </w:t>
      </w:r>
      <w:r>
        <w:rPr>
          <w:rFonts w:ascii="Times New Roman" w:hAnsi="Times New Roman"/>
        </w:rPr>
        <w:t xml:space="preserve">: Les acides industriels concentrés (détartrants, acides de puits) impliquent une cinétique mixte entre mécanismes d’attaque (HCl) et de passivation (H₃PO₄), impossible à prédire par les modèles physiques existants. Aucune étude n’a modélisé la corrosion en présence d’un inhibiteur à base d’imidazoline dans un tel environnement.</w:t>
      </w:r>
    </w:p>
    <w:bookmarkEnd w:id="17"/>
    <w:bookmarkStart w:id="18" w:name="cadre-normatif-et-réglementaire"/>
    <w:p>
      <w:pPr>
        <w:pStyle w:val="Heading3"/>
      </w:pPr>
      <w:r>
        <w:rPr>
          <w:rFonts w:ascii="Times New Roman" w:hAnsi="Times New Roman"/>
        </w:rPr>
        <w:t xml:space="preserve">1.1.4 Cadre normatif et réglementaire</w:t>
      </w:r>
    </w:p>
    <w:p>
      <w:pPr>
        <w:pStyle w:val="FirstParagraph"/>
      </w:pPr>
      <w:r>
        <w:rPr>
          <w:rFonts w:ascii="Times New Roman" w:hAnsi="Times New Roman"/>
        </w:rPr>
        <w:t xml:space="preserve">La gestion de la corrosion dans les infrastructures pétrolières est encadrée par un ensemble de normes internationales :</w:t>
      </w:r>
    </w:p>
    <w:p>
      <w:pPr>
        <w:pStyle w:val="Compact"/>
        <w:numPr>
          <w:ilvl w:val="0"/>
          <w:numId w:val="1002"/>
        </w:numPr>
      </w:pPr>
      <w:r>
        <w:rPr>
          <w:rFonts w:ascii="Times New Roman" w:hAnsi="Times New Roman"/>
          <w:b/>
          <w:bCs/>
        </w:rPr>
        <w:t xml:space="preserve">ISO 8044</w:t>
      </w:r>
      <w:r>
        <w:rPr>
          <w:rFonts w:ascii="Times New Roman" w:hAnsi="Times New Roman"/>
        </w:rPr>
        <w:t xml:space="preserve"> </w:t>
      </w:r>
      <w:r>
        <w:rPr>
          <w:rFonts w:ascii="Times New Roman" w:hAnsi="Times New Roman"/>
        </w:rPr>
        <w:t xml:space="preserve">: Définitions et terminologie relative à la corrosion des métaux et alliages.</w:t>
      </w:r>
    </w:p>
    <w:p>
      <w:pPr>
        <w:pStyle w:val="Compact"/>
        <w:numPr>
          <w:ilvl w:val="0"/>
          <w:numId w:val="1002"/>
        </w:numPr>
      </w:pPr>
      <w:r>
        <w:rPr>
          <w:rFonts w:ascii="Times New Roman" w:hAnsi="Times New Roman"/>
          <w:b/>
          <w:bCs/>
        </w:rPr>
        <w:t xml:space="preserve">ASTM G1</w:t>
      </w:r>
      <w:r>
        <w:rPr>
          <w:rFonts w:ascii="Times New Roman" w:hAnsi="Times New Roman"/>
        </w:rPr>
        <w:t xml:space="preserve"> </w:t>
      </w:r>
      <w:r>
        <w:rPr>
          <w:rFonts w:ascii="Times New Roman" w:hAnsi="Times New Roman"/>
        </w:rPr>
        <w:t xml:space="preserve">et</w:t>
      </w:r>
      <w:r>
        <w:rPr>
          <w:rFonts w:ascii="Times New Roman" w:hAnsi="Times New Roman"/>
        </w:rPr>
        <w:t xml:space="preserve"> </w:t>
      </w:r>
      <w:r>
        <w:rPr>
          <w:rFonts w:ascii="Times New Roman" w:hAnsi="Times New Roman"/>
          <w:b/>
          <w:bCs/>
        </w:rPr>
        <w:t xml:space="preserve">ASTM G31</w:t>
      </w:r>
      <w:r>
        <w:rPr>
          <w:rFonts w:ascii="Times New Roman" w:hAnsi="Times New Roman"/>
        </w:rPr>
        <w:t xml:space="preserve"> </w:t>
      </w:r>
      <w:r>
        <w:rPr>
          <w:rFonts w:ascii="Times New Roman" w:hAnsi="Times New Roman"/>
        </w:rPr>
        <w:t xml:space="preserve">: Préparation, nettoyage et évaluation des éprouvettes de corrosion en laboratoire.</w:t>
      </w:r>
    </w:p>
    <w:p>
      <w:pPr>
        <w:pStyle w:val="Compact"/>
        <w:numPr>
          <w:ilvl w:val="0"/>
          <w:numId w:val="1002"/>
        </w:numPr>
      </w:pPr>
      <w:r>
        <w:rPr>
          <w:rFonts w:ascii="Times New Roman" w:hAnsi="Times New Roman"/>
          <w:b/>
          <w:bCs/>
        </w:rPr>
        <w:t xml:space="preserve">NACE SP0775</w:t>
      </w:r>
      <w:r>
        <w:rPr>
          <w:rFonts w:ascii="Times New Roman" w:hAnsi="Times New Roman"/>
        </w:rPr>
        <w:t xml:space="preserve"> </w:t>
      </w:r>
      <w:r>
        <w:rPr>
          <w:rFonts w:ascii="Times New Roman" w:hAnsi="Times New Roman"/>
        </w:rPr>
        <w:t xml:space="preserve">(désormais AMPP SP0775-2023) : Recommandations pour la préparation, l’installation, l’analyse et l’interprétation des coupons de corrosion dans les systèmes pétroliers.</w:t>
      </w:r>
    </w:p>
    <w:p>
      <w:pPr>
        <w:pStyle w:val="Compact"/>
        <w:numPr>
          <w:ilvl w:val="0"/>
          <w:numId w:val="1002"/>
        </w:numPr>
      </w:pPr>
      <w:r>
        <w:rPr>
          <w:rFonts w:ascii="Times New Roman" w:hAnsi="Times New Roman"/>
          <w:b/>
          <w:bCs/>
        </w:rPr>
        <w:t xml:space="preserve">NACE TM0190</w:t>
      </w:r>
      <w:r>
        <w:rPr>
          <w:rFonts w:ascii="Times New Roman" w:hAnsi="Times New Roman"/>
        </w:rPr>
        <w:t xml:space="preserve"> </w:t>
      </w:r>
      <w:r>
        <w:rPr>
          <w:rFonts w:ascii="Times New Roman" w:hAnsi="Times New Roman"/>
        </w:rPr>
        <w:t xml:space="preserve">: Méthodes d’essai pour sondes ER en service pétrolier.</w:t>
      </w:r>
    </w:p>
    <w:p>
      <w:pPr>
        <w:pStyle w:val="Compact"/>
        <w:numPr>
          <w:ilvl w:val="0"/>
          <w:numId w:val="1002"/>
        </w:numPr>
      </w:pPr>
      <w:r>
        <w:rPr>
          <w:rFonts w:ascii="Times New Roman" w:hAnsi="Times New Roman"/>
          <w:b/>
          <w:bCs/>
        </w:rPr>
        <w:t xml:space="preserve">API 570</w:t>
      </w:r>
      <w:r>
        <w:rPr>
          <w:rFonts w:ascii="Times New Roman" w:hAnsi="Times New Roman"/>
        </w:rPr>
        <w:t xml:space="preserve"> </w:t>
      </w:r>
      <w:r>
        <w:rPr>
          <w:rFonts w:ascii="Times New Roman" w:hAnsi="Times New Roman"/>
        </w:rPr>
        <w:t xml:space="preserve">: Inspection, réparation, altération et reclassification des systèmes de tuyauteries en service.</w:t>
      </w:r>
    </w:p>
    <w:p>
      <w:pPr>
        <w:pStyle w:val="Compact"/>
        <w:numPr>
          <w:ilvl w:val="0"/>
          <w:numId w:val="1002"/>
        </w:numPr>
      </w:pPr>
      <w:r>
        <w:rPr>
          <w:rFonts w:ascii="Times New Roman" w:hAnsi="Times New Roman"/>
          <w:b/>
          <w:bCs/>
        </w:rPr>
        <w:t xml:space="preserve">API 580/581</w:t>
      </w:r>
      <w:r>
        <w:rPr>
          <w:rFonts w:ascii="Times New Roman" w:hAnsi="Times New Roman"/>
        </w:rPr>
        <w:t xml:space="preserve"> </w:t>
      </w:r>
      <w:r>
        <w:rPr>
          <w:rFonts w:ascii="Times New Roman" w:hAnsi="Times New Roman"/>
        </w:rPr>
        <w:t xml:space="preserve">: Inspection basée sur le risque (Risk-Based Inspection — RBI) pour les équipements de procédé.</w:t>
      </w:r>
    </w:p>
    <w:p>
      <w:pPr>
        <w:pStyle w:val="Compact"/>
        <w:numPr>
          <w:ilvl w:val="0"/>
          <w:numId w:val="1002"/>
        </w:numPr>
      </w:pPr>
      <w:r>
        <w:rPr>
          <w:rFonts w:ascii="Times New Roman" w:hAnsi="Times New Roman"/>
          <w:b/>
          <w:bCs/>
        </w:rPr>
        <w:t xml:space="preserve">ISO 13381-1</w:t>
      </w:r>
      <w:r>
        <w:rPr>
          <w:rFonts w:ascii="Times New Roman" w:hAnsi="Times New Roman"/>
        </w:rPr>
        <w:t xml:space="preserve"> </w:t>
      </w:r>
      <w:r>
        <w:rPr>
          <w:rFonts w:ascii="Times New Roman" w:hAnsi="Times New Roman"/>
        </w:rPr>
        <w:t xml:space="preserve">: Maintenance — Maintenance prévisionnelle — Partie 1 : Prescriptions générales (référence pour la méthodologie RUL).</w:t>
      </w:r>
    </w:p>
    <w:p>
      <w:pPr>
        <w:pStyle w:val="Compact"/>
        <w:numPr>
          <w:ilvl w:val="0"/>
          <w:numId w:val="1002"/>
        </w:numPr>
      </w:pPr>
      <w:r>
        <w:rPr>
          <w:rFonts w:ascii="Times New Roman" w:hAnsi="Times New Roman"/>
          <w:b/>
          <w:bCs/>
        </w:rPr>
        <w:t xml:space="preserve">EN 13306</w:t>
      </w:r>
      <w:r>
        <w:rPr>
          <w:rFonts w:ascii="Times New Roman" w:hAnsi="Times New Roman"/>
        </w:rPr>
        <w:t xml:space="preserve"> </w:t>
      </w:r>
      <w:r>
        <w:rPr>
          <w:rFonts w:ascii="Times New Roman" w:hAnsi="Times New Roman"/>
        </w:rPr>
        <w:t xml:space="preserve">: Terminologie de la maintenance.</w:t>
      </w:r>
    </w:p>
    <w:p>
      <w:pPr>
        <w:pStyle w:val="FirstParagraph"/>
      </w:pPr>
      <w:r>
        <w:rPr>
          <w:rFonts w:ascii="Times New Roman" w:hAnsi="Times New Roman"/>
        </w:rPr>
        <w:t xml:space="preserve">Au Cameroun, la loi n° 99/013 du 22 décembre 1999 portant Code Pétrolier constitue le cadre réglementaire primaire. Elle impose aux opérateurs l’obligation de maintenir leurs installations dans un état de sécurité conforme aux normes internationales. Le décret n° 2000/465 du 30 juin 2000 fixe les conditions d’exploitation des hydrocarbures et prévoit des obligations de surveillance et de contrôle des installations.</w:t>
      </w:r>
    </w:p>
    <w:bookmarkEnd w:id="18"/>
    <w:bookmarkStart w:id="19" w:name="la-corrosion-dans-la-zone-détude"/>
    <w:p>
      <w:pPr>
        <w:pStyle w:val="Heading3"/>
      </w:pPr>
      <w:r>
        <w:rPr>
          <w:rFonts w:ascii="Times New Roman" w:hAnsi="Times New Roman"/>
        </w:rPr>
        <w:t xml:space="preserve">1.1.5 La corrosion dans la zone d’étude</w:t>
      </w:r>
    </w:p>
    <w:p>
      <w:pPr>
        <w:pStyle w:val="FirstParagraph"/>
      </w:pPr>
      <w:r>
        <w:rPr>
          <w:rFonts w:ascii="Times New Roman" w:hAnsi="Times New Roman"/>
        </w:rPr>
        <w:t xml:space="preserve">COTCO opère le pipeline Tchad-Cameroun depuis 2003. Ce pipeline est soumis à plusieurs facteurs de corrosion simultanés : l’humidité tropicale pour la corrosion externe, les conditions chimiques des hydrocarbures transportés pour la corrosion interne (présence résiduelle de CO₂ et H₂S dissous dans le brut), et le vieillissement du revêtement FBE (Fusion-Bonded Epoxy) pour les zones enterrées. Les interventions de maintenance corrective sur ce type d’infrastructure impliquent des arrêts de production coûteux et des risques environnementaux élevés (déversement de brut).</w:t>
      </w:r>
    </w:p>
    <w:p>
      <w:pPr>
        <w:pStyle w:val="BodyText"/>
      </w:pPr>
      <w:r>
        <w:rPr>
          <w:rFonts w:ascii="Times New Roman" w:hAnsi="Times New Roman"/>
        </w:rPr>
        <w:t xml:space="preserve">Dans ce contexte, le besoin d’un outil de surveillance continue, low-cost, et capable de prédire la défaillance avant qu’elle ne survienne est directement identifiable. Le prototype développé dans ce mémoire constitue une preuve de concept qui, validée en laboratoire, pourrait être adaptée à un déploiement sur terrain dans le cadre du stage en entreprise chez COTCO.</w:t>
      </w:r>
    </w:p>
    <w:bookmarkEnd w:id="19"/>
    <w:bookmarkEnd w:id="20"/>
    <w:bookmarkStart w:id="21" w:name="problématique"/>
    <w:p>
      <w:pPr>
        <w:pStyle w:val="Heading2"/>
      </w:pPr>
      <w:r>
        <w:rPr>
          <w:rFonts w:ascii="Times New Roman" w:hAnsi="Times New Roman"/>
        </w:rPr>
        <w:t xml:space="preserve">1.2 Problématique</w:t>
      </w:r>
    </w:p>
    <w:p>
      <w:pPr>
        <w:pStyle w:val="FirstParagraph"/>
      </w:pPr>
      <w:r>
        <w:rPr>
          <w:rFonts w:ascii="Times New Roman" w:hAnsi="Times New Roman"/>
        </w:rPr>
        <w:t xml:space="preserve">La maintenance des infrastructures de transport pétrolier au Cameroun fait face à un paradoxe fondamental : les opérateurs disposent de données de surveillance (mesures d’épaisseur par ultrasons, rapports de laboratoire) mais ces données, collectées de manière ponctuelle et non continue, ne permettent pas d’anticiper les défaillances par corrosion avant qu’elles n’atteignent un seuil critique.</w:t>
      </w:r>
    </w:p>
    <w:p>
      <w:pPr>
        <w:pStyle w:val="BodyText"/>
      </w:pPr>
      <w:r>
        <w:rPr>
          <w:rFonts w:ascii="Times New Roman" w:hAnsi="Times New Roman"/>
        </w:rPr>
        <w:t xml:space="preserve">Les modèles physiques classiques de prédiction du taux de corrosion (modèle de de Waard et Milliams, modèle NORSOK M-506) ont montré des limites importantes en conditions d’exploitation réelle : erreurs systématiques de 40 à 60 % dues à la non-prise en compte des interactions complexes entre les multiples composants des fluides de process. Les instruments de surveillance ER commerciaux offrent une résolution suffisante mais à des coûts incompatibles avec un déploiement étendu.</w:t>
      </w:r>
    </w:p>
    <w:p>
      <w:pPr>
        <w:pStyle w:val="BodyText"/>
      </w:pPr>
      <w:r>
        <w:rPr>
          <w:rFonts w:ascii="Times New Roman" w:hAnsi="Times New Roman"/>
        </w:rPr>
        <w:t xml:space="preserve">L’apprentissage automatique offre une alternative prometteuse — capable de capturer des relations non linéaires complexes entre les variables de process et le taux de corrosion — mais son déploiement en contexte africain se heurte à l’absence de données d’entraînement locales et au coût des équipements d’acquisition.</w:t>
      </w:r>
    </w:p>
    <w:p>
      <w:pPr>
        <w:pStyle w:val="BodyText"/>
      </w:pPr>
      <w:r>
        <w:rPr>
          <w:rFonts w:ascii="Times New Roman" w:hAnsi="Times New Roman"/>
        </w:rPr>
        <w:t xml:space="preserve">La question centrale de ce travail est donc :</w:t>
      </w:r>
    </w:p>
    <w:p>
      <w:pPr>
        <w:pStyle w:val="BlockText"/>
      </w:pPr>
      <w:r>
        <w:rPr>
          <w:rFonts w:ascii="Times New Roman" w:hAnsi="Times New Roman"/>
          <w:b/>
          <w:bCs/>
        </w:rPr>
        <w:t xml:space="preserve">Dans quelle mesure un système de surveillance ER low-cost développé à partir de composants disponibles localement, combiné à un modèle XGBoost entraîné en protocole run-to-failure, permet-il de prédire avec précision le taux de corrosion et la durée de vie résiduelle d’un élément structural métallique en milieu acide multi-composant, et de générer des recommandations exploitables pour la maintenance prédictive ?</w:t>
      </w:r>
    </w:p>
    <w:bookmarkEnd w:id="21"/>
    <w:bookmarkStart w:id="22" w:name="questions-de-recherche"/>
    <w:p>
      <w:pPr>
        <w:pStyle w:val="Heading2"/>
      </w:pPr>
      <w:r>
        <w:rPr>
          <w:rFonts w:ascii="Times New Roman" w:hAnsi="Times New Roman"/>
        </w:rPr>
        <w:t xml:space="preserve">1.3 Questions de recherche</w:t>
      </w:r>
    </w:p>
    <w:p>
      <w:pPr>
        <w:pStyle w:val="FirstParagraph"/>
      </w:pPr>
      <w:r>
        <w:rPr>
          <w:rFonts w:ascii="Times New Roman" w:hAnsi="Times New Roman"/>
        </w:rPr>
        <w:t xml:space="preserve">Sur la base de la problématique exposée, trois questions de recherche spécifiques sont formulées :</w:t>
      </w:r>
    </w:p>
    <w:p>
      <w:pPr>
        <w:pStyle w:val="BodyText"/>
      </w:pPr>
      <w:r>
        <w:rPr>
          <w:rFonts w:ascii="Times New Roman" w:hAnsi="Times New Roman"/>
          <w:b/>
          <w:bCs/>
        </w:rPr>
        <w:t xml:space="preserve">QR1 :</w:t>
      </w:r>
      <w:r>
        <w:rPr>
          <w:rFonts w:ascii="Times New Roman" w:hAnsi="Times New Roman"/>
        </w:rPr>
        <w:t xml:space="preserve"> </w:t>
      </w:r>
      <w:r>
        <w:rPr>
          <w:rFonts w:ascii="Times New Roman" w:hAnsi="Times New Roman"/>
        </w:rPr>
        <w:t xml:space="preserve">Dans quelle mesure un pont de Wheatstone instrumenté par un amplificateur HX711 24 bits et un microcontrôleur ESP32 permet-il de mesurer des variations de résistance d’un fil de fer au dixième de milliohm, avec une résolution suffisante pour quantifier le taux de corrosion en mm/an ?</w:t>
      </w:r>
    </w:p>
    <w:p>
      <w:pPr>
        <w:pStyle w:val="BodyText"/>
      </w:pPr>
      <w:r>
        <w:rPr>
          <w:rFonts w:ascii="Times New Roman" w:hAnsi="Times New Roman"/>
          <w:b/>
          <w:bCs/>
        </w:rPr>
        <w:t xml:space="preserve">QR2 :</w:t>
      </w:r>
      <w:r>
        <w:rPr>
          <w:rFonts w:ascii="Times New Roman" w:hAnsi="Times New Roman"/>
        </w:rPr>
        <w:t xml:space="preserve"> </w:t>
      </w:r>
      <w:r>
        <w:rPr>
          <w:rFonts w:ascii="Times New Roman" w:hAnsi="Times New Roman"/>
        </w:rPr>
        <w:t xml:space="preserve">Dans quelle mesure un modèle XGBoost entraîné sur des séries temporelles de résistance et de température, collectées en protocole run-to-failure, permet-il de prédire le taux de corrosion (CR) et la durée de vie résiduelle (RUL) avec une erreur inférieure à 15 % (RMSE) ?</w:t>
      </w:r>
    </w:p>
    <w:p>
      <w:pPr>
        <w:pStyle w:val="BodyText"/>
      </w:pPr>
      <w:r>
        <w:rPr>
          <w:rFonts w:ascii="Times New Roman" w:hAnsi="Times New Roman"/>
          <w:b/>
          <w:bCs/>
        </w:rPr>
        <w:t xml:space="preserve">QR3 :</w:t>
      </w:r>
      <w:r>
        <w:rPr>
          <w:rFonts w:ascii="Times New Roman" w:hAnsi="Times New Roman"/>
        </w:rPr>
        <w:t xml:space="preserve"> </w:t>
      </w:r>
      <w:r>
        <w:rPr>
          <w:rFonts w:ascii="Times New Roman" w:hAnsi="Times New Roman"/>
        </w:rPr>
        <w:t xml:space="preserve">Dans quelle mesure les sorties du modèle XGBoost permettent-elles de définir des seuils d’alerte et des recommandations de dosage d’inhibiteur de corrosion (AC PROTECT 106) qui réduisent le taux de corrosion de façon quantifiable ?</w:t>
      </w:r>
    </w:p>
    <w:bookmarkEnd w:id="22"/>
    <w:bookmarkStart w:id="25" w:name="objectifs-de-létude"/>
    <w:p>
      <w:pPr>
        <w:pStyle w:val="Heading2"/>
      </w:pPr>
      <w:r>
        <w:rPr>
          <w:rFonts w:ascii="Times New Roman" w:hAnsi="Times New Roman"/>
        </w:rPr>
        <w:t xml:space="preserve">1.4 Objectifs de l’étude</w:t>
      </w:r>
    </w:p>
    <w:bookmarkStart w:id="23" w:name="objectif-général"/>
    <w:p>
      <w:pPr>
        <w:pStyle w:val="Heading3"/>
      </w:pPr>
      <w:r>
        <w:rPr>
          <w:rFonts w:ascii="Times New Roman" w:hAnsi="Times New Roman"/>
        </w:rPr>
        <w:t xml:space="preserve">1.4.1 Objectif général</w:t>
      </w:r>
    </w:p>
    <w:p>
      <w:pPr>
        <w:pStyle w:val="FirstParagraph"/>
      </w:pPr>
      <w:r>
        <w:rPr>
          <w:rFonts w:ascii="Times New Roman" w:hAnsi="Times New Roman"/>
        </w:rPr>
        <w:t xml:space="preserve">Concevoir, développer et valider expérimentalement un système intégré de maintenance prédictive de la corrosion combinant une sonde ER low-cost à base d’ESP32 et HX711, et un modèle d’apprentissage automatique XGBoost capable de prédire le taux de corrosion et la durée de vie résiduelle d’éléments métalliques exposés à un milieu corrosif acide.</w:t>
      </w:r>
    </w:p>
    <w:bookmarkEnd w:id="23"/>
    <w:bookmarkStart w:id="24" w:name="objectifs-spécifiques"/>
    <w:p>
      <w:pPr>
        <w:pStyle w:val="Heading3"/>
      </w:pPr>
      <w:r>
        <w:rPr>
          <w:rFonts w:ascii="Times New Roman" w:hAnsi="Times New Roman"/>
        </w:rPr>
        <w:t xml:space="preserve">1.4.2 Objectifs spécifiques</w:t>
      </w:r>
    </w:p>
    <w:p>
      <w:pPr>
        <w:pStyle w:val="FirstParagraph"/>
      </w:pPr>
      <w:r>
        <w:rPr>
          <w:rFonts w:ascii="Times New Roman" w:hAnsi="Times New Roman"/>
          <w:b/>
          <w:bCs/>
        </w:rPr>
        <w:t xml:space="preserve">OS1 :</w:t>
      </w:r>
      <w:r>
        <w:rPr>
          <w:rFonts w:ascii="Times New Roman" w:hAnsi="Times New Roman"/>
        </w:rPr>
        <w:t xml:space="preserve"> </w:t>
      </w:r>
      <w:r>
        <w:rPr>
          <w:rFonts w:ascii="Times New Roman" w:hAnsi="Times New Roman"/>
        </w:rPr>
        <w:t xml:space="preserve">Concevoir et valider métrologique ment un capteur de résistance électrique (ER) low-cost basé sur un pont de Wheatstone, un amplificateur HX711 24 bits et un microcontrôleur ESP32 en deep sleep pulsé, capable de mesurer des variations de résistance d’un fil de fer à ±0,01 mΩ près dans un milieu acide concentré (Detar Plus, pH ≈ 1).</w:t>
      </w:r>
    </w:p>
    <w:p>
      <w:pPr>
        <w:pStyle w:val="BodyText"/>
      </w:pPr>
      <w:r>
        <w:rPr>
          <w:rFonts w:ascii="Times New Roman" w:hAnsi="Times New Roman"/>
          <w:b/>
          <w:bCs/>
        </w:rPr>
        <w:t xml:space="preserve">OS2 :</w:t>
      </w:r>
      <w:r>
        <w:rPr>
          <w:rFonts w:ascii="Times New Roman" w:hAnsi="Times New Roman"/>
        </w:rPr>
        <w:t xml:space="preserve"> </w:t>
      </w:r>
      <w:r>
        <w:rPr>
          <w:rFonts w:ascii="Times New Roman" w:hAnsi="Times New Roman"/>
        </w:rPr>
        <w:t xml:space="preserve">Entraîner et valider un modèle XGBoost double-sortie (taux de corrosion CR en mm/an + durée de vie résiduelle RUL en heures) à partir de données collectées en protocole run-to-failure sur quatre cycles de corrosion complets, en utilisant la validation croisée temporelle walk-forward (TimeSeriesSplit) pour éviter tout biais de fuite temporelle.</w:t>
      </w:r>
    </w:p>
    <w:p>
      <w:pPr>
        <w:pStyle w:val="BodyText"/>
      </w:pPr>
      <w:r>
        <w:rPr>
          <w:rFonts w:ascii="Times New Roman" w:hAnsi="Times New Roman"/>
          <w:b/>
          <w:bCs/>
        </w:rPr>
        <w:t xml:space="preserve">OS3 :</w:t>
      </w:r>
      <w:r>
        <w:rPr>
          <w:rFonts w:ascii="Times New Roman" w:hAnsi="Times New Roman"/>
        </w:rPr>
        <w:t xml:space="preserve"> </w:t>
      </w:r>
      <w:r>
        <w:rPr>
          <w:rFonts w:ascii="Times New Roman" w:hAnsi="Times New Roman"/>
        </w:rPr>
        <w:t xml:space="preserve">Évaluer l’effet de l’inhibiteur de corrosion AC PROTECT 106 (imidazoline, efficacité η &gt; 90 % selon fabricant) sur le taux de corrosion mesuré, et définir un système d’alertes graduées (vert / orange / rouge) avec recommandations de dosage basées sur les prédictions du modèle.</w:t>
      </w:r>
    </w:p>
    <w:bookmarkEnd w:id="24"/>
    <w:bookmarkEnd w:id="25"/>
    <w:bookmarkStart w:id="26" w:name="importance-de-létude"/>
    <w:p>
      <w:pPr>
        <w:pStyle w:val="Heading2"/>
      </w:pPr>
      <w:r>
        <w:rPr>
          <w:rFonts w:ascii="Times New Roman" w:hAnsi="Times New Roman"/>
        </w:rPr>
        <w:t xml:space="preserve">1.5 Importance de l’étude</w:t>
      </w:r>
    </w:p>
    <w:p>
      <w:pPr>
        <w:pStyle w:val="FirstParagraph"/>
      </w:pPr>
      <w:r>
        <w:rPr>
          <w:rFonts w:ascii="Times New Roman" w:hAnsi="Times New Roman"/>
          <w:b/>
          <w:bCs/>
        </w:rPr>
        <w:t xml:space="preserve">Pour la maintenance industrielle :</w:t>
      </w:r>
      <w:r>
        <w:rPr>
          <w:rFonts w:ascii="Times New Roman" w:hAnsi="Times New Roman"/>
        </w:rPr>
        <w:t xml:space="preserve"> </w:t>
      </w:r>
      <w:r>
        <w:rPr>
          <w:rFonts w:ascii="Times New Roman" w:hAnsi="Times New Roman"/>
        </w:rPr>
        <w:t xml:space="preserve">Ce travail démontre la faisabilité d’un outil de surveillance continue de la corrosion à un coût accessible (&lt; 50 000 FCFA), ouvrant la voie à un déploiement massif sur des réseaux de pipelines en contexte africain.</w:t>
      </w:r>
    </w:p>
    <w:p>
      <w:pPr>
        <w:pStyle w:val="BodyText"/>
      </w:pPr>
      <w:r>
        <w:rPr>
          <w:rFonts w:ascii="Times New Roman" w:hAnsi="Times New Roman"/>
          <w:b/>
          <w:bCs/>
        </w:rPr>
        <w:t xml:space="preserve">Pour la communauté scientifique :</w:t>
      </w:r>
      <w:r>
        <w:rPr>
          <w:rFonts w:ascii="Times New Roman" w:hAnsi="Times New Roman"/>
        </w:rPr>
        <w:t xml:space="preserve"> </w:t>
      </w:r>
      <w:r>
        <w:rPr>
          <w:rFonts w:ascii="Times New Roman" w:hAnsi="Times New Roman"/>
        </w:rPr>
        <w:t xml:space="preserve">Il constitue l’une des premières études de ML appliqué à la corrosion sur données expérimentales réelles collectées en Afrique centrale, comblant le gap géographique identifié dans la revue de littérature.</w:t>
      </w:r>
    </w:p>
    <w:p>
      <w:pPr>
        <w:pStyle w:val="BodyText"/>
      </w:pPr>
      <w:r>
        <w:rPr>
          <w:rFonts w:ascii="Times New Roman" w:hAnsi="Times New Roman"/>
          <w:b/>
          <w:bCs/>
        </w:rPr>
        <w:t xml:space="preserve">Pour COTCO et les opérateurs pétroliers camerounais :</w:t>
      </w:r>
      <w:r>
        <w:rPr>
          <w:rFonts w:ascii="Times New Roman" w:hAnsi="Times New Roman"/>
        </w:rPr>
        <w:t xml:space="preserve"> </w:t>
      </w:r>
      <w:r>
        <w:rPr>
          <w:rFonts w:ascii="Times New Roman" w:hAnsi="Times New Roman"/>
        </w:rPr>
        <w:t xml:space="preserve">Il fournit une méthodologie reproductible pour instrumenter des zones critiques du pipeline avec des capteurs low-cost, permettant de passer d’une maintenance périodique à une maintenance véritablement conditionnelle et prédictive.</w:t>
      </w:r>
    </w:p>
    <w:p>
      <w:pPr>
        <w:pStyle w:val="BodyText"/>
      </w:pPr>
      <w:r>
        <w:rPr>
          <w:rFonts w:ascii="Times New Roman" w:hAnsi="Times New Roman"/>
          <w:b/>
          <w:bCs/>
        </w:rPr>
        <w:t xml:space="preserve">Pour la formation :</w:t>
      </w:r>
      <w:r>
        <w:rPr>
          <w:rFonts w:ascii="Times New Roman" w:hAnsi="Times New Roman"/>
        </w:rPr>
        <w:t xml:space="preserve"> </w:t>
      </w:r>
      <w:r>
        <w:rPr>
          <w:rFonts w:ascii="Times New Roman" w:hAnsi="Times New Roman"/>
        </w:rPr>
        <w:t xml:space="preserve">Ce travail s’inscrit dans la mission de l’ENSPD de former des ingénieurs capables d’apporter des solutions technologiques adaptées aux contextes africains, en mobilisant des outils numériques avancés (IoT, ML) à partir de composants accessibles.</w:t>
      </w:r>
    </w:p>
    <w:p>
      <w:pPr>
        <w:pStyle w:val="BodyText"/>
      </w:pPr>
      <w:r>
        <w:rPr>
          <w:rFonts w:ascii="Times New Roman" w:hAnsi="Times New Roman"/>
          <w:b/>
          <w:bCs/>
        </w:rPr>
        <w:t xml:space="preserve">Pour l’environnement :</w:t>
      </w:r>
      <w:r>
        <w:rPr>
          <w:rFonts w:ascii="Times New Roman" w:hAnsi="Times New Roman"/>
        </w:rPr>
        <w:t xml:space="preserve"> </w:t>
      </w:r>
      <w:r>
        <w:rPr>
          <w:rFonts w:ascii="Times New Roman" w:hAnsi="Times New Roman"/>
        </w:rPr>
        <w:t xml:space="preserve">La prévention des ruptures de pipeline par prédiction précoce de la dégradation réduit le risque de déversements d’hydrocarbures aux conséquences écologiques potentiellement irréversibles.</w:t>
      </w:r>
    </w:p>
    <w:bookmarkEnd w:id="26"/>
    <w:bookmarkStart w:id="27" w:name="délimitation-de-létude"/>
    <w:p>
      <w:pPr>
        <w:pStyle w:val="Heading2"/>
      </w:pPr>
      <w:r>
        <w:rPr>
          <w:rFonts w:ascii="Times New Roman" w:hAnsi="Times New Roman"/>
        </w:rPr>
        <w:t xml:space="preserve">1.6 Délimitation de l’étude</w:t>
      </w:r>
    </w:p>
    <w:p>
      <w:pPr>
        <w:pStyle w:val="FirstParagraph"/>
      </w:pPr>
      <w:r>
        <w:rPr>
          <w:rFonts w:ascii="Times New Roman" w:hAnsi="Times New Roman"/>
        </w:rPr>
        <w:t xml:space="preserve">Ce travail est délimité selon trois dimensions :</w:t>
      </w:r>
    </w:p>
    <w:p>
      <w:pPr>
        <w:pStyle w:val="BodyText"/>
      </w:pPr>
      <w:r>
        <w:rPr>
          <w:rFonts w:ascii="Times New Roman" w:hAnsi="Times New Roman"/>
          <w:b/>
          <w:bCs/>
        </w:rPr>
        <w:t xml:space="preserve">Délimitation géographique :</w:t>
      </w:r>
      <w:r>
        <w:rPr>
          <w:rFonts w:ascii="Times New Roman" w:hAnsi="Times New Roman"/>
        </w:rPr>
        <w:t xml:space="preserve"> </w:t>
      </w:r>
      <w:r>
        <w:rPr>
          <w:rFonts w:ascii="Times New Roman" w:hAnsi="Times New Roman"/>
        </w:rPr>
        <w:t xml:space="preserve">Le prototype est développé et validé en conditions de laboratoire à Douala. Les données expérimentales sont générées dans un environnement contrôlé reproduisant des conditions corrosives acides. La projection vers les conditions COTCO constitue une perspective mais n’est pas validée dans le périmètre de ce mémoire.</w:t>
      </w:r>
    </w:p>
    <w:p>
      <w:pPr>
        <w:pStyle w:val="BodyText"/>
      </w:pPr>
      <w:r>
        <w:rPr>
          <w:rFonts w:ascii="Times New Roman" w:hAnsi="Times New Roman"/>
          <w:b/>
          <w:bCs/>
        </w:rPr>
        <w:t xml:space="preserve">Délimitation matérielle :</w:t>
      </w:r>
      <w:r>
        <w:rPr>
          <w:rFonts w:ascii="Times New Roman" w:hAnsi="Times New Roman"/>
        </w:rPr>
        <w:t xml:space="preserve"> </w:t>
      </w:r>
      <w:r>
        <w:rPr>
          <w:rFonts w:ascii="Times New Roman" w:hAnsi="Times New Roman"/>
        </w:rPr>
        <w:t xml:space="preserve">Le système couvre la corrosion généralisée (uniforme) d’un fil de fer en milieu acide fort. Les mécanismes de corrosion localisée (piqûres), de corrosion sous contrainte (SCC) et de corrosion microbienne (MIC) sont hors périmètre, de même que les mesures d’épaisseur de paroi par ultrasons (UT).</w:t>
      </w:r>
    </w:p>
    <w:p>
      <w:pPr>
        <w:pStyle w:val="BodyText"/>
      </w:pPr>
      <w:r>
        <w:rPr>
          <w:rFonts w:ascii="Times New Roman" w:hAnsi="Times New Roman"/>
          <w:b/>
          <w:bCs/>
        </w:rPr>
        <w:t xml:space="preserve">Délimitation temporelle :</w:t>
      </w:r>
      <w:r>
        <w:rPr>
          <w:rFonts w:ascii="Times New Roman" w:hAnsi="Times New Roman"/>
        </w:rPr>
        <w:t xml:space="preserve"> </w:t>
      </w:r>
      <w:r>
        <w:rPr>
          <w:rFonts w:ascii="Times New Roman" w:hAnsi="Times New Roman"/>
        </w:rPr>
        <w:t xml:space="preserve">Quatre runs expérimentaux run-to-failure constituent le jeu de données. La validation en conditions réelles sur site COTCO est prévue lors du stage en entreprise mais ses résultats ne sont pas intégrés dans ce document.</w:t>
      </w:r>
    </w:p>
    <w:bookmarkEnd w:id="27"/>
    <w:bookmarkStart w:id="28" w:name="organisation-du-mémoire"/>
    <w:p>
      <w:pPr>
        <w:pStyle w:val="Heading2"/>
      </w:pPr>
      <w:r>
        <w:rPr>
          <w:rFonts w:ascii="Times New Roman" w:hAnsi="Times New Roman"/>
        </w:rPr>
        <w:t xml:space="preserve">1.7 Organisation du mémoire</w:t>
      </w:r>
    </w:p>
    <w:p>
      <w:pPr>
        <w:pStyle w:val="FirstParagraph"/>
      </w:pPr>
      <w:r>
        <w:rPr>
          <w:rFonts w:ascii="Times New Roman" w:hAnsi="Times New Roman"/>
        </w:rPr>
        <w:t xml:space="preserve">Ce mémoire est organisé en cinq chapitres :</w:t>
      </w:r>
    </w:p>
    <w:p>
      <w:pPr>
        <w:pStyle w:val="BodyText"/>
      </w:pPr>
      <w:r>
        <w:rPr>
          <w:rFonts w:ascii="Times New Roman" w:hAnsi="Times New Roman"/>
          <w:b/>
          <w:bCs/>
        </w:rPr>
        <w:t xml:space="preserve">Chapitre 1 — Introduction générale :</w:t>
      </w:r>
      <w:r>
        <w:rPr>
          <w:rFonts w:ascii="Times New Roman" w:hAnsi="Times New Roman"/>
        </w:rPr>
        <w:t xml:space="preserve"> </w:t>
      </w:r>
      <w:r>
        <w:rPr>
          <w:rFonts w:ascii="Times New Roman" w:hAnsi="Times New Roman"/>
        </w:rPr>
        <w:t xml:space="preserve">Contexte, problématique, questions de recherche, objectifs et importance de l’étude.</w:t>
      </w:r>
    </w:p>
    <w:p>
      <w:pPr>
        <w:pStyle w:val="BodyText"/>
      </w:pPr>
      <w:r>
        <w:rPr>
          <w:rFonts w:ascii="Times New Roman" w:hAnsi="Times New Roman"/>
          <w:b/>
          <w:bCs/>
        </w:rPr>
        <w:t xml:space="preserve">Chapitre 2 — Revue de littérature :</w:t>
      </w:r>
      <w:r>
        <w:rPr>
          <w:rFonts w:ascii="Times New Roman" w:hAnsi="Times New Roman"/>
        </w:rPr>
        <w:t xml:space="preserve"> </w:t>
      </w:r>
      <w:r>
        <w:rPr>
          <w:rFonts w:ascii="Times New Roman" w:hAnsi="Times New Roman"/>
        </w:rPr>
        <w:t xml:space="preserve">État de l’art sur les mécanismes de corrosion, les méthodes de surveillance (ER, LPR, coupons), les inhibiteurs de corrosion, les modèles prédictifs (classiques et ML), et les systèmes IoT appliqués à la maintenance.</w:t>
      </w:r>
    </w:p>
    <w:p>
      <w:pPr>
        <w:pStyle w:val="BodyText"/>
      </w:pPr>
      <w:r>
        <w:rPr>
          <w:rFonts w:ascii="Times New Roman" w:hAnsi="Times New Roman"/>
          <w:b/>
          <w:bCs/>
        </w:rPr>
        <w:t xml:space="preserve">Chapitre 3 — Cadre de l’étude et démarche méthodologique :</w:t>
      </w:r>
      <w:r>
        <w:rPr>
          <w:rFonts w:ascii="Times New Roman" w:hAnsi="Times New Roman"/>
        </w:rPr>
        <w:t xml:space="preserve"> </w:t>
      </w:r>
      <w:r>
        <w:rPr>
          <w:rFonts w:ascii="Times New Roman" w:hAnsi="Times New Roman"/>
        </w:rPr>
        <w:t xml:space="preserve">Description du protocole expérimental, de l’architecture matérielle et logicielle du système, des méthodes d’acquisition et de traitement des données, et du protocole d’entraînement du modèle XGBoost.</w:t>
      </w:r>
    </w:p>
    <w:p>
      <w:pPr>
        <w:pStyle w:val="BodyText"/>
      </w:pPr>
      <w:r>
        <w:rPr>
          <w:rFonts w:ascii="Times New Roman" w:hAnsi="Times New Roman"/>
          <w:b/>
          <w:bCs/>
        </w:rPr>
        <w:t xml:space="preserve">Chapitre 4 — Résultats et interprétations :</w:t>
      </w:r>
      <w:r>
        <w:rPr>
          <w:rFonts w:ascii="Times New Roman" w:hAnsi="Times New Roman"/>
        </w:rPr>
        <w:t xml:space="preserve"> </w:t>
      </w:r>
      <w:r>
        <w:rPr>
          <w:rFonts w:ascii="Times New Roman" w:hAnsi="Times New Roman"/>
        </w:rPr>
        <w:t xml:space="preserve">Présentation des résultats expérimentaux, des métriques de performance du modèle ML, de l’analyse SHAP des variables d’influence, et de l’évaluation du système d’alertes.</w:t>
      </w:r>
    </w:p>
    <w:p>
      <w:pPr>
        <w:pStyle w:val="BodyText"/>
      </w:pPr>
      <w:r>
        <w:rPr>
          <w:rFonts w:ascii="Times New Roman" w:hAnsi="Times New Roman"/>
          <w:b/>
          <w:bCs/>
        </w:rPr>
        <w:t xml:space="preserve">Chapitre 5 — Discussion, conclusion et recommandations :</w:t>
      </w:r>
      <w:r>
        <w:rPr>
          <w:rFonts w:ascii="Times New Roman" w:hAnsi="Times New Roman"/>
        </w:rPr>
        <w:t xml:space="preserve"> </w:t>
      </w:r>
      <w:r>
        <w:rPr>
          <w:rFonts w:ascii="Times New Roman" w:hAnsi="Times New Roman"/>
        </w:rPr>
        <w:t xml:space="preserve">Interprétation critique des résultats, confrontation avec la littérature, limites du travail, et perspectives de déploiement industriel.</w:t>
      </w:r>
    </w:p>
    <w:bookmarkEnd w:id="28"/>
    <w:bookmarkEnd w:id="29"/>
    <w:bookmarkStart w:id="30" w:name="chapitre-2-revue-de-littérature"/>
    <w:p>
      <w:pPr>
        <w:pStyle w:val="Heading1"/>
      </w:pPr>
      <w:r>
        <w:rPr>
          <w:rFonts w:ascii="Times New Roman" w:hAnsi="Times New Roman"/>
        </w:rPr>
        <w:t xml:space="preserve">CHAPITRE 2 : REVUE DE LITTÉRATURE</w:t>
      </w:r>
    </w:p>
    <w:bookmarkEnd w:id="30"/>
    <w:bookmarkStart w:id="53" w:name="Xc77684756d46953025fdda9b3e47f3bfaa7aa7c"/>
    <w:p>
      <w:pPr>
        <w:pStyle w:val="Heading1"/>
      </w:pPr>
      <w:r>
        <w:rPr>
          <w:rFonts w:ascii="Times New Roman" w:hAnsi="Times New Roman"/>
        </w:rPr>
        <w:t xml:space="preserve">PARTIE 1 — LA CORROSION : PHÉNOMÈNE, ENJEUX ET RÉPONSES INDUSTRIELLES</w:t>
      </w:r>
    </w:p>
    <w:bookmarkStart w:id="35" w:name="mécanismes-électrochimiques-fondamentaux"/>
    <w:p>
      <w:pPr>
        <w:pStyle w:val="Heading2"/>
      </w:pPr>
      <w:r>
        <w:rPr>
          <w:rFonts w:ascii="Times New Roman" w:hAnsi="Times New Roman"/>
        </w:rPr>
        <w:t xml:space="preserve">1.1 Mécanismes électrochimiques fondamentaux</w:t>
      </w:r>
    </w:p>
    <w:p>
      <w:pPr>
        <w:pStyle w:val="FirstParagraph"/>
      </w:pPr>
      <w:r>
        <w:rPr>
          <w:rFonts w:ascii="Times New Roman" w:hAnsi="Times New Roman"/>
        </w:rPr>
        <w:t xml:space="preserve">La corrosion des métaux est un phénomène naturel et irréversible par lequel un matériau métallique tend à retourner à son état thermodynamiquement stable, c’est-à-dire à l’état oxydé sous lequel il se trouve naturellement dans la croûte terrestre. Le fer, par exemple, existe à l’état naturel sous forme d’hématite (Fe₂O₃) ou de magnétite (Fe₃O₄). La transformation de ce minerai en acier par métallurgie constitue un apport d’énergie que la corrosion vient progressivement dissiper.</w:t>
      </w:r>
    </w:p>
    <w:p>
      <w:pPr>
        <w:pStyle w:val="BodyText"/>
      </w:pPr>
      <w:r>
        <w:rPr>
          <w:rFonts w:ascii="Times New Roman" w:hAnsi="Times New Roman"/>
        </w:rPr>
        <w:t xml:space="preserve">La définition normative de référence est celle de la norme ISO 8044 : « la corrosion est une interaction physico-chimique entre un métal et son environnement qui entraîne des modifications des propriétés du métal et qui peut conduire à une dégradation significative de la fonction du métal, de l’environnement ou du système technique dont ils font partie. »</w:t>
      </w:r>
    </w:p>
    <w:bookmarkStart w:id="31" w:name="nature-électrochimique-de-la-corrosion"/>
    <w:p>
      <w:pPr>
        <w:pStyle w:val="Heading3"/>
      </w:pPr>
      <w:r>
        <w:rPr>
          <w:rFonts w:ascii="Times New Roman" w:hAnsi="Times New Roman"/>
        </w:rPr>
        <w:t xml:space="preserve">1.1.1 Nature électrochimique de la corrosion</w:t>
      </w:r>
    </w:p>
    <w:p>
      <w:pPr>
        <w:pStyle w:val="FirstParagraph"/>
      </w:pPr>
      <w:r>
        <w:rPr>
          <w:rFonts w:ascii="Times New Roman" w:hAnsi="Times New Roman"/>
        </w:rPr>
        <w:t xml:space="preserve">Dans un milieu électrolytique (solution aqueuse, sol humide, condensat), la corrosion procède par un mécanisme de pile galvanique dans lequel deux réactions électrochimiques couplées se produisent simultanément à la surface du métal.</w:t>
      </w:r>
    </w:p>
    <w:p>
      <w:pPr>
        <w:pStyle w:val="BodyText"/>
      </w:pPr>
      <w:r>
        <w:rPr>
          <w:rFonts w:ascii="Times New Roman" w:hAnsi="Times New Roman"/>
        </w:rPr>
        <w:t xml:space="preserve">Réaction anodique — oxydation (dissolution du métal) :</w:t>
      </w:r>
    </w:p>
    <w:p>
      <w:pPr>
        <w:pStyle w:val="BlockText"/>
      </w:pPr>
      <w:r>
        <w:rPr>
          <w:rStyle w:val="VerbatimChar"/>
          <w:rFonts w:ascii="Times New Roman" w:hAnsi="Times New Roman"/>
        </w:rPr>
        <w:t xml:space="preserve">Fe  →  Fe²⁺  +  2e⁻</w:t>
      </w:r>
    </w:p>
    <w:p>
      <w:pPr>
        <w:pStyle w:val="FirstParagraph"/>
      </w:pPr>
      <w:r>
        <w:rPr>
          <w:rFonts w:ascii="Times New Roman" w:hAnsi="Times New Roman"/>
        </w:rPr>
        <w:t xml:space="preserve">Le métal cède des électrons et des ions métalliques passent en solution. C’est la zone anodique qui se corrode.</w:t>
      </w:r>
    </w:p>
    <w:p>
      <w:pPr>
        <w:pStyle w:val="BodyText"/>
      </w:pPr>
      <w:r>
        <w:rPr>
          <w:rFonts w:ascii="Times New Roman" w:hAnsi="Times New Roman"/>
        </w:rPr>
        <w:t xml:space="preserve">Réaction cathodique — réduction (consommation des électrons) :</w:t>
      </w:r>
    </w:p>
    <w:p>
      <w:pPr>
        <w:pStyle w:val="BodyText"/>
      </w:pPr>
      <w:r>
        <w:rPr>
          <w:rFonts w:ascii="Times New Roman" w:hAnsi="Times New Roman"/>
        </w:rPr>
        <w:t xml:space="preserve">En milieu acide (pH &lt; 4), réduction des protons :</w:t>
      </w:r>
    </w:p>
    <w:p>
      <w:pPr>
        <w:pStyle w:val="BlockText"/>
      </w:pPr>
      <w:r>
        <w:rPr>
          <w:rStyle w:val="VerbatimChar"/>
          <w:rFonts w:ascii="Times New Roman" w:hAnsi="Times New Roman"/>
        </w:rPr>
        <w:t xml:space="preserve">2H⁺  +  2e⁻  →  H₂ ↑</w:t>
      </w:r>
    </w:p>
    <w:p>
      <w:pPr>
        <w:pStyle w:val="FirstParagraph"/>
      </w:pPr>
      <w:r>
        <w:rPr>
          <w:rFonts w:ascii="Times New Roman" w:hAnsi="Times New Roman"/>
        </w:rPr>
        <w:t xml:space="preserve">En milieu neutre ou légèrement acide, réduction de l’oxygène dissous :</w:t>
      </w:r>
    </w:p>
    <w:p>
      <w:pPr>
        <w:pStyle w:val="BlockText"/>
      </w:pPr>
      <w:r>
        <w:rPr>
          <w:rStyle w:val="VerbatimChar"/>
          <w:rFonts w:ascii="Times New Roman" w:hAnsi="Times New Roman"/>
        </w:rPr>
        <w:t xml:space="preserve">O₂  +  2H₂O  +  4e⁻  →  4OH⁻</w:t>
      </w:r>
    </w:p>
    <w:p>
      <w:pPr>
        <w:pStyle w:val="FirstParagraph"/>
      </w:pPr>
      <w:r>
        <w:rPr>
          <w:rFonts w:ascii="Times New Roman" w:hAnsi="Times New Roman"/>
        </w:rPr>
        <w:t xml:space="preserve">Ces deux réactions ne peuvent pas exister l’une sans l’autre : les électrons produits à l’anode doivent obligatoirement être consommés à la cathode. C’est ce couplage qui définit la densité de courant de corrosion (i_corr), paramètre central de toute quantification.</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Dans le prototype de laboratoire, l’environnement acide (Detar Plus — détartrant professionnel à base d’acide phosphorique et d’acide chlorhydrique, pH ≈ 0,5–1,5) active simultanément ces deux réactions sur le fil de fer de la sonde ER, avec une cinétique fortement accélérée par rapport aux milieux industriels.</w:t>
      </w:r>
    </w:p>
    <w:bookmarkEnd w:id="31"/>
    <w:bookmarkStart w:id="32" w:name="Xa68e05b3b596299f227fe7271239d80e12ad0b0"/>
    <w:p>
      <w:pPr>
        <w:pStyle w:val="Heading3"/>
      </w:pPr>
      <w:r>
        <w:rPr>
          <w:rFonts w:ascii="Times New Roman" w:hAnsi="Times New Roman"/>
        </w:rPr>
        <w:t xml:space="preserve">1.1.2 Loi de Faraday — lien entre courant et perte de matière</w:t>
      </w:r>
    </w:p>
    <w:p>
      <w:pPr>
        <w:pStyle w:val="FirstParagraph"/>
      </w:pPr>
      <w:r>
        <w:rPr>
          <w:rFonts w:ascii="Times New Roman" w:hAnsi="Times New Roman"/>
        </w:rPr>
        <w:t xml:space="preserve">La loi de Faraday (1834) établit la relation quantitative entre le courant électrique échangé et la masse de métal dissous. Elle constitue le fondement théorique de toutes les méthodes de mesure électrochimiques présentées au Chapitre 2 :</w:t>
      </w:r>
    </w:p>
    <w:p>
      <w:pPr>
        <w:pStyle w:val="BodyText"/>
      </w:pPr>
      <m:oMathPara>
        <m:oMathParaPr>
          <m:jc m:val="center"/>
        </m:oMathParaPr>
        <m:oMath>
          <m:r>
            <m:t>m</m:t>
          </m:r>
          <m:r>
            <m:rPr>
              <m:sty m:val="p"/>
            </m:rPr>
            <m:t>=</m:t>
          </m:r>
          <m:f>
            <m:fPr>
              <m:type m:val="bar"/>
            </m:fPr>
            <m:num>
              <m:r>
                <m:t>M</m:t>
              </m:r>
              <m:r>
                <m:rPr>
                  <m:sty m:val="p"/>
                </m:rPr>
                <m:t>⋅</m:t>
              </m:r>
              <m:r>
                <m:t>I</m:t>
              </m:r>
              <m:r>
                <m:rPr>
                  <m:sty m:val="p"/>
                </m:rPr>
                <m:t>⋅</m:t>
              </m:r>
              <m:r>
                <m:t>t</m:t>
              </m:r>
            </m:num>
            <m:den>
              <m:r>
                <m:t>n</m:t>
              </m:r>
              <m:r>
                <m:rPr>
                  <m:sty m:val="p"/>
                </m:rPr>
                <m:t>⋅</m:t>
              </m:r>
              <m:r>
                <m:t>F</m:t>
              </m:r>
            </m:den>
          </m:f>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m</w:t>
      </w:r>
      <w:r>
        <w:rPr>
          <w:rFonts w:ascii="Times New Roman" w:hAnsi="Times New Roman"/>
        </w:rPr>
        <w:t xml:space="preserve"> </w:t>
      </w:r>
      <w:r>
        <w:rPr>
          <w:rFonts w:ascii="Times New Roman" w:hAnsi="Times New Roman"/>
        </w:rPr>
        <w:t xml:space="preserve">= masse de métal dissous (g)</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M</w:t>
      </w:r>
      <w:r>
        <w:rPr>
          <w:rFonts w:ascii="Times New Roman" w:hAnsi="Times New Roman"/>
        </w:rPr>
        <w:t xml:space="preserve"> </w:t>
      </w:r>
      <w:r>
        <w:rPr>
          <w:rFonts w:ascii="Times New Roman" w:hAnsi="Times New Roman"/>
        </w:rPr>
        <w:t xml:space="preserve">= masse molaire du métal — fer : 55,85 g/mol</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I</w:t>
      </w:r>
      <w:r>
        <w:rPr>
          <w:rFonts w:ascii="Times New Roman" w:hAnsi="Times New Roman"/>
        </w:rPr>
        <w:t xml:space="preserve"> </w:t>
      </w:r>
      <w:r>
        <w:rPr>
          <w:rFonts w:ascii="Times New Roman" w:hAnsi="Times New Roman"/>
        </w:rPr>
        <w:t xml:space="preserve">= courant de corrosion (A)</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w:t>
      </w:r>
      <w:r>
        <w:rPr>
          <w:rFonts w:ascii="Times New Roman" w:hAnsi="Times New Roman"/>
        </w:rPr>
        <w:t xml:space="preserve"> </w:t>
      </w:r>
      <w:r>
        <w:rPr>
          <w:rFonts w:ascii="Times New Roman" w:hAnsi="Times New Roman"/>
        </w:rPr>
        <w:t xml:space="preserve">= durée d’exposition (s)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n</w:t>
      </w:r>
      <w:r>
        <w:rPr>
          <w:rFonts w:ascii="Times New Roman" w:hAnsi="Times New Roman"/>
        </w:rPr>
        <w:t xml:space="preserve"> </w:t>
      </w:r>
      <w:r>
        <w:rPr>
          <w:rFonts w:ascii="Times New Roman" w:hAnsi="Times New Roman"/>
        </w:rPr>
        <w:t xml:space="preserve">= nombre d’électrons échangés — 2 pour Fe → Fe²⁺</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F</w:t>
      </w:r>
      <w:r>
        <w:rPr>
          <w:rFonts w:ascii="Times New Roman" w:hAnsi="Times New Roman"/>
        </w:rPr>
        <w:t xml:space="preserve"> </w:t>
      </w:r>
      <w:r>
        <w:rPr>
          <w:rFonts w:ascii="Times New Roman" w:hAnsi="Times New Roman"/>
        </w:rPr>
        <w:t xml:space="preserve">= constante de Faraday = 96 485 C/mol</w:t>
      </w:r>
    </w:p>
    <w:p>
      <w:pPr>
        <w:pStyle w:val="BodyText"/>
      </w:pPr>
      <w:r>
        <w:rPr>
          <w:rFonts w:ascii="Times New Roman" w:hAnsi="Times New Roman"/>
        </w:rPr>
        <w:t xml:space="preserve">Le taux de corrosion (CR — Corrosion Rate), exprimé en mm/an conformément à la norme ASTM G1, est calculé à partir de la perte de masse par unité de surface et de temps :</w:t>
      </w:r>
    </w:p>
    <w:p>
      <w:pPr>
        <w:pStyle w:val="BodyText"/>
      </w:pPr>
      <m:oMathPara>
        <m:oMathParaPr>
          <m:jc m:val="center"/>
        </m:oMathParaPr>
        <m:oMath>
          <m:r>
            <m:t>C</m:t>
          </m:r>
          <m:r>
            <m:t>R</m:t>
          </m:r>
          <m:r>
            <m:t> </m:t>
          </m:r>
          <m:r>
            <m:rPr>
              <m:sty m:val="p"/>
            </m:rPr>
            <m:t>(</m:t>
          </m:r>
          <m:r>
            <m:t>m</m:t>
          </m:r>
          <m:r>
            <m:t>m</m:t>
          </m:r>
          <m:r>
            <m:rPr>
              <m:sty m:val="p"/>
            </m:rPr>
            <m:t>/</m:t>
          </m:r>
          <m:r>
            <m:t>a</m:t>
          </m:r>
          <m:r>
            <m:t>n</m:t>
          </m:r>
          <m:r>
            <m:rPr>
              <m:sty m:val="p"/>
            </m:rPr>
            <m:t>)</m:t>
          </m:r>
          <m:r>
            <m:rPr>
              <m:sty m:val="p"/>
            </m:rPr>
            <m:t>=</m:t>
          </m:r>
          <m:f>
            <m:fPr>
              <m:type m:val="bar"/>
            </m:fPr>
            <m:num>
              <m:r>
                <m:t>87</m:t>
              </m:r>
              <m:r>
                <m:rPr>
                  <m:sty m:val="p"/>
                </m:rPr>
                <m:t>,</m:t>
              </m:r>
              <m:r>
                <m:t>6</m:t>
              </m:r>
              <m:r>
                <m:rPr>
                  <m:sty m:val="p"/>
                </m:rPr>
                <m:t>⋅</m:t>
              </m:r>
              <m:r>
                <m:rPr>
                  <m:sty m:val="p"/>
                </m:rPr>
                <m:t>Δ</m:t>
              </m:r>
              <m:r>
                <m:t>m</m:t>
              </m:r>
            </m:num>
            <m:den>
              <m:r>
                <m:t>ρ</m:t>
              </m:r>
              <m:r>
                <m:rPr>
                  <m:sty m:val="p"/>
                </m:rPr>
                <m:t>⋅</m:t>
              </m:r>
              <m:r>
                <m:t>A</m:t>
              </m:r>
              <m:r>
                <m:rPr>
                  <m:sty m:val="p"/>
                </m:rPr>
                <m:t>⋅</m:t>
              </m:r>
              <m:r>
                <m:t>t</m:t>
              </m:r>
            </m:den>
          </m:f>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Δm</w:t>
      </w:r>
      <w:r>
        <w:rPr>
          <w:rFonts w:ascii="Times New Roman" w:hAnsi="Times New Roman"/>
        </w:rPr>
        <w:t xml:space="preserve"> </w:t>
      </w:r>
      <w:r>
        <w:rPr>
          <w:rFonts w:ascii="Times New Roman" w:hAnsi="Times New Roman"/>
        </w:rPr>
        <w:t xml:space="preserve">= perte de masse (mg)</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ρ</w:t>
      </w:r>
      <w:r>
        <w:rPr>
          <w:rFonts w:ascii="Times New Roman" w:hAnsi="Times New Roman"/>
        </w:rPr>
        <w:t xml:space="preserve"> </w:t>
      </w:r>
      <w:r>
        <w:rPr>
          <w:rFonts w:ascii="Times New Roman" w:hAnsi="Times New Roman"/>
        </w:rPr>
        <w:t xml:space="preserve">= densité du métal (g/cm³) — acier : 7,87 g/cm³</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A</w:t>
      </w:r>
      <w:r>
        <w:rPr>
          <w:rFonts w:ascii="Times New Roman" w:hAnsi="Times New Roman"/>
        </w:rPr>
        <w:t xml:space="preserve"> </w:t>
      </w:r>
      <w:r>
        <w:rPr>
          <w:rFonts w:ascii="Times New Roman" w:hAnsi="Times New Roman"/>
        </w:rPr>
        <w:t xml:space="preserve">= aire exposée (cm²)</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w:t>
      </w:r>
      <w:r>
        <w:rPr>
          <w:rFonts w:ascii="Times New Roman" w:hAnsi="Times New Roman"/>
        </w:rPr>
        <w:t xml:space="preserve"> </w:t>
      </w:r>
      <w:r>
        <w:rPr>
          <w:rFonts w:ascii="Times New Roman" w:hAnsi="Times New Roman"/>
        </w:rPr>
        <w:t xml:space="preserve">= durée d’exposition (heures)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87,6</w:t>
      </w:r>
      <w:r>
        <w:rPr>
          <w:rFonts w:ascii="Times New Roman" w:hAnsi="Times New Roman"/>
        </w:rPr>
        <w:t xml:space="preserve"> </w:t>
      </w:r>
      <w:r>
        <w:rPr>
          <w:rFonts w:ascii="Times New Roman" w:hAnsi="Times New Roman"/>
        </w:rPr>
        <w:t xml:space="preserve">= facteur de conversion dimensionnelle (ASTM G1)</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Cette formule est la référence industrielle universelle. Elle sera utilisée dans ce travail pour convertir les variations de résistance électrique mesurées par la sonde ER en taux de corrosion exprimés en mm/an — variable cible du modèle XGBoost.</w:t>
      </w:r>
    </w:p>
    <w:bookmarkEnd w:id="32"/>
    <w:bookmarkStart w:id="33" w:name="X78d5383f0f8a020ed9973b338056dc3cb60e15e"/>
    <w:p>
      <w:pPr>
        <w:pStyle w:val="Heading3"/>
      </w:pPr>
      <w:r>
        <w:rPr>
          <w:rFonts w:ascii="Times New Roman" w:hAnsi="Times New Roman"/>
        </w:rPr>
        <w:t xml:space="preserve">1.1.3 Potentiel de corrosion et diagrammes de Pourbaix</w:t>
      </w:r>
    </w:p>
    <w:p>
      <w:pPr>
        <w:pStyle w:val="FirstParagraph"/>
      </w:pPr>
      <w:r>
        <w:rPr>
          <w:rFonts w:ascii="Times New Roman" w:hAnsi="Times New Roman"/>
        </w:rPr>
        <w:t xml:space="preserve">Tout métal immergé dans un électrolyte adopte spontanément un potentiel mixte (E_corr), dit potentiel de corrosion, résultant de l’équilibre cinétique entre la dissolution anodique et la réduction cathodique. Les diagrammes de Pourbaix (potentiel E en fonction du pH) délimitent les domaines de stabilité thermodynamique d’un métal dans un environnement aqueux en trois zones :</w:t>
      </w:r>
    </w:p>
    <w:p>
      <w:pPr>
        <w:pStyle w:val="Compact"/>
        <w:numPr>
          <w:ilvl w:val="0"/>
          <w:numId w:val="1003"/>
        </w:numPr>
      </w:pPr>
      <w:r>
        <w:rPr>
          <w:rFonts w:ascii="Times New Roman" w:hAnsi="Times New Roman"/>
          <w:b/>
          <w:bCs/>
        </w:rPr>
        <w:t xml:space="preserve">Zone de corrosion</w:t>
      </w:r>
      <w:r>
        <w:rPr>
          <w:rFonts w:ascii="Times New Roman" w:hAnsi="Times New Roman"/>
        </w:rPr>
        <w:t xml:space="preserve"> </w:t>
      </w:r>
      <w:r>
        <w:rPr>
          <w:rFonts w:ascii="Times New Roman" w:hAnsi="Times New Roman"/>
        </w:rPr>
        <w:t xml:space="preserve">: les ions métalliques (Fe²⁺, Fe³⁺) sont stables en solution — le métal se dissout</w:t>
      </w:r>
    </w:p>
    <w:p>
      <w:pPr>
        <w:pStyle w:val="Compact"/>
        <w:numPr>
          <w:ilvl w:val="0"/>
          <w:numId w:val="1003"/>
        </w:numPr>
      </w:pPr>
      <w:r>
        <w:rPr>
          <w:rFonts w:ascii="Times New Roman" w:hAnsi="Times New Roman"/>
          <w:b/>
          <w:bCs/>
        </w:rPr>
        <w:t xml:space="preserve">Zone de passivité</w:t>
      </w:r>
      <w:r>
        <w:rPr>
          <w:rFonts w:ascii="Times New Roman" w:hAnsi="Times New Roman"/>
        </w:rPr>
        <w:t xml:space="preserve"> </w:t>
      </w:r>
      <w:r>
        <w:rPr>
          <w:rFonts w:ascii="Times New Roman" w:hAnsi="Times New Roman"/>
        </w:rPr>
        <w:t xml:space="preserve">: un film d’oxyde protecteur (Fe₂O₃) se forme et ralentit la corrosion</w:t>
      </w:r>
    </w:p>
    <w:p>
      <w:pPr>
        <w:pStyle w:val="Compact"/>
        <w:numPr>
          <w:ilvl w:val="0"/>
          <w:numId w:val="1003"/>
        </w:numPr>
      </w:pPr>
      <w:r>
        <w:rPr>
          <w:rFonts w:ascii="Times New Roman" w:hAnsi="Times New Roman"/>
          <w:b/>
          <w:bCs/>
        </w:rPr>
        <w:t xml:space="preserve">Zone d’immunité</w:t>
      </w:r>
      <w:r>
        <w:rPr>
          <w:rFonts w:ascii="Times New Roman" w:hAnsi="Times New Roman"/>
        </w:rPr>
        <w:t xml:space="preserve"> </w:t>
      </w:r>
      <w:r>
        <w:rPr>
          <w:rFonts w:ascii="Times New Roman" w:hAnsi="Times New Roman"/>
        </w:rPr>
        <w:t xml:space="preserve">: le métal est thermodynamiquement stable — aucune corrosion</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Dans le prototype, l’environnement fortement acide du Detar Plus (pH ≈ 0,5–1,5) place le fil de fer dans la zone de corrosion active du diagramme de Pourbaix — ce qui garantit une dissolution rapide et mesurable sur la durée de chaque run expérimental (24–72 heures selon les conditions).</w:t>
      </w:r>
    </w:p>
    <w:bookmarkEnd w:id="33"/>
    <w:bookmarkStart w:id="34" w:name="Xc283a94131790a6df4047b23179a59ce17d7da4"/>
    <w:p>
      <w:pPr>
        <w:pStyle w:val="Heading3"/>
      </w:pPr>
      <w:r>
        <w:rPr>
          <w:rFonts w:ascii="Times New Roman" w:hAnsi="Times New Roman"/>
        </w:rPr>
        <w:t xml:space="preserve">1.1.4 Cinétique de corrosion — équation de Butler-Volmer</w:t>
      </w:r>
    </w:p>
    <w:p>
      <w:pPr>
        <w:pStyle w:val="FirstParagraph"/>
      </w:pPr>
      <w:r>
        <w:rPr>
          <w:rFonts w:ascii="Times New Roman" w:hAnsi="Times New Roman"/>
        </w:rPr>
        <w:t xml:space="preserve">La vitesse réelle de corrosion ne dépend pas seulement de la thermodynamique (diagramme de Pourbaix) mais aussi de la cinétique électrochimique, décrite par l’équation de Butler-Volmer :</w:t>
      </w:r>
    </w:p>
    <w:p>
      <w:pPr>
        <w:pStyle w:val="BodyText"/>
      </w:pPr>
      <m:oMathPara>
        <m:oMathParaPr>
          <m:jc m:val="center"/>
        </m:oMathParaPr>
        <m:oMath>
          <m:r>
            <m:t>i</m:t>
          </m:r>
          <m:r>
            <m:rPr>
              <m:sty m:val="p"/>
            </m:rPr>
            <m:t>=</m:t>
          </m:r>
          <m:sSub>
            <m:e>
              <m:r>
                <m:t>i</m:t>
              </m:r>
            </m:e>
            <m:sub>
              <m:r>
                <m:t>c</m:t>
              </m:r>
              <m:r>
                <m:t>o</m:t>
              </m:r>
              <m:r>
                <m:t>r</m:t>
              </m:r>
              <m:r>
                <m:t>r</m:t>
              </m:r>
            </m:sub>
          </m:sSub>
          <m:r>
            <m:rPr>
              <m:sty m:val="p"/>
            </m:rPr>
            <m:t>⋅</m:t>
          </m:r>
          <m:d>
            <m:dPr>
              <m:begChr m:val="["/>
              <m:sepChr m:val=""/>
              <m:endChr m:val="]"/>
              <m:grow/>
            </m:dPr>
            <m:e>
              <m:sSup>
                <m:e>
                  <m:r>
                    <m:t>e</m:t>
                  </m:r>
                </m:e>
                <m:sup>
                  <m:f>
                    <m:fPr>
                      <m:type m:val="bar"/>
                    </m:fPr>
                    <m:num>
                      <m:sSub>
                        <m:e>
                          <m:r>
                            <m:t>α</m:t>
                          </m:r>
                        </m:e>
                        <m:sub>
                          <m:r>
                            <m:t>a</m:t>
                          </m:r>
                        </m:sub>
                      </m:sSub>
                      <m:r>
                        <m:rPr>
                          <m:sty m:val="p"/>
                        </m:rPr>
                        <m:t>⋅</m:t>
                      </m:r>
                      <m:r>
                        <m:t>F</m:t>
                      </m:r>
                      <m:r>
                        <m:rPr>
                          <m:sty m:val="p"/>
                        </m:rPr>
                        <m:t>⋅</m:t>
                      </m:r>
                      <m:r>
                        <m:t>η</m:t>
                      </m:r>
                    </m:num>
                    <m:den>
                      <m:r>
                        <m:t>R</m:t>
                      </m:r>
                      <m:r>
                        <m:rPr>
                          <m:sty m:val="p"/>
                        </m:rPr>
                        <m:t>⋅</m:t>
                      </m:r>
                      <m:r>
                        <m:t>T</m:t>
                      </m:r>
                    </m:den>
                  </m:f>
                </m:sup>
              </m:sSup>
              <m:r>
                <m:rPr>
                  <m:sty m:val="p"/>
                </m:rPr>
                <m:t>−</m:t>
              </m:r>
              <m:sSup>
                <m:e>
                  <m:r>
                    <m:t>e</m:t>
                  </m:r>
                </m:e>
                <m:sup>
                  <m:f>
                    <m:fPr>
                      <m:type m:val="bar"/>
                    </m:fPr>
                    <m:num>
                      <m:r>
                        <m:rPr>
                          <m:sty m:val="p"/>
                        </m:rPr>
                        <m:t>−</m:t>
                      </m:r>
                      <m:sSub>
                        <m:e>
                          <m:r>
                            <m:t>α</m:t>
                          </m:r>
                        </m:e>
                        <m:sub>
                          <m:r>
                            <m:t>c</m:t>
                          </m:r>
                        </m:sub>
                      </m:sSub>
                      <m:r>
                        <m:rPr>
                          <m:sty m:val="p"/>
                        </m:rPr>
                        <m:t>⋅</m:t>
                      </m:r>
                      <m:r>
                        <m:t>F</m:t>
                      </m:r>
                      <m:r>
                        <m:rPr>
                          <m:sty m:val="p"/>
                        </m:rPr>
                        <m:t>⋅</m:t>
                      </m:r>
                      <m:r>
                        <m:t>η</m:t>
                      </m:r>
                    </m:num>
                    <m:den>
                      <m:r>
                        <m:t>R</m:t>
                      </m:r>
                      <m:r>
                        <m:rPr>
                          <m:sty m:val="p"/>
                        </m:rPr>
                        <m:t>⋅</m:t>
                      </m:r>
                      <m:r>
                        <m:t>T</m:t>
                      </m:r>
                    </m:den>
                  </m:f>
                </m:sup>
              </m:sSup>
            </m:e>
          </m:d>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i</w:t>
      </w:r>
      <w:r>
        <w:rPr>
          <w:rFonts w:ascii="Times New Roman" w:hAnsi="Times New Roman"/>
        </w:rPr>
        <w:t xml:space="preserve"> </w:t>
      </w:r>
      <w:r>
        <w:rPr>
          <w:rFonts w:ascii="Times New Roman" w:hAnsi="Times New Roman"/>
        </w:rPr>
        <w:t xml:space="preserve">= densité de courant (A/m²)</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i_corr</w:t>
      </w:r>
      <w:r>
        <w:rPr>
          <w:rFonts w:ascii="Times New Roman" w:hAnsi="Times New Roman"/>
        </w:rPr>
        <w:t xml:space="preserve"> </w:t>
      </w:r>
      <w:r>
        <w:rPr>
          <w:rFonts w:ascii="Times New Roman" w:hAnsi="Times New Roman"/>
        </w:rPr>
        <w:t xml:space="preserve">= densité de courant de corrosion (A/m²)</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αa, αc</w:t>
      </w:r>
      <w:r>
        <w:rPr>
          <w:rFonts w:ascii="Times New Roman" w:hAnsi="Times New Roman"/>
        </w:rPr>
        <w:t xml:space="preserve"> </w:t>
      </w:r>
      <w:r>
        <w:rPr>
          <w:rFonts w:ascii="Times New Roman" w:hAnsi="Times New Roman"/>
        </w:rPr>
        <w:t xml:space="preserve">= coefficients de transfert anodique et cathodique</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F</w:t>
      </w:r>
      <w:r>
        <w:rPr>
          <w:rFonts w:ascii="Times New Roman" w:hAnsi="Times New Roman"/>
        </w:rPr>
        <w:t xml:space="preserve"> </w:t>
      </w:r>
      <w:r>
        <w:rPr>
          <w:rFonts w:ascii="Times New Roman" w:hAnsi="Times New Roman"/>
        </w:rPr>
        <w:t xml:space="preserve">= constante de Faraday = 96 485 C/mol</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η</w:t>
      </w:r>
      <w:r>
        <w:rPr>
          <w:rFonts w:ascii="Times New Roman" w:hAnsi="Times New Roman"/>
        </w:rPr>
        <w:t xml:space="preserve"> </w:t>
      </w:r>
      <w:r>
        <w:rPr>
          <w:rFonts w:ascii="Times New Roman" w:hAnsi="Times New Roman"/>
        </w:rPr>
        <w:t xml:space="preserve">= surtension = E − E_corr (V)</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R</w:t>
      </w:r>
      <w:r>
        <w:rPr>
          <w:rFonts w:ascii="Times New Roman" w:hAnsi="Times New Roman"/>
        </w:rPr>
        <w:t xml:space="preserve"> </w:t>
      </w:r>
      <w:r>
        <w:rPr>
          <w:rFonts w:ascii="Times New Roman" w:hAnsi="Times New Roman"/>
        </w:rPr>
        <w:t xml:space="preserve">= constante des gaz = 8,314 J/mol·K</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w:t>
      </w:r>
      <w:r>
        <w:rPr>
          <w:rFonts w:ascii="Times New Roman" w:hAnsi="Times New Roman"/>
        </w:rPr>
        <w:t xml:space="preserve"> </w:t>
      </w:r>
      <w:r>
        <w:rPr>
          <w:rFonts w:ascii="Times New Roman" w:hAnsi="Times New Roman"/>
        </w:rPr>
        <w:t xml:space="preserve">= température absolue (K)</w:t>
      </w:r>
    </w:p>
    <w:p>
      <w:pPr>
        <w:pStyle w:val="BodyText"/>
      </w:pPr>
      <w:r>
        <w:rPr>
          <w:rFonts w:ascii="Times New Roman" w:hAnsi="Times New Roman"/>
        </w:rPr>
        <w:t xml:space="preserve">En pratique industrielle, cette équation est exploitée par la méthode de polarisation linéaire (LPR) qui permet de mesurer i_corr en temps réel — méthode décrite au Chapitre 2. Elle justifie également l’influence de la température comme facteur aggravant, paramètre directement intégré dans le modèle XGBoost au Chapitre 4.</w:t>
      </w:r>
    </w:p>
    <w:bookmarkEnd w:id="34"/>
    <w:bookmarkEnd w:id="35"/>
    <w:bookmarkStart w:id="36" w:name="classification-des-formes-de-corrosion"/>
    <w:p>
      <w:pPr>
        <w:pStyle w:val="Heading2"/>
      </w:pPr>
      <w:r>
        <w:rPr>
          <w:rFonts w:ascii="Times New Roman" w:hAnsi="Times New Roman"/>
        </w:rPr>
        <w:t xml:space="preserve">1.2 Classification des formes de corrosion</w:t>
      </w:r>
    </w:p>
    <w:p>
      <w:pPr>
        <w:pStyle w:val="FirstParagraph"/>
      </w:pPr>
      <w:r>
        <w:rPr>
          <w:rFonts w:ascii="Times New Roman" w:hAnsi="Times New Roman"/>
        </w:rPr>
        <w:t xml:space="preserve">La corrosion ne se manifeste pas de manière uniforme. Elle prend des formes variées selon la nature du métal, la composition de l’environnement et les conditions mécaniques. La classification internationale de référence est établie par l’AMPP (ex-NACE International) et reprise dans la norme NACE SP0775. Cette classification est essentielle pour tout ingénieur en maintenance : chaque forme de corrosion impose une stratégie de surveillance et une méthode de mesure spécifiques.</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ascii="Times New Roman" w:hAnsi="Times New Roman"/>
                <w:b/>
                <w:sz w:val="20"/>
              </w:rPr>
              <w:t xml:space="preserve">Forme</w:t>
            </w:r>
          </w:p>
        </w:tc>
        <w:tc>
          <w:tcPr/>
          <w:p>
            <w:pPr>
              <w:pStyle w:val="Compact"/>
              <w:jc w:val="left"/>
            </w:pPr>
            <w:r>
              <w:rPr>
                <w:rFonts w:ascii="Times New Roman" w:hAnsi="Times New Roman"/>
                <w:b/>
                <w:sz w:val="20"/>
              </w:rPr>
              <w:t xml:space="preserve">Mécanisme</w:t>
            </w:r>
          </w:p>
        </w:tc>
        <w:tc>
          <w:tcPr/>
          <w:p>
            <w:pPr>
              <w:pStyle w:val="Compact"/>
              <w:jc w:val="left"/>
            </w:pPr>
            <w:r>
              <w:rPr>
                <w:rFonts w:ascii="Times New Roman" w:hAnsi="Times New Roman"/>
                <w:b/>
                <w:sz w:val="20"/>
              </w:rPr>
              <w:t xml:space="preserve">Localisation typique</w:t>
            </w:r>
          </w:p>
        </w:tc>
        <w:tc>
          <w:tcPr/>
          <w:p>
            <w:pPr>
              <w:pStyle w:val="Compact"/>
              <w:jc w:val="left"/>
            </w:pPr>
            <w:r>
              <w:rPr>
                <w:rFonts w:ascii="Times New Roman" w:hAnsi="Times New Roman"/>
                <w:b/>
                <w:sz w:val="20"/>
              </w:rPr>
              <w:t xml:space="preserve">Norme / Référence</w:t>
            </w:r>
          </w:p>
        </w:tc>
      </w:tr>
      <w:tr>
        <w:tc>
          <w:tcPr/>
          <w:p>
            <w:pPr>
              <w:pStyle w:val="Compact"/>
              <w:jc w:val="left"/>
            </w:pPr>
            <w:r>
              <w:rPr>
                <w:rFonts w:ascii="Times New Roman" w:hAnsi="Times New Roman"/>
                <w:sz w:val="20"/>
              </w:rPr>
              <w:t xml:space="preserve">Généralisée (uniforme)</w:t>
            </w:r>
          </w:p>
        </w:tc>
        <w:tc>
          <w:tcPr/>
          <w:p>
            <w:pPr>
              <w:pStyle w:val="Compact"/>
              <w:jc w:val="left"/>
            </w:pPr>
            <w:r>
              <w:rPr>
                <w:rFonts w:ascii="Times New Roman" w:hAnsi="Times New Roman"/>
                <w:sz w:val="20"/>
              </w:rPr>
              <w:t xml:space="preserve">Dissolution uniforme sur toute la surface exposée</w:t>
            </w:r>
          </w:p>
        </w:tc>
        <w:tc>
          <w:tcPr/>
          <w:p>
            <w:pPr>
              <w:pStyle w:val="Compact"/>
              <w:jc w:val="left"/>
            </w:pPr>
            <w:r>
              <w:rPr>
                <w:rFonts w:ascii="Times New Roman" w:hAnsi="Times New Roman"/>
                <w:sz w:val="20"/>
              </w:rPr>
              <w:t xml:space="preserve">Pipelines acier au carbone, réservoirs</w:t>
            </w:r>
          </w:p>
        </w:tc>
        <w:tc>
          <w:tcPr/>
          <w:p>
            <w:pPr>
              <w:pStyle w:val="Compact"/>
              <w:jc w:val="left"/>
            </w:pPr>
            <w:r>
              <w:rPr>
                <w:rFonts w:ascii="Times New Roman" w:hAnsi="Times New Roman"/>
                <w:sz w:val="20"/>
              </w:rPr>
              <w:t xml:space="preserve">ASTM G1, NACE SP0775</w:t>
            </w:r>
          </w:p>
        </w:tc>
      </w:tr>
      <w:tr>
        <w:tc>
          <w:tcPr/>
          <w:p>
            <w:pPr>
              <w:pStyle w:val="Compact"/>
              <w:jc w:val="left"/>
            </w:pPr>
            <w:r>
              <w:rPr>
                <w:rFonts w:ascii="Times New Roman" w:hAnsi="Times New Roman"/>
                <w:sz w:val="20"/>
              </w:rPr>
              <w:t xml:space="preserve">Par piqûres</w:t>
            </w:r>
          </w:p>
        </w:tc>
        <w:tc>
          <w:tcPr/>
          <w:p>
            <w:pPr>
              <w:pStyle w:val="Compact"/>
              <w:jc w:val="left"/>
            </w:pPr>
            <w:r>
              <w:rPr>
                <w:rFonts w:ascii="Times New Roman" w:hAnsi="Times New Roman"/>
                <w:sz w:val="20"/>
              </w:rPr>
              <w:t xml:space="preserve">Attaque localisée créant des cavités profondes ; film passif percé localement par les ions Cl⁻</w:t>
            </w:r>
          </w:p>
        </w:tc>
        <w:tc>
          <w:tcPr/>
          <w:p>
            <w:pPr>
              <w:pStyle w:val="Compact"/>
              <w:jc w:val="left"/>
            </w:pPr>
            <w:r>
              <w:rPr>
                <w:rFonts w:ascii="Times New Roman" w:hAnsi="Times New Roman"/>
                <w:sz w:val="20"/>
              </w:rPr>
              <w:t xml:space="preserve">Acier inoxydable en milieu chloruré</w:t>
            </w:r>
          </w:p>
        </w:tc>
        <w:tc>
          <w:tcPr/>
          <w:p>
            <w:pPr>
              <w:pStyle w:val="Compact"/>
              <w:jc w:val="left"/>
            </w:pPr>
            <w:r>
              <w:rPr>
                <w:rFonts w:ascii="Times New Roman" w:hAnsi="Times New Roman"/>
                <w:sz w:val="20"/>
              </w:rPr>
              <w:t xml:space="preserve">ASTM G46, ISO 11463</w:t>
            </w:r>
          </w:p>
        </w:tc>
      </w:tr>
      <w:tr>
        <w:tc>
          <w:tcPr/>
          <w:p>
            <w:pPr>
              <w:pStyle w:val="Compact"/>
              <w:jc w:val="left"/>
            </w:pPr>
            <w:r>
              <w:rPr>
                <w:rFonts w:ascii="Times New Roman" w:hAnsi="Times New Roman"/>
                <w:sz w:val="20"/>
              </w:rPr>
              <w:t xml:space="preserve">Galvanique</w:t>
            </w:r>
          </w:p>
        </w:tc>
        <w:tc>
          <w:tcPr/>
          <w:p>
            <w:pPr>
              <w:pStyle w:val="Compact"/>
              <w:jc w:val="left"/>
            </w:pPr>
            <w:r>
              <w:rPr>
                <w:rFonts w:ascii="Times New Roman" w:hAnsi="Times New Roman"/>
                <w:sz w:val="20"/>
              </w:rPr>
              <w:t xml:space="preserve">Couplage électrochimique entre deux métaux de potentiels différents dans un électrolyte</w:t>
            </w:r>
          </w:p>
        </w:tc>
        <w:tc>
          <w:tcPr/>
          <w:p>
            <w:pPr>
              <w:pStyle w:val="Compact"/>
              <w:jc w:val="left"/>
            </w:pPr>
            <w:r>
              <w:rPr>
                <w:rFonts w:ascii="Times New Roman" w:hAnsi="Times New Roman"/>
                <w:sz w:val="20"/>
              </w:rPr>
              <w:t xml:space="preserve">Raccords bimétalliques, structures offshore</w:t>
            </w:r>
          </w:p>
        </w:tc>
        <w:tc>
          <w:tcPr/>
          <w:p>
            <w:pPr>
              <w:pStyle w:val="Compact"/>
              <w:jc w:val="left"/>
            </w:pPr>
            <w:r>
              <w:rPr>
                <w:rFonts w:ascii="Times New Roman" w:hAnsi="Times New Roman"/>
                <w:sz w:val="20"/>
              </w:rPr>
              <w:t xml:space="preserve">ASTM G82, NACE TM0107</w:t>
            </w:r>
          </w:p>
        </w:tc>
      </w:tr>
      <w:tr>
        <w:tc>
          <w:tcPr/>
          <w:p>
            <w:pPr>
              <w:pStyle w:val="Compact"/>
              <w:jc w:val="left"/>
            </w:pPr>
            <w:r>
              <w:rPr>
                <w:rFonts w:ascii="Times New Roman" w:hAnsi="Times New Roman"/>
                <w:sz w:val="20"/>
              </w:rPr>
              <w:t xml:space="preserve">Sous contrainte (SCC)</w:t>
            </w:r>
          </w:p>
        </w:tc>
        <w:tc>
          <w:tcPr/>
          <w:p>
            <w:pPr>
              <w:pStyle w:val="Compact"/>
              <w:jc w:val="left"/>
            </w:pPr>
            <w:r>
              <w:rPr>
                <w:rFonts w:ascii="Times New Roman" w:hAnsi="Times New Roman"/>
                <w:sz w:val="20"/>
              </w:rPr>
              <w:t xml:space="preserve">Combinaison d’une contrainte mécanique de traction et d’un environnement corrosif</w:t>
            </w:r>
          </w:p>
        </w:tc>
        <w:tc>
          <w:tcPr/>
          <w:p>
            <w:pPr>
              <w:pStyle w:val="Compact"/>
              <w:jc w:val="left"/>
            </w:pPr>
            <w:r>
              <w:rPr>
                <w:rFonts w:ascii="Times New Roman" w:hAnsi="Times New Roman"/>
                <w:sz w:val="20"/>
              </w:rPr>
              <w:t xml:space="preserve">Tubes sous pression, soudures</w:t>
            </w:r>
          </w:p>
        </w:tc>
        <w:tc>
          <w:tcPr/>
          <w:p>
            <w:pPr>
              <w:pStyle w:val="Compact"/>
              <w:jc w:val="left"/>
            </w:pPr>
            <w:r>
              <w:rPr>
                <w:rFonts w:ascii="Times New Roman" w:hAnsi="Times New Roman"/>
                <w:sz w:val="20"/>
              </w:rPr>
              <w:t xml:space="preserve">NACE TM0177, ISO 7539</w:t>
            </w:r>
          </w:p>
        </w:tc>
      </w:tr>
      <w:tr>
        <w:tc>
          <w:tcPr/>
          <w:p>
            <w:pPr>
              <w:pStyle w:val="Compact"/>
              <w:jc w:val="left"/>
            </w:pPr>
            <w:r>
              <w:rPr>
                <w:rFonts w:ascii="Times New Roman" w:hAnsi="Times New Roman"/>
                <w:sz w:val="20"/>
              </w:rPr>
              <w:t xml:space="preserve">Érosion-corrosion</w:t>
            </w:r>
          </w:p>
        </w:tc>
        <w:tc>
          <w:tcPr/>
          <w:p>
            <w:pPr>
              <w:pStyle w:val="Compact"/>
              <w:jc w:val="left"/>
            </w:pPr>
            <w:r>
              <w:rPr>
                <w:rFonts w:ascii="Times New Roman" w:hAnsi="Times New Roman"/>
                <w:sz w:val="20"/>
              </w:rPr>
              <w:t xml:space="preserve">Attaque accélérée par l’écoulement du fluide qui détruit le film protecteur</w:t>
            </w:r>
          </w:p>
        </w:tc>
        <w:tc>
          <w:tcPr/>
          <w:p>
            <w:pPr>
              <w:pStyle w:val="Compact"/>
              <w:jc w:val="left"/>
            </w:pPr>
            <w:r>
              <w:rPr>
                <w:rFonts w:ascii="Times New Roman" w:hAnsi="Times New Roman"/>
                <w:sz w:val="20"/>
              </w:rPr>
              <w:t xml:space="preserve">Coudes, vannes, pompes</w:t>
            </w:r>
          </w:p>
        </w:tc>
        <w:tc>
          <w:tcPr/>
          <w:p>
            <w:pPr>
              <w:pStyle w:val="Compact"/>
              <w:jc w:val="left"/>
            </w:pPr>
            <w:r>
              <w:rPr>
                <w:rFonts w:ascii="Times New Roman" w:hAnsi="Times New Roman"/>
                <w:sz w:val="20"/>
              </w:rPr>
              <w:t xml:space="preserve">ASTM G76, NACE 35100</w:t>
            </w:r>
          </w:p>
        </w:tc>
      </w:tr>
      <w:tr>
        <w:tc>
          <w:tcPr/>
          <w:p>
            <w:pPr>
              <w:pStyle w:val="Compact"/>
              <w:jc w:val="left"/>
            </w:pPr>
            <w:r>
              <w:rPr>
                <w:rFonts w:ascii="Times New Roman" w:hAnsi="Times New Roman"/>
                <w:sz w:val="20"/>
              </w:rPr>
              <w:t xml:space="preserve">CO₂ (sweet corrosion)</w:t>
            </w:r>
          </w:p>
        </w:tc>
        <w:tc>
          <w:tcPr/>
          <w:p>
            <w:pPr>
              <w:pStyle w:val="Compact"/>
              <w:jc w:val="left"/>
            </w:pPr>
            <w:r>
              <w:rPr>
                <w:rFonts w:ascii="Times New Roman" w:hAnsi="Times New Roman"/>
                <w:sz w:val="20"/>
              </w:rPr>
              <w:t xml:space="preserve">CO₂ dissous forme H₂CO₃ (acide carbonique) → attaque acide du fer</w:t>
            </w:r>
          </w:p>
        </w:tc>
        <w:tc>
          <w:tcPr/>
          <w:p>
            <w:pPr>
              <w:pStyle w:val="Compact"/>
              <w:jc w:val="left"/>
            </w:pPr>
            <w:r>
              <w:rPr>
                <w:rFonts w:ascii="Times New Roman" w:hAnsi="Times New Roman"/>
                <w:sz w:val="20"/>
              </w:rPr>
              <w:t xml:space="preserve">Pipelines Oil &amp; Gas, têtes de puits</w:t>
            </w:r>
          </w:p>
        </w:tc>
        <w:tc>
          <w:tcPr/>
          <w:p>
            <w:pPr>
              <w:pStyle w:val="Compact"/>
              <w:jc w:val="left"/>
            </w:pPr>
            <w:r>
              <w:rPr>
                <w:rFonts w:ascii="Times New Roman" w:hAnsi="Times New Roman"/>
                <w:sz w:val="20"/>
              </w:rPr>
              <w:t xml:space="preserve">de Waard et Milliams (1975)</w:t>
            </w:r>
          </w:p>
        </w:tc>
      </w:tr>
      <w:tr>
        <w:tc>
          <w:tcPr/>
          <w:p>
            <w:pPr>
              <w:pStyle w:val="Compact"/>
              <w:jc w:val="left"/>
            </w:pPr>
            <w:r>
              <w:rPr>
                <w:rFonts w:ascii="Times New Roman" w:hAnsi="Times New Roman"/>
                <w:sz w:val="20"/>
              </w:rPr>
              <w:t xml:space="preserve">H₂S (sour corrosion)</w:t>
            </w:r>
          </w:p>
        </w:tc>
        <w:tc>
          <w:tcPr/>
          <w:p>
            <w:pPr>
              <w:pStyle w:val="Compact"/>
              <w:jc w:val="left"/>
            </w:pPr>
            <w:r>
              <w:rPr>
                <w:rFonts w:ascii="Times New Roman" w:hAnsi="Times New Roman"/>
                <w:sz w:val="20"/>
              </w:rPr>
              <w:t xml:space="preserve">H₂S provoque la fragilisation par hydrogène (SSC) et la fissuration (HIC)</w:t>
            </w:r>
          </w:p>
        </w:tc>
        <w:tc>
          <w:tcPr/>
          <w:p>
            <w:pPr>
              <w:pStyle w:val="Compact"/>
              <w:jc w:val="left"/>
            </w:pPr>
            <w:r>
              <w:rPr>
                <w:rFonts w:ascii="Times New Roman" w:hAnsi="Times New Roman"/>
                <w:sz w:val="20"/>
              </w:rPr>
              <w:t xml:space="preserve">Puits à gaz acide, raffineries</w:t>
            </w:r>
          </w:p>
        </w:tc>
        <w:tc>
          <w:tcPr/>
          <w:p>
            <w:pPr>
              <w:pStyle w:val="Compact"/>
              <w:jc w:val="left"/>
            </w:pPr>
            <w:r>
              <w:rPr>
                <w:rFonts w:ascii="Times New Roman" w:hAnsi="Times New Roman"/>
                <w:sz w:val="20"/>
              </w:rPr>
              <w:t xml:space="preserve">NACE MR0175 / ISO 15156</w:t>
            </w:r>
          </w:p>
        </w:tc>
      </w:tr>
      <w:tr>
        <w:tc>
          <w:tcPr/>
          <w:p>
            <w:pPr>
              <w:pStyle w:val="Compact"/>
              <w:jc w:val="left"/>
            </w:pPr>
            <w:r>
              <w:rPr>
                <w:rFonts w:ascii="Times New Roman" w:hAnsi="Times New Roman"/>
                <w:sz w:val="20"/>
              </w:rPr>
              <w:t xml:space="preserve">MIC (corrosion microbienne)</w:t>
            </w:r>
          </w:p>
        </w:tc>
        <w:tc>
          <w:tcPr/>
          <w:p>
            <w:pPr>
              <w:pStyle w:val="Compact"/>
              <w:jc w:val="left"/>
            </w:pPr>
            <w:r>
              <w:rPr>
                <w:rFonts w:ascii="Times New Roman" w:hAnsi="Times New Roman"/>
                <w:sz w:val="20"/>
              </w:rPr>
              <w:t xml:space="preserve">Activité de bactéries (SRB, IRB) modifiant les conditions électrochimiques locales</w:t>
            </w:r>
          </w:p>
        </w:tc>
        <w:tc>
          <w:tcPr/>
          <w:p>
            <w:pPr>
              <w:pStyle w:val="Compact"/>
              <w:jc w:val="left"/>
            </w:pPr>
            <w:r>
              <w:rPr>
                <w:rFonts w:ascii="Times New Roman" w:hAnsi="Times New Roman"/>
                <w:sz w:val="20"/>
              </w:rPr>
              <w:t xml:space="preserve">Fonds de réservoirs, conduites enterrées</w:t>
            </w:r>
          </w:p>
        </w:tc>
        <w:tc>
          <w:tcPr/>
          <w:p>
            <w:pPr>
              <w:pStyle w:val="Compact"/>
              <w:jc w:val="left"/>
            </w:pPr>
            <w:r>
              <w:rPr>
                <w:rFonts w:ascii="Times New Roman" w:hAnsi="Times New Roman"/>
                <w:sz w:val="20"/>
              </w:rPr>
              <w:t xml:space="preserve">NACE TM0212</w:t>
            </w:r>
          </w:p>
        </w:tc>
      </w:tr>
    </w:tbl>
    <w:p>
      <w:pPr>
        <w:pStyle w:val="BodyText"/>
      </w:pPr>
      <w:r>
        <w:rPr>
          <w:rFonts w:ascii="Times New Roman" w:hAnsi="Times New Roman"/>
        </w:rPr>
        <w:t xml:space="preserve">Dans le secteur Oil &amp; Gas, les deux formes les plus prévalentes sont la corrosion CO₂ (sweet corrosion) et la corrosion H₂S (sour corrosion). La corrosion CO₂ est régie par le modèle semi-empirique de Waard et Milliams (1975, révisé 1991), qui reste la référence industrielle pour l’estimation du taux de corrosion en fonction de la pression partielle de CO₂ et de la température. Ce modèle sera discuté en détail à la section 1.3.</w:t>
      </w:r>
    </w:p>
    <w:p>
      <w:pPr>
        <w:pStyle w:val="BodyText"/>
      </w:pPr>
      <w:r>
        <w:rPr>
          <w:rFonts w:ascii="Times New Roman" w:hAnsi="Times New Roman"/>
        </w:rPr>
        <w:t xml:space="preserve">La corrosion H₂S, régie par la norme NACE MR0175 / ISO 15156, introduit un mécanisme supplémentaire de fragilisation par hydrogène : les atomes H issus de la réaction cathodique pénètrent dans le réseau cristallin de l’acier et provoquent des fissures internes (HIC — Hydrogen Induced Cracking) ou de surface (SSC — Sulfide Stress Cracking). Ces phénomènes ne sont pas mesurables par la sonde ER et nécessitent des contrôles non-destructifs spécifiques (UT, TOFD).</w:t>
      </w:r>
    </w:p>
    <w:p>
      <w:pPr>
        <w:pStyle w:val="BodyText"/>
      </w:pPr>
      <w:r>
        <w:rPr>
          <w:rFonts w:ascii="Times New Roman" w:hAnsi="Times New Roman"/>
        </w:rPr>
        <w:t xml:space="preserve">Concernant la MIC (Microbiologically Influenced Corrosion), bien que significative dans les pipelines industriels — notamment dans les fonds de réservoirs où les bactéries sulfato-réductrices (SRB) prospèrent en conditions anaérobies — elle ne sera pas reproduite dans ce prototype. L’environnement de laboratoire (vinaigre + NaCl) ne présente pas les conditions microbiologiques requises. Cette forme de corrosion est mentionnée pour exhaustivité du panorama mais reste hors du périmètre du système de mesure développé.</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Le prototype reproduit une corrosion généralisée en milieu acide fort (Detar Plus : H₃PO₄ + HCl, pH ≈ 0,5–1,5). Ce milieu multi-acide crée une cinétique de corrosion complexe et non-monotone — l’HCl attaque agressivement tandis que l’H₃PO₄ tend à former un film de phosphate de fer (FePO₄) partiellement protecteur — ce qui constitue précisément le type de comportement non-linéaire que l’approche par apprentissage automatique (XGBoost) vise à capturer, là où les modèles physiques classiques ne peuvent pas prédire l’interaction entre ces deux mécanismes antagonistes. Cette justification sera développée à la section 3.3.</w:t>
      </w:r>
    </w:p>
    <w:bookmarkEnd w:id="36"/>
    <w:bookmarkStart w:id="44" w:name="Xbe25afa729a4c7e1b41838ab1debc0ce87d7f81"/>
    <w:p>
      <w:pPr>
        <w:pStyle w:val="Heading2"/>
      </w:pPr>
      <w:r>
        <w:rPr>
          <w:rFonts w:ascii="Times New Roman" w:hAnsi="Times New Roman"/>
        </w:rPr>
        <w:t xml:space="preserve">1.3 Facteurs influents sur le taux de corrosion</w:t>
      </w:r>
    </w:p>
    <w:p>
      <w:pPr>
        <w:pStyle w:val="FirstParagraph"/>
      </w:pPr>
      <w:r>
        <w:rPr>
          <w:rFonts w:ascii="Times New Roman" w:hAnsi="Times New Roman"/>
        </w:rPr>
        <w:t xml:space="preserve">Le taux de corrosion n’est pas une constante intrinsèque du matériau : il résulte de l’interaction dynamique entre le métal et son environnement. La maîtrise de ces facteurs est fondamentale à deux titres : d’une part, elle guide la conception de l’environnement corrosif contrôlé du prototype ; d’autre part, ces mêmes facteurs constituent les variables d’entrée (features) du modèle XGBoost développé au Chapitre 4.</w:t>
      </w:r>
    </w:p>
    <w:bookmarkStart w:id="37" w:name="température"/>
    <w:p>
      <w:pPr>
        <w:pStyle w:val="Heading3"/>
      </w:pPr>
      <w:r>
        <w:rPr>
          <w:rFonts w:ascii="Times New Roman" w:hAnsi="Times New Roman"/>
        </w:rPr>
        <w:t xml:space="preserve">1.3.1 Température</w:t>
      </w:r>
    </w:p>
    <w:p>
      <w:pPr>
        <w:pStyle w:val="FirstParagraph"/>
      </w:pPr>
      <w:r>
        <w:rPr>
          <w:rFonts w:ascii="Times New Roman" w:hAnsi="Times New Roman"/>
        </w:rPr>
        <w:t xml:space="preserve">La température est le facteur cinétique dominant. Son influence sur la vitesse de corrosion suit une loi d’Arrhenius, qui traduit l’accélération des réactions chimiques avec la chaleur :</w:t>
      </w:r>
    </w:p>
    <w:p>
      <w:pPr>
        <w:pStyle w:val="BodyText"/>
      </w:pPr>
      <m:oMathPara>
        <m:oMathParaPr>
          <m:jc m:val="center"/>
        </m:oMathParaPr>
        <m:oMath>
          <m:r>
            <m:t>C</m:t>
          </m:r>
          <m:r>
            <m:t>R</m:t>
          </m:r>
          <m:r>
            <m:rPr>
              <m:sty m:val="p"/>
            </m:rPr>
            <m:t>∝</m:t>
          </m:r>
          <m:sSup>
            <m:e>
              <m:r>
                <m:t>e</m:t>
              </m:r>
            </m:e>
            <m:sup>
              <m:f>
                <m:fPr>
                  <m:type m:val="bar"/>
                </m:fPr>
                <m:num>
                  <m:r>
                    <m:rPr>
                      <m:sty m:val="p"/>
                    </m:rPr>
                    <m:t>−</m:t>
                  </m:r>
                  <m:sSub>
                    <m:e>
                      <m:r>
                        <m:t>E</m:t>
                      </m:r>
                    </m:e>
                    <m:sub>
                      <m:r>
                        <m:t>a</m:t>
                      </m:r>
                    </m:sub>
                  </m:sSub>
                </m:num>
                <m:den>
                  <m:r>
                    <m:t>R</m:t>
                  </m:r>
                  <m:r>
                    <m:rPr>
                      <m:sty m:val="p"/>
                    </m:rPr>
                    <m:t>⋅</m:t>
                  </m:r>
                  <m:r>
                    <m:t>T</m:t>
                  </m:r>
                </m:den>
              </m:f>
            </m:sup>
          </m:sSup>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Ea</w:t>
      </w:r>
      <w:r>
        <w:rPr>
          <w:rFonts w:ascii="Times New Roman" w:hAnsi="Times New Roman"/>
        </w:rPr>
        <w:t xml:space="preserve"> </w:t>
      </w:r>
      <w:r>
        <w:rPr>
          <w:rFonts w:ascii="Times New Roman" w:hAnsi="Times New Roman"/>
        </w:rPr>
        <w:t xml:space="preserve">= énergie d’activation (J/mol)</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R</w:t>
      </w:r>
      <w:r>
        <w:rPr>
          <w:rFonts w:ascii="Times New Roman" w:hAnsi="Times New Roman"/>
        </w:rPr>
        <w:t xml:space="preserve"> </w:t>
      </w:r>
      <w:r>
        <w:rPr>
          <w:rFonts w:ascii="Times New Roman" w:hAnsi="Times New Roman"/>
        </w:rPr>
        <w:t xml:space="preserve">= constante des gaz = 8,314 J/mol·K</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w:t>
      </w:r>
      <w:r>
        <w:rPr>
          <w:rFonts w:ascii="Times New Roman" w:hAnsi="Times New Roman"/>
        </w:rPr>
        <w:t xml:space="preserve"> </w:t>
      </w:r>
      <w:r>
        <w:rPr>
          <w:rFonts w:ascii="Times New Roman" w:hAnsi="Times New Roman"/>
        </w:rPr>
        <w:t xml:space="preserve">= température absolue (K)</w:t>
      </w:r>
    </w:p>
    <w:p>
      <w:pPr>
        <w:pStyle w:val="BodyText"/>
      </w:pPr>
      <w:r>
        <w:rPr>
          <w:rFonts w:ascii="Times New Roman" w:hAnsi="Times New Roman"/>
        </w:rPr>
        <w:t xml:space="preserve">En pratique industrielle, une règle empirique largement utilisée stipule qu’une augmentation de 10°C double approximativement la vitesse de corrosion. Cette règle est formalisée dans le modèle de Waard et Milliams (1975, révisé 1991) pour la corrosion CO₂ :</w:t>
      </w:r>
    </w:p>
    <w:p>
      <w:pPr>
        <w:pStyle w:val="BodyText"/>
      </w:pPr>
      <m:oMathPara>
        <m:oMathParaPr>
          <m:jc m:val="center"/>
        </m:oMathParaPr>
        <m:oMath>
          <m:r>
            <m:rPr>
              <m:sty m:val="p"/>
            </m:rPr>
            <m:t>log</m:t>
          </m:r>
          <m:r>
            <m:rPr>
              <m:sty m:val="p"/>
            </m:rPr>
            <m:t>(</m:t>
          </m:r>
          <m:r>
            <m:t>C</m:t>
          </m:r>
          <m:r>
            <m:t>R</m:t>
          </m:r>
          <m:r>
            <m:rPr>
              <m:sty m:val="p"/>
            </m:rPr>
            <m:t>)</m:t>
          </m:r>
          <m:r>
            <m:rPr>
              <m:sty m:val="p"/>
            </m:rPr>
            <m:t>=</m:t>
          </m:r>
          <m:r>
            <m:t>5</m:t>
          </m:r>
          <m:r>
            <m:rPr>
              <m:sty m:val="p"/>
            </m:rPr>
            <m:t>,</m:t>
          </m:r>
          <m:r>
            <m:t>8</m:t>
          </m:r>
          <m:r>
            <m:rPr>
              <m:sty m:val="p"/>
            </m:rPr>
            <m:t>−</m:t>
          </m:r>
          <m:f>
            <m:fPr>
              <m:type m:val="bar"/>
            </m:fPr>
            <m:num>
              <m:r>
                <m:t>1710</m:t>
              </m:r>
            </m:num>
            <m:den>
              <m:r>
                <m:t>T</m:t>
              </m:r>
            </m:den>
          </m:f>
          <m:r>
            <m:rPr>
              <m:sty m:val="p"/>
            </m:rPr>
            <m:t>+</m:t>
          </m:r>
          <m:r>
            <m:t>0</m:t>
          </m:r>
          <m:r>
            <m:rPr>
              <m:sty m:val="p"/>
            </m:rPr>
            <m:t>,</m:t>
          </m:r>
          <m:r>
            <m:t>67</m:t>
          </m:r>
          <m:r>
            <m:rPr>
              <m:sty m:val="p"/>
            </m:rPr>
            <m:t>⋅</m:t>
          </m:r>
          <m:r>
            <m:rPr>
              <m:sty m:val="p"/>
            </m:rPr>
            <m:t>log</m:t>
          </m:r>
          <m:r>
            <m:rPr>
              <m:sty m:val="p"/>
            </m:rPr>
            <m:t>(</m:t>
          </m:r>
          <m:r>
            <m:t>p</m:t>
          </m:r>
          <m:r>
            <m:t>C</m:t>
          </m:r>
          <m:sSub>
            <m:e>
              <m:r>
                <m:t>O</m:t>
              </m:r>
            </m:e>
            <m:sub>
              <m:r>
                <m:t>2</m:t>
              </m:r>
            </m:sub>
          </m:sSub>
          <m:r>
            <m:rPr>
              <m:sty m:val="p"/>
            </m:rPr>
            <m:t>)</m:t>
          </m:r>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CR</w:t>
      </w:r>
      <w:r>
        <w:rPr>
          <w:rFonts w:ascii="Times New Roman" w:hAnsi="Times New Roman"/>
        </w:rPr>
        <w:t xml:space="preserve"> </w:t>
      </w:r>
      <w:r>
        <w:rPr>
          <w:rFonts w:ascii="Times New Roman" w:hAnsi="Times New Roman"/>
        </w:rPr>
        <w:t xml:space="preserve">= taux de corrosion (mm/an)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w:t>
      </w:r>
      <w:r>
        <w:rPr>
          <w:rFonts w:ascii="Times New Roman" w:hAnsi="Times New Roman"/>
        </w:rPr>
        <w:t xml:space="preserve"> </w:t>
      </w:r>
      <w:r>
        <w:rPr>
          <w:rFonts w:ascii="Times New Roman" w:hAnsi="Times New Roman"/>
        </w:rPr>
        <w:t xml:space="preserve">= température absolue (K)</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pCO₂</w:t>
      </w:r>
      <w:r>
        <w:rPr>
          <w:rFonts w:ascii="Times New Roman" w:hAnsi="Times New Roman"/>
        </w:rPr>
        <w:t xml:space="preserve"> </w:t>
      </w:r>
      <w:r>
        <w:rPr>
          <w:rFonts w:ascii="Times New Roman" w:hAnsi="Times New Roman"/>
        </w:rPr>
        <w:t xml:space="preserve">= pression partielle de CO₂ (bar)</w:t>
      </w:r>
    </w:p>
    <w:p>
      <w:pPr>
        <w:pStyle w:val="BodyText"/>
      </w:pPr>
      <w:r>
        <w:rPr>
          <w:rFonts w:ascii="Times New Roman" w:hAnsi="Times New Roman"/>
        </w:rPr>
        <w:t xml:space="preserve">Ce modèle, bien que semi-empirique et limité aux conditions de pipeline Oil &amp; Gas, reste la référence industrielle pour une première estimation rapide du taux de corrosion. Dans le prototype, la température est maintenue entre 30°C et 55°C à l’aide d’une résistance chauffante d’aquarium, et mesurée en continu par le capteur DS18B20.</w:t>
      </w:r>
    </w:p>
    <w:bookmarkEnd w:id="37"/>
    <w:bookmarkStart w:id="38" w:name="ph-et-acidité"/>
    <w:p>
      <w:pPr>
        <w:pStyle w:val="Heading3"/>
      </w:pPr>
      <w:r>
        <w:rPr>
          <w:rFonts w:ascii="Times New Roman" w:hAnsi="Times New Roman"/>
        </w:rPr>
        <w:t xml:space="preserve">1.3.2 pH et acidité</w:t>
      </w:r>
    </w:p>
    <w:p>
      <w:pPr>
        <w:pStyle w:val="FirstParagraph"/>
      </w:pPr>
      <w:r>
        <w:rPr>
          <w:rFonts w:ascii="Times New Roman" w:hAnsi="Times New Roman"/>
        </w:rPr>
        <w:t xml:space="preserve">Le pH est le paramètre qui quantifie la concentration en ions H⁺ dans la solution. En milieu acide (pH &lt; 7), la réaction cathodique de réduction des protons est favorisée, accélérant la dissolution anodique du métal. En dessous de pH 4, la corrosion du fer devient très agressive car le film d’oxyde protecteur (Fe₂O₃) se dissout. Au-dessus de pH 10, une couche passive stable se forme, inhibant naturellement la corrosion.</w:t>
      </w:r>
    </w:p>
    <w:p>
      <w:pPr>
        <w:pStyle w:val="BodyText"/>
      </w:pPr>
      <w:r>
        <w:rPr>
          <w:rFonts w:ascii="Times New Roman" w:hAnsi="Times New Roman"/>
        </w:rPr>
        <w:t xml:space="preserve">Dans le contexte Oil &amp; Gas, le pH est directement lié à la teneur en CO₂ et H₂S dissous. Le CO₂ forme de l’acide carbonique (H₂CO₃, pKa₁ = 6,35) et l’H₂S forme de l’acide sulfhydrique (H₂S, pKa₁ = 7,02), tous deux abaissant le pH de l’eau de formation. Dans notre prototype, le Detar Plus concentré (mélange d’acide phosphorique H₃PO₄ et d’acide chlorhydrique HCl) crée un environnement fortement acide mesuré à</w:t>
      </w:r>
      <w:r>
        <w:rPr>
          <w:rFonts w:ascii="Times New Roman" w:hAnsi="Times New Roman"/>
        </w:rPr>
        <w:t xml:space="preserve"> </w:t>
      </w:r>
      <w:r>
        <w:rPr>
          <w:rFonts w:ascii="Times New Roman" w:hAnsi="Times New Roman"/>
          <w:b/>
          <w:bCs/>
        </w:rPr>
        <w:t xml:space="preserve">pH ≈ 1</w:t>
      </w:r>
      <w:r>
        <w:rPr>
          <w:rFonts w:ascii="Times New Roman" w:hAnsi="Times New Roman"/>
        </w:rPr>
        <w:t xml:space="preserve"> </w:t>
      </w:r>
      <w:r>
        <w:rPr>
          <w:rFonts w:ascii="Times New Roman" w:hAnsi="Times New Roman"/>
        </w:rPr>
        <w:t xml:space="preserve">par papier pH au début de chaque run. Ce pH est utilisé comme</w:t>
      </w:r>
      <w:r>
        <w:rPr>
          <w:rFonts w:ascii="Times New Roman" w:hAnsi="Times New Roman"/>
        </w:rPr>
        <w:t xml:space="preserve"> </w:t>
      </w:r>
      <w:r>
        <w:rPr>
          <w:rFonts w:ascii="Times New Roman" w:hAnsi="Times New Roman"/>
          <w:b/>
          <w:bCs/>
        </w:rPr>
        <w:t xml:space="preserve">constante de référence</w:t>
      </w:r>
      <w:r>
        <w:rPr>
          <w:rFonts w:ascii="Times New Roman" w:hAnsi="Times New Roman"/>
        </w:rPr>
        <w:t xml:space="preserve"> </w:t>
      </w:r>
      <w:r>
        <w:rPr>
          <w:rFonts w:ascii="Times New Roman" w:hAnsi="Times New Roman"/>
        </w:rPr>
        <w:t xml:space="preserve">du run et non comme variable mesurée en continu : l’ajout d’une sonde pH introduirait des courants parasites dans le liquide conducteur (boucle de masse avec le pont de Wheatstone) et complexifierait le montage sans apport significatif, le pH variant peu pendant la durée d’un run (quelques heures à quelques dizaines d’heures).</w:t>
      </w:r>
    </w:p>
    <w:bookmarkEnd w:id="38"/>
    <w:bookmarkStart w:id="39" w:name="pression-partielle-de-co₂-pco₂"/>
    <w:p>
      <w:pPr>
        <w:pStyle w:val="Heading3"/>
      </w:pPr>
      <w:r>
        <w:rPr>
          <w:rFonts w:ascii="Times New Roman" w:hAnsi="Times New Roman"/>
        </w:rPr>
        <w:t xml:space="preserve">1.3.3 Pression partielle de CO₂ (pCO₂)</w:t>
      </w:r>
    </w:p>
    <w:p>
      <w:pPr>
        <w:pStyle w:val="FirstParagraph"/>
      </w:pPr>
      <w:r>
        <w:rPr>
          <w:rFonts w:ascii="Times New Roman" w:hAnsi="Times New Roman"/>
        </w:rPr>
        <w:t xml:space="preserve">Le CO₂ dissous dans l’eau de formation constitue l’agent corrosif principal des pipelines de production pétrolière. Il réagit avec l’eau selon :</w:t>
      </w:r>
    </w:p>
    <w:p>
      <w:pPr>
        <w:pStyle w:val="BlockText"/>
      </w:pPr>
      <w:r>
        <w:rPr>
          <w:rStyle w:val="VerbatimChar"/>
          <w:rFonts w:ascii="Times New Roman" w:hAnsi="Times New Roman"/>
        </w:rPr>
        <w:t xml:space="preserve">CO₂  +  H₂O  →  H₂CO₃  →  H⁺  +  HCO₃⁻</w:t>
      </w:r>
    </w:p>
    <w:p>
      <w:pPr>
        <w:pStyle w:val="FirstParagraph"/>
      </w:pPr>
      <w:r>
        <w:rPr>
          <w:rFonts w:ascii="Times New Roman" w:hAnsi="Times New Roman"/>
        </w:rPr>
        <w:t xml:space="preserve">La pression partielle de CO₂ (pCO₂) est définie par la loi de Dalton des pressions partielles : pCO₂ = y_CO₂ × P_totale, où y_CO₂ est la fraction molaire de CO₂ dans la phase gazeuse. La loi de Henry intervient ensuite pour relier cette pression partielle à la concentration de CO₂ dissous dans la phase aqueuse : C_CO₂ = K_H × pCO₂, où K_H est la constante de Henry (mol/L·bar). Selon le modèle de Waard et Milliams, le taux de corrosion est proportionnel à pCO₂^0,67. En pratique industrielle, une pCO₂ supérieure à 0,2 bar est considérée comme corrosive ; au-delà de 0,5 bar, la corrosion est sévère (seuils communément admis dans l’industrie Oil &amp; Gas, repris dans NACE SP0106).</w:t>
      </w:r>
    </w:p>
    <w:p>
      <w:pPr>
        <w:pStyle w:val="BodyText"/>
      </w:pPr>
      <w:r>
        <w:rPr>
          <w:rFonts w:ascii="Times New Roman" w:hAnsi="Times New Roman"/>
        </w:rPr>
        <w:t xml:space="preserve">Dans le prototype de laboratoire, la pCO₂ n’est pas un paramètre pertinent : le milieu corrosif (Detar Plus) est un mélange d’acides minéraux (H₃PO₄ + HCl) et non une solution saturée en CO₂. La corrosion dans le prototype est donc pilotée par la concentration en ions H⁺ (pH) et en ions Cl⁻ (agressivité des chlorures), et non par la pCO₂. Ce paramètre est mentionné ici pour exhaustivité du cadre théorique applicable aux pipelines Oil &amp; Gas.</w:t>
      </w:r>
    </w:p>
    <w:bookmarkEnd w:id="39"/>
    <w:bookmarkStart w:id="40" w:name="teneur-en-eau-bsw"/>
    <w:p>
      <w:pPr>
        <w:pStyle w:val="Heading3"/>
      </w:pPr>
      <w:r>
        <w:rPr>
          <w:rFonts w:ascii="Times New Roman" w:hAnsi="Times New Roman"/>
        </w:rPr>
        <w:t xml:space="preserve">1.3.4 Teneur en eau (BSW)</w:t>
      </w:r>
    </w:p>
    <w:p>
      <w:pPr>
        <w:pStyle w:val="FirstParagraph"/>
      </w:pPr>
      <w:r>
        <w:rPr>
          <w:rFonts w:ascii="Times New Roman" w:hAnsi="Times New Roman"/>
        </w:rPr>
        <w:t xml:space="preserve">Le BSW (Basic Sediment and Water) désigne la fraction volumique d’eau dans le fluide transporté. L’eau est l’électrolyte indispensable à la corrosion : sans eau libre au contact du métal, les réactions électrochimiques ne peuvent pas se produire. Un BSW élevé augmente la conductivité ionique de la phase aqueuse et accélère les échanges de charges à l’interface métal/électrolyte.</w:t>
      </w:r>
    </w:p>
    <w:p>
      <w:pPr>
        <w:pStyle w:val="BodyText"/>
      </w:pPr>
      <w:r>
        <w:rPr>
          <w:rFonts w:ascii="Times New Roman" w:hAnsi="Times New Roman"/>
        </w:rPr>
        <w:t xml:space="preserve">En dessous de 30% BSW, la phase continue est généralement huileuse et le métal est naturellement protégé. Au-delà de 60–70% BSW, la phase aqueuse devient continue et la corrosion s’accélère significativement. Ce paramètre est mesuré en continu dans les installations industrielles par des analyseurs BSW dédiés (capteur capacitif ou micro-ondes).</w:t>
      </w:r>
    </w:p>
    <w:bookmarkEnd w:id="40"/>
    <w:bookmarkStart w:id="41" w:name="vitesse-découlement-et-érosion-corrosion"/>
    <w:p>
      <w:pPr>
        <w:pStyle w:val="Heading3"/>
      </w:pPr>
      <w:r>
        <w:rPr>
          <w:rFonts w:ascii="Times New Roman" w:hAnsi="Times New Roman"/>
        </w:rPr>
        <w:t xml:space="preserve">1.3.5 Vitesse d’écoulement et érosion-corrosion</w:t>
      </w:r>
    </w:p>
    <w:p>
      <w:pPr>
        <w:pStyle w:val="FirstParagraph"/>
      </w:pPr>
      <w:r>
        <w:rPr>
          <w:rFonts w:ascii="Times New Roman" w:hAnsi="Times New Roman"/>
        </w:rPr>
        <w:t xml:space="preserve">La vitesse du fluide influence la corrosion selon deux mécanismes antagonistes. D’un côté, un débit élevé favorise l’apport d’oxygène et renouvelle l’électrolyte au contact du métal, accélérant la corrosion. De l’autre, en dessous d’une vitesse minimale, les dépôts (boues, cire, sédiments) s’accumulent et créent des piles de concentration locales encore plus agressives.</w:t>
      </w:r>
    </w:p>
    <w:p>
      <w:pPr>
        <w:pStyle w:val="BodyText"/>
      </w:pPr>
      <w:r>
        <w:rPr>
          <w:rFonts w:ascii="Times New Roman" w:hAnsi="Times New Roman"/>
        </w:rPr>
        <w:t xml:space="preserve">Au-delà d’une vitesse critique (typiquement 3–5 m/s pour l’acier au carbone), le film protecteur d’oxyde est mécaniquement arraché par le fluide — c’est l’érosion-corrosion. Ce phénomène est particulièrement sévère aux coudes, réductions de section et vannes partiellement ouvertes.</w:t>
      </w:r>
    </w:p>
    <w:bookmarkEnd w:id="41"/>
    <w:bookmarkStart w:id="42" w:name="inhibiteurs-de-corrosion"/>
    <w:p>
      <w:pPr>
        <w:pStyle w:val="Heading3"/>
      </w:pPr>
      <w:r>
        <w:rPr>
          <w:rFonts w:ascii="Times New Roman" w:hAnsi="Times New Roman"/>
        </w:rPr>
        <w:t xml:space="preserve">1.3.6 Inhibiteurs de corrosion</w:t>
      </w:r>
    </w:p>
    <w:p>
      <w:pPr>
        <w:pStyle w:val="FirstParagraph"/>
      </w:pPr>
      <w:r>
        <w:rPr>
          <w:rFonts w:ascii="Times New Roman" w:hAnsi="Times New Roman"/>
        </w:rPr>
        <w:t xml:space="preserve">Les inhibiteurs de corrosion sont des substances chimiques qui, ajoutées en faible concentration dans l’environnement corrosif, réduisent significativement le taux de corrosion. Leur efficacité est quantifiée par le taux d’inhibition η :</w:t>
      </w:r>
    </w:p>
    <w:p>
      <w:pPr>
        <w:pStyle w:val="BodyText"/>
      </w:pPr>
      <m:oMathPara>
        <m:oMathParaPr>
          <m:jc m:val="center"/>
        </m:oMathParaPr>
        <m:oMath>
          <m:r>
            <m:t>η</m:t>
          </m:r>
          <m:r>
            <m:t> </m:t>
          </m:r>
          <m:r>
            <m:rPr>
              <m:sty m:val="p"/>
            </m:rPr>
            <m:t>(</m:t>
          </m:r>
          <m:r>
            <m:rPr>
              <m:sty m:val="p"/>
            </m:rPr>
            <m:t>%</m:t>
          </m:r>
          <m:r>
            <m:rPr>
              <m:sty m:val="p"/>
            </m:rPr>
            <m:t>)</m:t>
          </m:r>
          <m:r>
            <m:rPr>
              <m:sty m:val="p"/>
            </m:rPr>
            <m:t>=</m:t>
          </m:r>
          <m:f>
            <m:fPr>
              <m:type m:val="bar"/>
            </m:fPr>
            <m:num>
              <m:r>
                <m:t>C</m:t>
              </m:r>
              <m:sSub>
                <m:e>
                  <m:r>
                    <m:t>R</m:t>
                  </m:r>
                </m:e>
                <m:sub>
                  <m:r>
                    <m:t>s</m:t>
                  </m:r>
                  <m:r>
                    <m:t>a</m:t>
                  </m:r>
                  <m:r>
                    <m:t>n</m:t>
                  </m:r>
                  <m:r>
                    <m:t>s</m:t>
                  </m:r>
                </m:sub>
              </m:sSub>
              <m:r>
                <m:rPr>
                  <m:sty m:val="p"/>
                </m:rPr>
                <m:t>−</m:t>
              </m:r>
              <m:r>
                <m:t>C</m:t>
              </m:r>
              <m:sSub>
                <m:e>
                  <m:r>
                    <m:t>R</m:t>
                  </m:r>
                </m:e>
                <m:sub>
                  <m:r>
                    <m:t>a</m:t>
                  </m:r>
                  <m:r>
                    <m:t>v</m:t>
                  </m:r>
                  <m:r>
                    <m:t>e</m:t>
                  </m:r>
                  <m:r>
                    <m:t>c</m:t>
                  </m:r>
                </m:sub>
              </m:sSub>
            </m:num>
            <m:den>
              <m:r>
                <m:t>C</m:t>
              </m:r>
              <m:sSub>
                <m:e>
                  <m:r>
                    <m:t>R</m:t>
                  </m:r>
                </m:e>
                <m:sub>
                  <m:r>
                    <m:t>s</m:t>
                  </m:r>
                  <m:r>
                    <m:t>a</m:t>
                  </m:r>
                  <m:r>
                    <m:t>n</m:t>
                  </m:r>
                  <m:r>
                    <m:t>s</m:t>
                  </m:r>
                </m:sub>
              </m:sSub>
            </m:den>
          </m:f>
          <m:r>
            <m:rPr>
              <m:sty m:val="p"/>
            </m:rPr>
            <m:t>×</m:t>
          </m:r>
          <m:r>
            <m:t>100</m:t>
          </m:r>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CR_sans</w:t>
      </w:r>
      <w:r>
        <w:rPr>
          <w:rFonts w:ascii="Times New Roman" w:hAnsi="Times New Roman"/>
        </w:rPr>
        <w:t xml:space="preserve"> </w:t>
      </w:r>
      <w:r>
        <w:rPr>
          <w:rFonts w:ascii="Times New Roman" w:hAnsi="Times New Roman"/>
        </w:rPr>
        <w:t xml:space="preserve">= taux de corrosion sans inhibiteur (mm/an)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CR_avec</w:t>
      </w:r>
      <w:r>
        <w:rPr>
          <w:rFonts w:ascii="Times New Roman" w:hAnsi="Times New Roman"/>
        </w:rPr>
        <w:t xml:space="preserve"> </w:t>
      </w:r>
      <w:r>
        <w:rPr>
          <w:rFonts w:ascii="Times New Roman" w:hAnsi="Times New Roman"/>
        </w:rPr>
        <w:t xml:space="preserve">= taux de corrosion avec inhibiteur (mm/an)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η</w:t>
      </w:r>
      <w:r>
        <w:rPr>
          <w:rFonts w:ascii="Times New Roman" w:hAnsi="Times New Roman"/>
        </w:rPr>
        <w:t xml:space="preserve"> </w:t>
      </w:r>
      <w:r>
        <w:rPr>
          <w:rFonts w:ascii="Times New Roman" w:hAnsi="Times New Roman"/>
        </w:rPr>
        <w:t xml:space="preserve">= taux d’inhibition (%) — objectif industriel : η &gt; 90%</w:t>
      </w:r>
    </w:p>
    <w:p>
      <w:pPr>
        <w:pStyle w:val="BodyText"/>
      </w:pPr>
      <w:r>
        <w:rPr>
          <w:rFonts w:ascii="Times New Roman" w:hAnsi="Times New Roman"/>
        </w:rPr>
        <w:t xml:space="preserve">Les inhibiteurs se classifient selon leur mécanisme d’action en trois catégories (ASTM G170, NACE TM0374) :</w:t>
      </w:r>
    </w:p>
    <w:p>
      <w:pPr>
        <w:pStyle w:val="Compact"/>
        <w:numPr>
          <w:ilvl w:val="0"/>
          <w:numId w:val="1004"/>
        </w:numPr>
      </w:pPr>
      <w:r>
        <w:rPr>
          <w:rFonts w:ascii="Times New Roman" w:hAnsi="Times New Roman"/>
          <w:b/>
          <w:bCs/>
        </w:rPr>
        <w:t xml:space="preserve">Anodiques</w:t>
      </w:r>
      <w:r>
        <w:rPr>
          <w:rFonts w:ascii="Times New Roman" w:hAnsi="Times New Roman"/>
        </w:rPr>
        <w:t xml:space="preserve"> </w:t>
      </w:r>
      <w:r>
        <w:rPr>
          <w:rFonts w:ascii="Times New Roman" w:hAnsi="Times New Roman"/>
        </w:rPr>
        <w:t xml:space="preserve">: Forment un film passif sur la zone anodique (chromates, nitrites). Très efficaces mais toxiques — usage restreint.</w:t>
      </w:r>
    </w:p>
    <w:p>
      <w:pPr>
        <w:pStyle w:val="Compact"/>
        <w:numPr>
          <w:ilvl w:val="0"/>
          <w:numId w:val="1004"/>
        </w:numPr>
      </w:pPr>
      <w:r>
        <w:rPr>
          <w:rFonts w:ascii="Times New Roman" w:hAnsi="Times New Roman"/>
          <w:b/>
          <w:bCs/>
        </w:rPr>
        <w:t xml:space="preserve">Cathodiques</w:t>
      </w:r>
      <w:r>
        <w:rPr>
          <w:rFonts w:ascii="Times New Roman" w:hAnsi="Times New Roman"/>
        </w:rPr>
        <w:t xml:space="preserve"> </w:t>
      </w:r>
      <w:r>
        <w:rPr>
          <w:rFonts w:ascii="Times New Roman" w:hAnsi="Times New Roman"/>
        </w:rPr>
        <w:t xml:space="preserve">: Précipitent sur les zones cathodiques et limitent la réduction de l’O₂ (sels de zinc, polyphosphates).</w:t>
      </w:r>
    </w:p>
    <w:p>
      <w:pPr>
        <w:pStyle w:val="Compact"/>
        <w:numPr>
          <w:ilvl w:val="0"/>
          <w:numId w:val="1004"/>
        </w:numPr>
      </w:pPr>
      <w:r>
        <w:rPr>
          <w:rFonts w:ascii="Times New Roman" w:hAnsi="Times New Roman"/>
          <w:b/>
          <w:bCs/>
        </w:rPr>
        <w:t xml:space="preserve">Mixtes (films adsorbés)</w:t>
      </w:r>
      <w:r>
        <w:rPr>
          <w:rFonts w:ascii="Times New Roman" w:hAnsi="Times New Roman"/>
        </w:rPr>
        <w:t xml:space="preserve"> </w:t>
      </w:r>
      <w:r>
        <w:rPr>
          <w:rFonts w:ascii="Times New Roman" w:hAnsi="Times New Roman"/>
        </w:rPr>
        <w:t xml:space="preserve">: S’adsorbent sur toute la surface métallique et bloquent simultanément les zones anodiques et cathodiques. Classe dominante en industrie pétrolière (amines, imidazolines, inhibiteurs organiques naturels).</w:t>
      </w:r>
    </w:p>
    <w:p>
      <w:pPr>
        <w:pStyle w:val="FirstParagraph"/>
      </w:pPr>
      <w:r>
        <w:rPr>
          <w:rFonts w:ascii="Times New Roman" w:hAnsi="Times New Roman"/>
        </w:rPr>
        <w:t xml:space="preserve">Les inhibiteurs organiques naturels constituent un axe de recherche actif, particulièrement pertinent dans le contexte africain où des ressources végétales locales (extraits d’Azadirachta indica, d’Hibiscus sabdariffa, huiles végétales) ont démontré des propriétés inhibitrices significatives (η &gt; 80%) dans plusieurs études publiées (Okafor et al., 2010 ; Umoren et al., 2013).</w:t>
      </w:r>
    </w:p>
    <w:p>
      <w:pPr>
        <w:pStyle w:val="BodyText"/>
      </w:pPr>
      <w:r>
        <w:rPr>
          <w:rFonts w:ascii="Times New Roman" w:hAnsi="Times New Roman"/>
        </w:rPr>
        <w:t xml:space="preserve">Dans ce travail, l’inhibiteur retenu est l’</w:t>
      </w:r>
      <w:r>
        <w:rPr>
          <w:rFonts w:ascii="Times New Roman" w:hAnsi="Times New Roman"/>
          <w:b/>
          <w:bCs/>
        </w:rPr>
        <w:t xml:space="preserve">AC PROTECT 106</w:t>
      </w:r>
      <w:r>
        <w:rPr>
          <w:rFonts w:ascii="Times New Roman" w:hAnsi="Times New Roman"/>
        </w:rPr>
        <w:t xml:space="preserve">, un inhibiteur de corrosion industriel à base d’</w:t>
      </w:r>
      <w:r>
        <w:rPr>
          <w:rFonts w:ascii="Times New Roman" w:hAnsi="Times New Roman"/>
          <w:b/>
          <w:bCs/>
        </w:rPr>
        <w:t xml:space="preserve">imidazoline</w:t>
      </w:r>
      <w:r>
        <w:rPr>
          <w:rFonts w:ascii="Times New Roman" w:hAnsi="Times New Roman"/>
        </w:rPr>
        <w:t xml:space="preserve"> </w:t>
      </w:r>
      <w:r>
        <w:rPr>
          <w:rFonts w:ascii="Times New Roman" w:hAnsi="Times New Roman"/>
        </w:rPr>
        <w:t xml:space="preserve">et de ses dérivés. Les imidazolines constituent la famille d’inhibiteurs organiques la plus utilisée en industrie pétrolière pour la protection de l’acier en milieu acide chlorhydrique (HCl) : leur mécanisme d’action repose sur l’adsorption d’un film moléculaire dense sur la surface métallique via les doublets d’électrons libres de l’azote de l’hétérocycle, bloquant simultanément les sites anodiques et cathodiques (inhibiteur mixte). Ce mécanisme est identique en milieu Detar Plus dont la composante HCl est le principal agent corrosif. L’efficacité des imidazolines en milieu HCl est largement documentée dans la littérature : η &gt; 90% pour des concentrations de 0,1 à 1% v/v (Bentiss et al., 2000 ; Popova et al., 2003 ; Quraishi et Sharma, 2003). Une propriété clé pour ce travail est le</w:t>
      </w:r>
      <w:r>
        <w:rPr>
          <w:rFonts w:ascii="Times New Roman" w:hAnsi="Times New Roman"/>
        </w:rPr>
        <w:t xml:space="preserve"> </w:t>
      </w:r>
      <w:r>
        <w:rPr>
          <w:rFonts w:ascii="Times New Roman" w:hAnsi="Times New Roman"/>
          <w:b/>
          <w:bCs/>
        </w:rPr>
        <w:t xml:space="preserve">temps d’adsorption</w:t>
      </w:r>
      <w:r>
        <w:rPr>
          <w:rFonts w:ascii="Times New Roman" w:hAnsi="Times New Roman"/>
        </w:rPr>
        <w:t xml:space="preserve"> </w:t>
      </w:r>
      <w:r>
        <w:rPr>
          <w:rFonts w:ascii="Times New Roman" w:hAnsi="Times New Roman"/>
        </w:rPr>
        <w:t xml:space="preserve">de l’inhibiteur — le délai entre l’injection et l’établissement du film protecteur (typiquement quelques minutes à quelques dizaines de minutes selon la concentration et la température) — qui sera mesuré directement sur la courbe dR/dt comme indicateur de l’efficacité cinétique de la protection.</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La dose d’inhibiteur recommandée constitue l’une des SORTIES du système prédictif. Le modèle XGBoost prédit le taux de corrosion futur et la durée de vie résiduelle (RUL), puis un moteur de règles recommande automatiquement la dose d’AC PROTECT 106 (imidazoline) optimale (0, 1, 2 ou 5 g/L) pour maintenir η &gt; 90% — boucle fermée mesure → prédiction → action de protection.</w:t>
      </w:r>
    </w:p>
    <w:bookmarkEnd w:id="42"/>
    <w:bookmarkStart w:id="43" w:name="synthèse-facteurs-et-features-xgboost"/>
    <w:p>
      <w:pPr>
        <w:pStyle w:val="Heading3"/>
      </w:pPr>
      <w:r>
        <w:rPr>
          <w:rFonts w:ascii="Times New Roman" w:hAnsi="Times New Roman"/>
        </w:rPr>
        <w:t xml:space="preserve">1.3.7 Synthèse — Facteurs et features XGBoost</w:t>
      </w:r>
    </w:p>
    <w:p>
      <w:pPr>
        <w:pStyle w:val="FirstParagraph"/>
      </w:pPr>
      <w:r>
        <w:rPr>
          <w:rFonts w:ascii="Times New Roman" w:hAnsi="Times New Roman"/>
        </w:rPr>
        <w:t xml:space="preserve">Le tableau suivant synthétise les facteurs influents, leur effet sur le taux de corrosion et leur statut dans le modèle de prédiction :</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ascii="Times New Roman" w:hAnsi="Times New Roman"/>
                <w:b/>
                <w:sz w:val="20"/>
              </w:rPr>
              <w:t xml:space="preserve">Facteur</w:t>
            </w:r>
          </w:p>
        </w:tc>
        <w:tc>
          <w:tcPr/>
          <w:p>
            <w:pPr>
              <w:pStyle w:val="Compact"/>
              <w:jc w:val="left"/>
            </w:pPr>
            <w:r>
              <w:rPr>
                <w:rFonts w:ascii="Times New Roman" w:hAnsi="Times New Roman"/>
                <w:b/>
                <w:sz w:val="20"/>
              </w:rPr>
              <w:t xml:space="preserve">Effet sur CR</w:t>
            </w:r>
          </w:p>
        </w:tc>
        <w:tc>
          <w:tcPr/>
          <w:p>
            <w:pPr>
              <w:pStyle w:val="Compact"/>
              <w:jc w:val="left"/>
            </w:pPr>
            <w:r>
              <w:rPr>
                <w:rFonts w:ascii="Times New Roman" w:hAnsi="Times New Roman"/>
                <w:b/>
                <w:sz w:val="20"/>
              </w:rPr>
              <w:t xml:space="preserve">Mesuré dans prototype</w:t>
            </w:r>
          </w:p>
        </w:tc>
        <w:tc>
          <w:tcPr/>
          <w:p>
            <w:pPr>
              <w:pStyle w:val="Compact"/>
              <w:jc w:val="left"/>
            </w:pPr>
            <w:r>
              <w:rPr>
                <w:rFonts w:ascii="Times New Roman" w:hAnsi="Times New Roman"/>
                <w:b/>
                <w:sz w:val="20"/>
              </w:rPr>
              <w:t xml:space="preserve">Feature XGBoost</w:t>
            </w:r>
          </w:p>
        </w:tc>
      </w:tr>
      <w:tr>
        <w:tc>
          <w:tcPr/>
          <w:p>
            <w:pPr>
              <w:pStyle w:val="Compact"/>
              <w:jc w:val="left"/>
            </w:pPr>
            <w:r>
              <w:rPr>
                <w:rFonts w:ascii="Times New Roman" w:hAnsi="Times New Roman"/>
                <w:sz w:val="20"/>
              </w:rPr>
              <w:t xml:space="preserve">Température (T)</w:t>
            </w:r>
          </w:p>
        </w:tc>
        <w:tc>
          <w:tcPr/>
          <w:p>
            <w:pPr>
              <w:pStyle w:val="Compact"/>
              <w:jc w:val="left"/>
            </w:pPr>
            <w:r>
              <w:rPr>
                <w:rFonts w:ascii="Times New Roman" w:hAnsi="Times New Roman"/>
                <w:sz w:val="20"/>
              </w:rPr>
              <w:t xml:space="preserve">CR × 2 par +10°C</w:t>
            </w:r>
          </w:p>
        </w:tc>
        <w:tc>
          <w:tcPr/>
          <w:p>
            <w:pPr>
              <w:pStyle w:val="Compact"/>
              <w:jc w:val="left"/>
            </w:pPr>
            <w:r>
              <w:rPr>
                <w:rFonts w:ascii="Times New Roman" w:hAnsi="Times New Roman"/>
                <w:sz w:val="20"/>
              </w:rPr>
              <w:t xml:space="preserve">DS18B20 (continu)</w:t>
            </w:r>
          </w:p>
        </w:tc>
        <w:tc>
          <w:tcPr/>
          <w:p>
            <w:pPr>
              <w:pStyle w:val="Compact"/>
              <w:jc w:val="left"/>
            </w:pPr>
            <w:r>
              <w:rPr>
                <w:rFonts w:ascii="Times New Roman" w:hAnsi="Times New Roman"/>
                <w:sz w:val="20"/>
              </w:rPr>
              <w:t xml:space="preserve">Oui — temp</w:t>
            </w:r>
          </w:p>
        </w:tc>
      </w:tr>
      <w:tr>
        <w:tc>
          <w:tcPr/>
          <w:p>
            <w:pPr>
              <w:pStyle w:val="Compact"/>
              <w:jc w:val="left"/>
            </w:pPr>
            <w:r>
              <w:rPr>
                <w:rFonts w:ascii="Times New Roman" w:hAnsi="Times New Roman"/>
                <w:sz w:val="20"/>
              </w:rPr>
              <w:t xml:space="preserve">pH / acidité</w:t>
            </w:r>
          </w:p>
        </w:tc>
        <w:tc>
          <w:tcPr/>
          <w:p>
            <w:pPr>
              <w:pStyle w:val="Compact"/>
              <w:jc w:val="left"/>
            </w:pPr>
            <w:r>
              <w:rPr>
                <w:rFonts w:ascii="Times New Roman" w:hAnsi="Times New Roman"/>
                <w:sz w:val="20"/>
              </w:rPr>
              <w:t xml:space="preserve">CR ↑ quand pH ↓</w:t>
            </w:r>
          </w:p>
        </w:tc>
        <w:tc>
          <w:tcPr/>
          <w:p>
            <w:pPr>
              <w:pStyle w:val="Compact"/>
              <w:jc w:val="left"/>
            </w:pPr>
            <w:r>
              <w:rPr>
                <w:rFonts w:ascii="Times New Roman" w:hAnsi="Times New Roman"/>
                <w:sz w:val="20"/>
              </w:rPr>
              <w:t xml:space="preserve">Papier pH (mesure initiale) — pH ≈ 1, utilisé comme constante</w:t>
            </w:r>
          </w:p>
        </w:tc>
        <w:tc>
          <w:tcPr/>
          <w:p>
            <w:pPr>
              <w:pStyle w:val="Compact"/>
              <w:jc w:val="left"/>
            </w:pPr>
            <w:r>
              <w:rPr>
                <w:rFonts w:ascii="Times New Roman" w:hAnsi="Times New Roman"/>
                <w:sz w:val="20"/>
              </w:rPr>
              <w:t xml:space="preserve">Constante = 1</w:t>
            </w:r>
          </w:p>
        </w:tc>
      </w:tr>
      <w:tr>
        <w:tc>
          <w:tcPr/>
          <w:p>
            <w:pPr>
              <w:pStyle w:val="Compact"/>
              <w:jc w:val="left"/>
            </w:pPr>
            <w:r>
              <w:rPr>
                <w:rFonts w:ascii="Times New Roman" w:hAnsi="Times New Roman"/>
                <w:sz w:val="20"/>
              </w:rPr>
              <w:t xml:space="preserve">pCO₂</w:t>
            </w:r>
          </w:p>
        </w:tc>
        <w:tc>
          <w:tcPr/>
          <w:p>
            <w:pPr>
              <w:pStyle w:val="Compact"/>
              <w:jc w:val="left"/>
            </w:pPr>
            <w:r>
              <w:rPr>
                <w:rFonts w:ascii="Times New Roman" w:hAnsi="Times New Roman"/>
                <w:sz w:val="20"/>
              </w:rPr>
              <w:t xml:space="preserve">CR ∝ pCO₂^0,67</w:t>
            </w:r>
          </w:p>
        </w:tc>
        <w:tc>
          <w:tcPr/>
          <w:p>
            <w:pPr>
              <w:pStyle w:val="Compact"/>
              <w:jc w:val="left"/>
            </w:pPr>
            <w:r>
              <w:rPr>
                <w:rFonts w:ascii="Times New Roman" w:hAnsi="Times New Roman"/>
                <w:sz w:val="20"/>
              </w:rPr>
              <w:t xml:space="preserve">Non applicable (milieu HCl/H₃PO₄)</w:t>
            </w:r>
          </w:p>
        </w:tc>
        <w:tc>
          <w:tcPr/>
          <w:p>
            <w:pPr>
              <w:pStyle w:val="Compact"/>
              <w:jc w:val="left"/>
            </w:pPr>
            <w:r>
              <w:rPr>
                <w:rFonts w:ascii="Times New Roman" w:hAnsi="Times New Roman"/>
                <w:sz w:val="20"/>
              </w:rPr>
              <w:t xml:space="preserve">Non</w:t>
            </w:r>
          </w:p>
        </w:tc>
      </w:tr>
      <w:tr>
        <w:tc>
          <w:tcPr/>
          <w:p>
            <w:pPr>
              <w:pStyle w:val="Compact"/>
              <w:jc w:val="left"/>
            </w:pPr>
            <w:r>
              <w:rPr>
                <w:rFonts w:ascii="Times New Roman" w:hAnsi="Times New Roman"/>
                <w:sz w:val="20"/>
              </w:rPr>
              <w:t xml:space="preserve">BSW (teneur en eau)</w:t>
            </w:r>
          </w:p>
        </w:tc>
        <w:tc>
          <w:tcPr/>
          <w:p>
            <w:pPr>
              <w:pStyle w:val="Compact"/>
              <w:jc w:val="left"/>
            </w:pPr>
            <w:r>
              <w:rPr>
                <w:rFonts w:ascii="Times New Roman" w:hAnsi="Times New Roman"/>
                <w:sz w:val="20"/>
              </w:rPr>
              <w:t xml:space="preserve">CR ↑ quand BSW ↑</w:t>
            </w:r>
          </w:p>
        </w:tc>
        <w:tc>
          <w:tcPr/>
          <w:p>
            <w:pPr>
              <w:pStyle w:val="Compact"/>
              <w:jc w:val="left"/>
            </w:pPr>
            <w:r>
              <w:rPr>
                <w:rFonts w:ascii="Times New Roman" w:hAnsi="Times New Roman"/>
                <w:sz w:val="20"/>
              </w:rPr>
              <w:t xml:space="preserve">Solution 100% aqueuse</w:t>
            </w:r>
          </w:p>
        </w:tc>
        <w:tc>
          <w:tcPr/>
          <w:p>
            <w:pPr>
              <w:pStyle w:val="Compact"/>
              <w:jc w:val="left"/>
            </w:pPr>
            <w:r>
              <w:rPr>
                <w:rFonts w:ascii="Times New Roman" w:hAnsi="Times New Roman"/>
                <w:sz w:val="20"/>
              </w:rPr>
              <w:t xml:space="preserve">Fixe = 100%</w:t>
            </w:r>
          </w:p>
        </w:tc>
      </w:tr>
      <w:tr>
        <w:tc>
          <w:tcPr/>
          <w:p>
            <w:pPr>
              <w:pStyle w:val="Compact"/>
              <w:jc w:val="left"/>
            </w:pPr>
            <w:r>
              <w:rPr>
                <w:rFonts w:ascii="Times New Roman" w:hAnsi="Times New Roman"/>
                <w:sz w:val="20"/>
              </w:rPr>
              <w:t xml:space="preserve">Vitesse écoulement</w:t>
            </w:r>
          </w:p>
        </w:tc>
        <w:tc>
          <w:tcPr/>
          <w:p>
            <w:pPr>
              <w:pStyle w:val="Compact"/>
              <w:jc w:val="left"/>
            </w:pPr>
            <w:r>
              <w:rPr>
                <w:rFonts w:ascii="Times New Roman" w:hAnsi="Times New Roman"/>
                <w:sz w:val="20"/>
              </w:rPr>
              <w:t xml:space="preserve">CR ↑ (érosion-corrosion)</w:t>
            </w:r>
          </w:p>
        </w:tc>
        <w:tc>
          <w:tcPr/>
          <w:p>
            <w:pPr>
              <w:pStyle w:val="Compact"/>
              <w:jc w:val="left"/>
            </w:pPr>
            <w:r>
              <w:rPr>
                <w:rFonts w:ascii="Times New Roman" w:hAnsi="Times New Roman"/>
                <w:sz w:val="20"/>
              </w:rPr>
              <w:t xml:space="preserve">Non — bac statique</w:t>
            </w:r>
          </w:p>
        </w:tc>
        <w:tc>
          <w:tcPr/>
          <w:p>
            <w:pPr>
              <w:pStyle w:val="Compact"/>
              <w:jc w:val="left"/>
            </w:pPr>
            <w:r>
              <w:rPr>
                <w:rFonts w:ascii="Times New Roman" w:hAnsi="Times New Roman"/>
                <w:sz w:val="20"/>
              </w:rPr>
              <w:t xml:space="preserve">Non</w:t>
            </w:r>
          </w:p>
        </w:tc>
      </w:tr>
      <w:tr>
        <w:tc>
          <w:tcPr/>
          <w:p>
            <w:pPr>
              <w:pStyle w:val="Compact"/>
              <w:jc w:val="left"/>
            </w:pPr>
            <w:r>
              <w:rPr>
                <w:rFonts w:ascii="Times New Roman" w:hAnsi="Times New Roman"/>
                <w:sz w:val="20"/>
              </w:rPr>
              <w:t xml:space="preserve">Inhibiteur (AC PROTECT 106 (imidazoline))</w:t>
            </w:r>
          </w:p>
        </w:tc>
        <w:tc>
          <w:tcPr/>
          <w:p>
            <w:pPr>
              <w:pStyle w:val="Compact"/>
              <w:jc w:val="left"/>
            </w:pPr>
            <w:r>
              <w:rPr>
                <w:rFonts w:ascii="Times New Roman" w:hAnsi="Times New Roman"/>
                <w:sz w:val="20"/>
              </w:rPr>
              <w:t xml:space="preserve">CR ↓ si η &gt; 90%</w:t>
            </w:r>
          </w:p>
        </w:tc>
        <w:tc>
          <w:tcPr/>
          <w:p>
            <w:pPr>
              <w:pStyle w:val="Compact"/>
              <w:jc w:val="left"/>
            </w:pPr>
            <w:r>
              <w:rPr>
                <w:rFonts w:ascii="Times New Roman" w:hAnsi="Times New Roman"/>
                <w:sz w:val="20"/>
              </w:rPr>
              <w:t xml:space="preserve">Dose ajoutée manuellement (g/L)</w:t>
            </w:r>
          </w:p>
        </w:tc>
        <w:tc>
          <w:tcPr/>
          <w:p>
            <w:pPr>
              <w:pStyle w:val="Compact"/>
              <w:jc w:val="left"/>
            </w:pPr>
            <w:r>
              <w:rPr>
                <w:rFonts w:ascii="Times New Roman" w:hAnsi="Times New Roman"/>
                <w:sz w:val="20"/>
              </w:rPr>
              <w:t xml:space="preserve">Oui — dose_inhibiteur</w:t>
            </w:r>
          </w:p>
        </w:tc>
      </w:tr>
      <w:tr>
        <w:tc>
          <w:tcPr/>
          <w:p>
            <w:pPr>
              <w:pStyle w:val="Compact"/>
              <w:jc w:val="left"/>
            </w:pPr>
            <w:r>
              <w:rPr>
                <w:rFonts w:ascii="Times New Roman" w:hAnsi="Times New Roman"/>
                <w:sz w:val="20"/>
              </w:rPr>
              <w:t xml:space="preserve">Résistance sonde ER</w:t>
            </w:r>
          </w:p>
        </w:tc>
        <w:tc>
          <w:tcPr/>
          <w:p>
            <w:pPr>
              <w:pStyle w:val="Compact"/>
              <w:jc w:val="left"/>
            </w:pPr>
            <w:r>
              <w:rPr>
                <w:rFonts w:ascii="Times New Roman" w:hAnsi="Times New Roman"/>
                <w:sz w:val="20"/>
              </w:rPr>
              <w:t xml:space="preserve">R ↑ quand CR ↑ (fil s’amince)</w:t>
            </w:r>
          </w:p>
        </w:tc>
        <w:tc>
          <w:tcPr/>
          <w:p>
            <w:pPr>
              <w:pStyle w:val="Compact"/>
              <w:jc w:val="left"/>
            </w:pPr>
            <w:r>
              <w:rPr>
                <w:rFonts w:ascii="Times New Roman" w:hAnsi="Times New Roman"/>
                <w:sz w:val="20"/>
              </w:rPr>
              <w:t xml:space="preserve">HX711 + pont Wheatstone</w:t>
            </w:r>
          </w:p>
        </w:tc>
        <w:tc>
          <w:tcPr/>
          <w:p>
            <w:pPr>
              <w:pStyle w:val="Compact"/>
              <w:jc w:val="left"/>
            </w:pPr>
            <w:r>
              <w:rPr>
                <w:rFonts w:ascii="Times New Roman" w:hAnsi="Times New Roman"/>
                <w:sz w:val="20"/>
              </w:rPr>
              <w:t xml:space="preserve">Oui — resistance, delta_R</w:t>
            </w:r>
          </w:p>
        </w:tc>
      </w:tr>
      <w:tr>
        <w:tc>
          <w:tcPr/>
          <w:p>
            <w:pPr>
              <w:pStyle w:val="Compact"/>
              <w:jc w:val="left"/>
            </w:pPr>
            <w:r>
              <w:rPr>
                <w:rFonts w:ascii="Times New Roman" w:hAnsi="Times New Roman"/>
                <w:sz w:val="20"/>
              </w:rPr>
              <w:t xml:space="preserve">Temps depuis immersion</w:t>
            </w:r>
          </w:p>
        </w:tc>
        <w:tc>
          <w:tcPr/>
          <w:p>
            <w:pPr>
              <w:pStyle w:val="Compact"/>
              <w:jc w:val="left"/>
            </w:pPr>
            <w:r>
              <w:rPr>
                <w:rFonts w:ascii="Times New Roman" w:hAnsi="Times New Roman"/>
                <w:sz w:val="20"/>
              </w:rPr>
              <w:t xml:space="preserve">Indicateur d’épuisement de l’acide</w:t>
            </w:r>
          </w:p>
        </w:tc>
        <w:tc>
          <w:tcPr/>
          <w:p>
            <w:pPr>
              <w:pStyle w:val="Compact"/>
              <w:jc w:val="left"/>
            </w:pPr>
            <w:r>
              <w:rPr>
                <w:rFonts w:ascii="Times New Roman" w:hAnsi="Times New Roman"/>
                <w:sz w:val="20"/>
              </w:rPr>
              <w:t xml:space="preserve">Horodatage ESP32</w:t>
            </w:r>
          </w:p>
        </w:tc>
        <w:tc>
          <w:tcPr/>
          <w:p>
            <w:pPr>
              <w:pStyle w:val="Compact"/>
              <w:jc w:val="left"/>
            </w:pPr>
            <w:r>
              <w:rPr>
                <w:rFonts w:ascii="Times New Roman" w:hAnsi="Times New Roman"/>
                <w:sz w:val="20"/>
              </w:rPr>
              <w:t xml:space="preserve">Oui — temps_immersion</w:t>
            </w:r>
          </w:p>
        </w:tc>
      </w:tr>
    </w:tbl>
    <w:bookmarkEnd w:id="43"/>
    <w:bookmarkEnd w:id="44"/>
    <w:bookmarkStart w:id="45" w:name="coûts-et-enjeux-mondiaux-de-la-corrosion"/>
    <w:p>
      <w:pPr>
        <w:pStyle w:val="Heading2"/>
      </w:pPr>
      <w:r>
        <w:rPr>
          <w:rFonts w:ascii="Times New Roman" w:hAnsi="Times New Roman"/>
        </w:rPr>
        <w:t xml:space="preserve">1.4 Coûts et enjeux mondiaux de la corrosion</w:t>
      </w:r>
    </w:p>
    <w:p>
      <w:pPr>
        <w:pStyle w:val="FirstParagraph"/>
      </w:pPr>
      <w:r>
        <w:rPr>
          <w:rFonts w:ascii="Times New Roman" w:hAnsi="Times New Roman"/>
        </w:rPr>
        <w:t xml:space="preserve">La corrosion représente l’un des défis économiques les plus coûteux de l’industrie mondiale. L’étude de référence NACE IMPACT (International Measures of Prevention, Application, and Economics of Corrosion Technologies), publiée en 2016, évalue le coût annuel mondial de la corrosion à 2 500 milliards de dollars USD, soit environ 3,4% du PIB mondial. Ce chiffre dépasse le coût combiné des catastrophes naturelles annuelles et illustre l’ampleur du problème.</w:t>
      </w:r>
    </w:p>
    <w:p>
      <w:pPr>
        <w:pStyle w:val="BodyText"/>
      </w:pPr>
      <w:r>
        <w:rPr>
          <w:rFonts w:ascii="Times New Roman" w:hAnsi="Times New Roman"/>
        </w:rPr>
        <w:t xml:space="preserve">Dans le secteur Oil &amp; Gas spécifiquement, la corrosion représente entre 25% et 35% de l’ensemble des défaillances de pipelines. Aux États-Unis, la base de données PHMSA (Pipeline and Hazardous Materials Safety Administration) recense annuellement entre 600 et 800 incidents significatifs toutes causes confondues sur les réseaux de pipelines (gaz, liquides dangereux). La corrosion est responsable de 15 à 25% de ces incidents, soit environ 100 à 150 incidents significatifs par an directement attribués à la corrosion interne ou externe. Le coût d’un incident majeur dépasse fréquemment 10 millions USD, incluant les travaux de réparation, la dépollution environnementale et les pertes de production.</w:t>
      </w:r>
    </w:p>
    <w:p>
      <w:pPr>
        <w:pStyle w:val="BodyText"/>
      </w:pPr>
      <w:r>
        <w:rPr>
          <w:rFonts w:ascii="Times New Roman" w:hAnsi="Times New Roman"/>
        </w:rPr>
        <w:t xml:space="preserve">L’étude NACE IMPACT souligne également que 25 à 30% de ces coûts seraient évitables par l’application systématique des meilleures pratiques de gestion de la corrosion, parmi lesquelles la surveillance en temps réel et la maintenance prédictive occupent une place centrale. C’est précisément dans cette perspective que s’inscrit le présent travail : démontrer qu’une approche low-cost basée sur l’IoT et le machine learning peut contribuer significativement à la réduction de ces coûts, y compris dans des contextes à ressources limitées tels que l’Afrique subsaharienne.</w:t>
      </w:r>
    </w:p>
    <w:p>
      <w:pPr>
        <w:pStyle w:val="BodyText"/>
      </w:pPr>
      <w:r>
        <w:rPr>
          <w:rFonts w:ascii="Times New Roman" w:hAnsi="Times New Roman"/>
        </w:rPr>
        <w:t xml:space="preserve">Dans le contexte camerounais et africain, l’enjeu est particulièrement critique. Les infrastructures pétrolières (COTCO, Perenco, Total Energies Cameroun) opèrent dans des environnements tropicaux humides qui accélèrent la corrosion, avec des températures ambiantes élevées (28–35°C) et une saison des pluies intense favorisant la corrosion atmosphérique et galvanique. L’accès aux systèmes de surveillance industriels certifiés étant coûteux, le développement de solutions locales adaptées constitue un enjeu stratégique de souveraineté technique.</w:t>
      </w:r>
    </w:p>
    <w:bookmarkEnd w:id="45"/>
    <w:bookmarkStart w:id="50" w:name="X417e1c51c5c7a584574c78233df77902e8190ee"/>
    <w:p>
      <w:pPr>
        <w:pStyle w:val="Heading2"/>
      </w:pPr>
      <w:r>
        <w:rPr>
          <w:rFonts w:ascii="Times New Roman" w:hAnsi="Times New Roman"/>
        </w:rPr>
        <w:t xml:space="preserve">1.5 Stratégies de protection contre la corrosion</w:t>
      </w:r>
    </w:p>
    <w:p>
      <w:pPr>
        <w:pStyle w:val="FirstParagraph"/>
      </w:pPr>
      <w:r>
        <w:rPr>
          <w:rFonts w:ascii="Times New Roman" w:hAnsi="Times New Roman"/>
        </w:rPr>
        <w:t xml:space="preserve">Face aux mécanismes de corrosion décrits précédemment, l’industrie a développé un ensemble de stratégies de protection complémentaires. La norme NACE SP0169 et les recommandations AMPP classifient ces stratégies en cinq grandes catégories, présentées ici dans une logique allant du plus passif au plus actif.</w:t>
      </w:r>
    </w:p>
    <w:bookmarkStart w:id="46" w:name="vue-densemble-des-approches"/>
    <w:p>
      <w:pPr>
        <w:pStyle w:val="Heading3"/>
      </w:pPr>
      <w:r>
        <w:rPr>
          <w:rFonts w:ascii="Times New Roman" w:hAnsi="Times New Roman"/>
        </w:rPr>
        <w:t xml:space="preserve">1.5.1 Vue d’ensemble des approches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b/>
                <w:sz w:val="20"/>
              </w:rPr>
              <w:t xml:space="preserve">Stratégie</w:t>
            </w:r>
          </w:p>
        </w:tc>
        <w:tc>
          <w:tcPr/>
          <w:p>
            <w:pPr>
              <w:pStyle w:val="Compact"/>
              <w:jc w:val="left"/>
            </w:pPr>
            <w:r>
              <w:rPr>
                <w:rFonts w:ascii="Times New Roman" w:hAnsi="Times New Roman"/>
                <w:b/>
                <w:sz w:val="20"/>
              </w:rPr>
              <w:t xml:space="preserve">Principe</w:t>
            </w:r>
          </w:p>
        </w:tc>
        <w:tc>
          <w:tcPr/>
          <w:p>
            <w:pPr>
              <w:pStyle w:val="Compact"/>
              <w:jc w:val="left"/>
            </w:pPr>
            <w:r>
              <w:rPr>
                <w:rFonts w:ascii="Times New Roman" w:hAnsi="Times New Roman"/>
                <w:b/>
                <w:sz w:val="20"/>
              </w:rPr>
              <w:t xml:space="preserve">Limitation principale</w:t>
            </w:r>
          </w:p>
        </w:tc>
      </w:tr>
      <w:tr>
        <w:tc>
          <w:tcPr/>
          <w:p>
            <w:pPr>
              <w:pStyle w:val="Compact"/>
              <w:jc w:val="left"/>
            </w:pPr>
            <w:r>
              <w:rPr>
                <w:rFonts w:ascii="Times New Roman" w:hAnsi="Times New Roman"/>
                <w:sz w:val="20"/>
              </w:rPr>
              <w:t xml:space="preserve">Sélection des matériaux</w:t>
            </w:r>
          </w:p>
        </w:tc>
        <w:tc>
          <w:tcPr/>
          <w:p>
            <w:pPr>
              <w:pStyle w:val="Compact"/>
              <w:jc w:val="left"/>
            </w:pPr>
            <w:r>
              <w:rPr>
                <w:rFonts w:ascii="Times New Roman" w:hAnsi="Times New Roman"/>
                <w:sz w:val="20"/>
              </w:rPr>
              <w:t xml:space="preserve">Utiliser des alliages résistants (inox, Inconel, duplex)</w:t>
            </w:r>
          </w:p>
        </w:tc>
        <w:tc>
          <w:tcPr/>
          <w:p>
            <w:pPr>
              <w:pStyle w:val="Compact"/>
              <w:jc w:val="left"/>
            </w:pPr>
            <w:r>
              <w:rPr>
                <w:rFonts w:ascii="Times New Roman" w:hAnsi="Times New Roman"/>
                <w:sz w:val="20"/>
              </w:rPr>
              <w:t xml:space="preserve">Coût très élevé</w:t>
            </w:r>
          </w:p>
        </w:tc>
      </w:tr>
      <w:tr>
        <w:tc>
          <w:tcPr/>
          <w:p>
            <w:pPr>
              <w:pStyle w:val="Compact"/>
              <w:jc w:val="left"/>
            </w:pPr>
            <w:r>
              <w:rPr>
                <w:rFonts w:ascii="Times New Roman" w:hAnsi="Times New Roman"/>
                <w:sz w:val="20"/>
              </w:rPr>
              <w:t xml:space="preserve">Revêtements et peintures</w:t>
            </w:r>
          </w:p>
        </w:tc>
        <w:tc>
          <w:tcPr/>
          <w:p>
            <w:pPr>
              <w:pStyle w:val="Compact"/>
              <w:jc w:val="left"/>
            </w:pPr>
            <w:r>
              <w:rPr>
                <w:rFonts w:ascii="Times New Roman" w:hAnsi="Times New Roman"/>
                <w:sz w:val="20"/>
              </w:rPr>
              <w:t xml:space="preserve">Barrière physique entre métal et environnement</w:t>
            </w:r>
          </w:p>
        </w:tc>
        <w:tc>
          <w:tcPr/>
          <w:p>
            <w:pPr>
              <w:pStyle w:val="Compact"/>
              <w:jc w:val="left"/>
            </w:pPr>
            <w:r>
              <w:rPr>
                <w:rFonts w:ascii="Times New Roman" w:hAnsi="Times New Roman"/>
                <w:sz w:val="20"/>
              </w:rPr>
              <w:t xml:space="preserve">Passif, vieillissement, discontinuités</w:t>
            </w:r>
          </w:p>
        </w:tc>
      </w:tr>
      <w:tr>
        <w:tc>
          <w:tcPr/>
          <w:p>
            <w:pPr>
              <w:pStyle w:val="Compact"/>
              <w:jc w:val="left"/>
            </w:pPr>
            <w:r>
              <w:rPr>
                <w:rFonts w:ascii="Times New Roman" w:hAnsi="Times New Roman"/>
                <w:sz w:val="20"/>
              </w:rPr>
              <w:t xml:space="preserve">Protection cathodique (CP)</w:t>
            </w:r>
          </w:p>
        </w:tc>
        <w:tc>
          <w:tcPr/>
          <w:p>
            <w:pPr>
              <w:pStyle w:val="Compact"/>
              <w:jc w:val="left"/>
            </w:pPr>
            <w:r>
              <w:rPr>
                <w:rFonts w:ascii="Times New Roman" w:hAnsi="Times New Roman"/>
                <w:sz w:val="20"/>
              </w:rPr>
              <w:t xml:space="preserve">Forcer le métal en zone d’immunité électrochimique</w:t>
            </w:r>
          </w:p>
        </w:tc>
        <w:tc>
          <w:tcPr/>
          <w:p>
            <w:pPr>
              <w:pStyle w:val="Compact"/>
              <w:jc w:val="left"/>
            </w:pPr>
            <w:r>
              <w:rPr>
                <w:rFonts w:ascii="Times New Roman" w:hAnsi="Times New Roman"/>
                <w:sz w:val="20"/>
              </w:rPr>
              <w:t xml:space="preserve">Infrastructure électrique requise</w:t>
            </w:r>
          </w:p>
        </w:tc>
      </w:tr>
      <w:tr>
        <w:tc>
          <w:tcPr/>
          <w:p>
            <w:pPr>
              <w:pStyle w:val="Compact"/>
              <w:jc w:val="left"/>
            </w:pPr>
            <w:r>
              <w:rPr>
                <w:rFonts w:ascii="Times New Roman" w:hAnsi="Times New Roman"/>
                <w:sz w:val="20"/>
              </w:rPr>
              <w:t xml:space="preserve">Inhibiteurs de corrosion</w:t>
            </w:r>
          </w:p>
        </w:tc>
        <w:tc>
          <w:tcPr/>
          <w:p>
            <w:pPr>
              <w:pStyle w:val="Compact"/>
              <w:jc w:val="left"/>
            </w:pPr>
            <w:r>
              <w:rPr>
                <w:rFonts w:ascii="Times New Roman" w:hAnsi="Times New Roman"/>
                <w:sz w:val="20"/>
              </w:rPr>
              <w:t xml:space="preserve">Film chimique adsorbé bloquant les réactions</w:t>
            </w:r>
          </w:p>
        </w:tc>
        <w:tc>
          <w:tcPr/>
          <w:p>
            <w:pPr>
              <w:pStyle w:val="Compact"/>
              <w:jc w:val="left"/>
            </w:pPr>
            <w:r>
              <w:rPr>
                <w:rFonts w:ascii="Times New Roman" w:hAnsi="Times New Roman"/>
                <w:sz w:val="20"/>
              </w:rPr>
              <w:t xml:space="preserve">Dosage continu, coût chimiques</w:t>
            </w:r>
          </w:p>
        </w:tc>
      </w:tr>
      <w:tr>
        <w:tc>
          <w:tcPr/>
          <w:p>
            <w:pPr>
              <w:pStyle w:val="Compact"/>
              <w:jc w:val="left"/>
            </w:pPr>
            <w:r>
              <w:rPr>
                <w:rFonts w:ascii="Times New Roman" w:hAnsi="Times New Roman"/>
                <w:sz w:val="20"/>
              </w:rPr>
              <w:t xml:space="preserve">Contrôle de l’environnement</w:t>
            </w:r>
          </w:p>
        </w:tc>
        <w:tc>
          <w:tcPr/>
          <w:p>
            <w:pPr>
              <w:pStyle w:val="Compact"/>
              <w:jc w:val="left"/>
            </w:pPr>
            <w:r>
              <w:rPr>
                <w:rFonts w:ascii="Times New Roman" w:hAnsi="Times New Roman"/>
                <w:sz w:val="20"/>
              </w:rPr>
              <w:t xml:space="preserve">Dégazage O₂, déshumidification, pH control</w:t>
            </w:r>
          </w:p>
        </w:tc>
        <w:tc>
          <w:tcPr/>
          <w:p>
            <w:pPr>
              <w:pStyle w:val="Compact"/>
              <w:jc w:val="left"/>
            </w:pPr>
            <w:r>
              <w:rPr>
                <w:rFonts w:ascii="Times New Roman" w:hAnsi="Times New Roman"/>
                <w:sz w:val="20"/>
              </w:rPr>
              <w:t xml:space="preserve">Applicable uniquement en circuit fermé</w:t>
            </w:r>
          </w:p>
        </w:tc>
      </w:tr>
    </w:tbl>
    <w:bookmarkEnd w:id="46"/>
    <w:bookmarkStart w:id="47" w:name="revêtements-et-peintures-anti-corrosion"/>
    <w:p>
      <w:pPr>
        <w:pStyle w:val="Heading3"/>
      </w:pPr>
      <w:r>
        <w:rPr>
          <w:rFonts w:ascii="Times New Roman" w:hAnsi="Times New Roman"/>
        </w:rPr>
        <w:t xml:space="preserve">1.5.2 Revêtements et peintures anti-corrosion</w:t>
      </w:r>
    </w:p>
    <w:p>
      <w:pPr>
        <w:pStyle w:val="FirstParagraph"/>
      </w:pPr>
      <w:r>
        <w:rPr>
          <w:rFonts w:ascii="Times New Roman" w:hAnsi="Times New Roman"/>
        </w:rPr>
        <w:t xml:space="preserve">Les revêtements constituent la première ligne de défense dans la majorité des infrastructures industrielles. Ils agissent comme une barrière physique empêchant le contact direct entre le métal et l’environnement corrosif. Les principaux types utilisés dans l’industrie pétrolière sont les revêtements époxy (application liquide, norme ISO 12944), le FBE (Fusion Bonded Epoxy, norme CSA Z245.20 / NACE SP0394) pour les pipelines enterrés, et la métallisation par projection thermique de zinc ou d’aluminium (norme ISO 2063) pour les structures offshore.</w:t>
      </w:r>
    </w:p>
    <w:p>
      <w:pPr>
        <w:pStyle w:val="BodyText"/>
      </w:pPr>
      <w:r>
        <w:rPr>
          <w:rFonts w:ascii="Times New Roman" w:hAnsi="Times New Roman"/>
        </w:rPr>
        <w:t xml:space="preserve">La limite fondamentale des revêtements est leur caractère passif et non adaptatif : une fois posé, le revêtement ne s’ajuste pas aux variations des conditions opératoires. Toute discontinuité (holiday, défaut d’application, vieillissement) crée un point d’attaque corrosive concentrée, souvent plus sévère que sans revêtement (effet d’anode de petite surface). C’est pourquoi les revêtements sont systématiquement combinés avec la protection cathodique sur les pipelines enterrés.</w:t>
      </w:r>
    </w:p>
    <w:p>
      <w:pPr>
        <w:pStyle w:val="BodyText"/>
      </w:pPr>
      <w:r>
        <w:rPr>
          <w:rFonts w:ascii="Times New Roman" w:hAnsi="Times New Roman"/>
        </w:rPr>
        <w:t xml:space="preserve">Cette stratégie étant purement passive et ne générant aucune donnée mesurable par notre système, elle ne sera pas développée davantage dans ce mémoire. Elle constitue néanmoins un prérequis de la conception des pipelines que tout ingénieur en corrosion doit maîtriser.</w:t>
      </w:r>
    </w:p>
    <w:bookmarkEnd w:id="47"/>
    <w:bookmarkStart w:id="48" w:name="protection-cathodique-cp"/>
    <w:p>
      <w:pPr>
        <w:pStyle w:val="Heading3"/>
      </w:pPr>
      <w:r>
        <w:rPr>
          <w:rFonts w:ascii="Times New Roman" w:hAnsi="Times New Roman"/>
        </w:rPr>
        <w:t xml:space="preserve">1.5.3 Protection cathodique (CP)</w:t>
      </w:r>
    </w:p>
    <w:p>
      <w:pPr>
        <w:pStyle w:val="FirstParagraph"/>
      </w:pPr>
      <w:r>
        <w:rPr>
          <w:rFonts w:ascii="Times New Roman" w:hAnsi="Times New Roman"/>
        </w:rPr>
        <w:t xml:space="preserve">La protection cathodique est l’une des méthodes les plus efficaces et les plus répandues pour protéger les structures métalliques enterrées ou immergées. Son principe repose sur la thermodynamique électrochimique : en abaissant le potentiel du métal à protéger jusqu’à la zone d’immunité du diagramme de Pourbaix, toute dissolution anodique devient thermodynamiquement impossible.</w:t>
      </w:r>
    </w:p>
    <w:p>
      <w:pPr>
        <w:pStyle w:val="BodyText"/>
      </w:pPr>
      <w:r>
        <w:rPr>
          <w:rFonts w:ascii="Times New Roman" w:hAnsi="Times New Roman"/>
        </w:rPr>
        <w:t xml:space="preserve">Deux technologies coexistent en industrie (NACE SP0169) :</w:t>
      </w:r>
    </w:p>
    <w:p>
      <w:pPr>
        <w:pStyle w:val="Compact"/>
        <w:numPr>
          <w:ilvl w:val="0"/>
          <w:numId w:val="1005"/>
        </w:numPr>
      </w:pPr>
      <w:r>
        <w:rPr>
          <w:rFonts w:ascii="Times New Roman" w:hAnsi="Times New Roman"/>
          <w:b/>
          <w:bCs/>
        </w:rPr>
        <w:t xml:space="preserve">Anode sacrificielle</w:t>
      </w:r>
      <w:r>
        <w:rPr>
          <w:rFonts w:ascii="Times New Roman" w:hAnsi="Times New Roman"/>
        </w:rPr>
        <w:t xml:space="preserve"> </w:t>
      </w:r>
      <w:r>
        <w:rPr>
          <w:rFonts w:ascii="Times New Roman" w:hAnsi="Times New Roman"/>
        </w:rPr>
        <w:t xml:space="preserve">: Un métal moins noble (zinc, magnésium, aluminium) est connecté électriquement à la structure à protéger. Ce métal, plus anodique, se corrode préférentiellement en protégeant la structure. Avantages : aucune alimentation électrique requise, installation simple. Limitation : durée de vie limitée de l’anode, efficacité décroissante. Normes EN 12473 (principes généraux de la CP), EN 12954 (structures enterrées), NACE SP0387.</w:t>
      </w:r>
    </w:p>
    <w:p>
      <w:pPr>
        <w:pStyle w:val="Compact"/>
        <w:numPr>
          <w:ilvl w:val="0"/>
          <w:numId w:val="1005"/>
        </w:numPr>
      </w:pPr>
      <w:r>
        <w:rPr>
          <w:rFonts w:ascii="Times New Roman" w:hAnsi="Times New Roman"/>
          <w:b/>
          <w:bCs/>
        </w:rPr>
        <w:t xml:space="preserve">Courant imposé (ICCP)</w:t>
      </w:r>
      <w:r>
        <w:rPr>
          <w:rFonts w:ascii="Times New Roman" w:hAnsi="Times New Roman"/>
        </w:rPr>
        <w:t xml:space="preserve"> </w:t>
      </w:r>
      <w:r>
        <w:rPr>
          <w:rFonts w:ascii="Times New Roman" w:hAnsi="Times New Roman"/>
        </w:rPr>
        <w:t xml:space="preserve">: Un courant électrique continu est imposé de l’extérieur via un redresseur et des anodes inertes (platine, MMO). Le potentiel de protection visé est −850 mV/CSE (Electrode au Sulfate de Cuivre) pour l’acier au carbone selon NACE SP0169. Avantages : puissance ajustable, très longue durée de vie. Limitation : infrastructure électrique requise, risque de surprotection (fragilisation par hydrogène).</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Dans le prototype, certains runs du protocole expérimental peuvent intégrer une anode sacrificielle en zinc connectée au fil de fer, créant un couple galvanique où le zinc se corrode préférentiellement. Le modèle XGBoost enregistre cette variable protection_cathodique (booléen) et quantifie la réduction de CR associée. L’utilisation de la protection cathodique reste optionnelle dans le protocole, la priorité étant donnée à l’inhibition chimique (AC PROTECT 106 (imidazoline)) comme stratégie de protection évaluée.</w:t>
      </w:r>
    </w:p>
    <w:bookmarkEnd w:id="48"/>
    <w:bookmarkStart w:id="49" w:name="Xaef6e0538582c285072f1175b5f0f639f3c180c"/>
    <w:p>
      <w:pPr>
        <w:pStyle w:val="Heading3"/>
      </w:pPr>
      <w:r>
        <w:rPr>
          <w:rFonts w:ascii="Times New Roman" w:hAnsi="Times New Roman"/>
        </w:rPr>
        <w:t xml:space="preserve">1.5.4 Inhibiteurs de corrosion — Application industrielle</w:t>
      </w:r>
    </w:p>
    <w:p>
      <w:pPr>
        <w:pStyle w:val="FirstParagraph"/>
      </w:pPr>
      <w:r>
        <w:rPr>
          <w:rFonts w:ascii="Times New Roman" w:hAnsi="Times New Roman"/>
        </w:rPr>
        <w:t xml:space="preserve">La section 1.3.6 a présenté les mécanismes d’action et la classification des inhibiteurs. Cette section se concentre sur leur application industrielle et les enjeux de dosage, directement reliés à la sortie du modèle XGBoost.</w:t>
      </w:r>
    </w:p>
    <w:p>
      <w:pPr>
        <w:pStyle w:val="BodyText"/>
      </w:pPr>
      <w:r>
        <w:rPr>
          <w:rFonts w:ascii="Times New Roman" w:hAnsi="Times New Roman"/>
        </w:rPr>
        <w:t xml:space="preserve">En industrie pétrolière, les inhibiteurs sont injectés en continu dans le fluide transporté via des pompes doseuses calibrées. La concentration typique est de l’ordre de 10 à 100 ppm (mg/L). Un sous-dosage entraîne une protection insuffisante (η &lt; 70%), tandis qu’un surdosage est économiquement pénalisant et peut interférer avec les traitements en aval (désémulsification, traitement des eaux). La norme NACE TM0374 définit les protocoles d’évaluation de l’efficacité des inhibiteurs en laboratoire par tests rotatifs (wheel test).</w:t>
      </w:r>
    </w:p>
    <w:p>
      <w:pPr>
        <w:pStyle w:val="BodyText"/>
      </w:pPr>
      <w:r>
        <w:rPr>
          <w:rFonts w:ascii="Times New Roman" w:hAnsi="Times New Roman"/>
        </w:rPr>
        <w:t xml:space="preserve">Le défi industriel n’est donc pas seulement de choisir le bon inhibiteur, mais d’ajuster sa dose en temps réel en fonction des conditions opératoires variables (température, débit, BSW). C’est précisément ce problème d’optimisation dynamique que le modèle XGBoost de ce travail vise à résoudre : prédire le taux de corrosion futur et la durée de vie résiduelle (RUL) de l’élément métallique pour recommander la dose d’inhibiteur (AC PROTECT 106 (imidazoline)) minimale garantissant η &gt; 90%.</w:t>
      </w:r>
    </w:p>
    <w:bookmarkEnd w:id="49"/>
    <w:bookmarkEnd w:id="50"/>
    <w:bookmarkStart w:id="51" w:name="cadre-normatif-applicable"/>
    <w:p>
      <w:pPr>
        <w:pStyle w:val="Heading2"/>
      </w:pPr>
      <w:r>
        <w:rPr>
          <w:rFonts w:ascii="Times New Roman" w:hAnsi="Times New Roman"/>
        </w:rPr>
        <w:t xml:space="preserve">1.6 Cadre normatif applicable</w:t>
      </w:r>
    </w:p>
    <w:p>
      <w:pPr>
        <w:pStyle w:val="FirstParagraph"/>
      </w:pPr>
      <w:r>
        <w:rPr>
          <w:rFonts w:ascii="Times New Roman" w:hAnsi="Times New Roman"/>
        </w:rPr>
        <w:t xml:space="preserve">La mesure, la surveillance et la gestion de la corrosion sont encadrées par un ensemble de normes internationales édictées par l’ASTM International, l’AMPP (ex-NACE), l’ISO, l’API et l’ASME. Le tableau suivant présente les normes directement applicables à ce travail :</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b/>
                <w:sz w:val="20"/>
              </w:rPr>
              <w:t xml:space="preserve">Norme</w:t>
            </w:r>
          </w:p>
        </w:tc>
        <w:tc>
          <w:tcPr/>
          <w:p>
            <w:pPr>
              <w:pStyle w:val="Compact"/>
              <w:jc w:val="left"/>
            </w:pPr>
            <w:r>
              <w:rPr>
                <w:rFonts w:ascii="Times New Roman" w:hAnsi="Times New Roman"/>
                <w:b/>
                <w:sz w:val="20"/>
              </w:rPr>
              <w:t xml:space="preserve">Organisme</w:t>
            </w:r>
          </w:p>
        </w:tc>
        <w:tc>
          <w:tcPr/>
          <w:p>
            <w:pPr>
              <w:pStyle w:val="Compact"/>
              <w:jc w:val="left"/>
            </w:pPr>
            <w:r>
              <w:rPr>
                <w:rFonts w:ascii="Times New Roman" w:hAnsi="Times New Roman"/>
                <w:b/>
                <w:sz w:val="20"/>
              </w:rPr>
              <w:t xml:space="preserve">Objet</w:t>
            </w:r>
          </w:p>
        </w:tc>
      </w:tr>
      <w:tr>
        <w:tc>
          <w:tcPr/>
          <w:p>
            <w:pPr>
              <w:pStyle w:val="Compact"/>
              <w:jc w:val="left"/>
            </w:pPr>
            <w:r>
              <w:rPr>
                <w:rFonts w:ascii="Times New Roman" w:hAnsi="Times New Roman"/>
                <w:sz w:val="20"/>
              </w:rPr>
              <w:t xml:space="preserve">ASTM G1</w:t>
            </w:r>
          </w:p>
        </w:tc>
        <w:tc>
          <w:tcPr/>
          <w:p>
            <w:pPr>
              <w:pStyle w:val="Compact"/>
              <w:jc w:val="left"/>
            </w:pPr>
            <w:r>
              <w:rPr>
                <w:rFonts w:ascii="Times New Roman" w:hAnsi="Times New Roman"/>
                <w:sz w:val="20"/>
              </w:rPr>
              <w:t xml:space="preserve">ASTM</w:t>
            </w:r>
          </w:p>
        </w:tc>
        <w:tc>
          <w:tcPr/>
          <w:p>
            <w:pPr>
              <w:pStyle w:val="Compact"/>
              <w:jc w:val="left"/>
            </w:pPr>
            <w:r>
              <w:rPr>
                <w:rFonts w:ascii="Times New Roman" w:hAnsi="Times New Roman"/>
                <w:sz w:val="20"/>
              </w:rPr>
              <w:t xml:space="preserve">Nettoyage et préparation des éprouvettes de corrosion</w:t>
            </w:r>
          </w:p>
        </w:tc>
      </w:tr>
      <w:tr>
        <w:tc>
          <w:tcPr/>
          <w:p>
            <w:pPr>
              <w:pStyle w:val="Compact"/>
              <w:jc w:val="left"/>
            </w:pPr>
            <w:r>
              <w:rPr>
                <w:rFonts w:ascii="Times New Roman" w:hAnsi="Times New Roman"/>
                <w:sz w:val="20"/>
              </w:rPr>
              <w:t xml:space="preserve">ASTM G31</w:t>
            </w:r>
          </w:p>
        </w:tc>
        <w:tc>
          <w:tcPr/>
          <w:p>
            <w:pPr>
              <w:pStyle w:val="Compact"/>
              <w:jc w:val="left"/>
            </w:pPr>
            <w:r>
              <w:rPr>
                <w:rFonts w:ascii="Times New Roman" w:hAnsi="Times New Roman"/>
                <w:sz w:val="20"/>
              </w:rPr>
              <w:t xml:space="preserve">ASTM</w:t>
            </w:r>
          </w:p>
        </w:tc>
        <w:tc>
          <w:tcPr/>
          <w:p>
            <w:pPr>
              <w:pStyle w:val="Compact"/>
              <w:jc w:val="left"/>
            </w:pPr>
            <w:r>
              <w:rPr>
                <w:rFonts w:ascii="Times New Roman" w:hAnsi="Times New Roman"/>
                <w:sz w:val="20"/>
              </w:rPr>
              <w:t xml:space="preserve">Essais d’immersion en laboratoire</w:t>
            </w:r>
          </w:p>
        </w:tc>
      </w:tr>
      <w:tr>
        <w:tc>
          <w:tcPr/>
          <w:p>
            <w:pPr>
              <w:pStyle w:val="Compact"/>
              <w:jc w:val="left"/>
            </w:pPr>
            <w:r>
              <w:rPr>
                <w:rFonts w:ascii="Times New Roman" w:hAnsi="Times New Roman"/>
                <w:sz w:val="20"/>
              </w:rPr>
              <w:t xml:space="preserve">ASTM G46</w:t>
            </w:r>
          </w:p>
        </w:tc>
        <w:tc>
          <w:tcPr/>
          <w:p>
            <w:pPr>
              <w:pStyle w:val="Compact"/>
              <w:jc w:val="left"/>
            </w:pPr>
            <w:r>
              <w:rPr>
                <w:rFonts w:ascii="Times New Roman" w:hAnsi="Times New Roman"/>
                <w:sz w:val="20"/>
              </w:rPr>
              <w:t xml:space="preserve">ASTM</w:t>
            </w:r>
          </w:p>
        </w:tc>
        <w:tc>
          <w:tcPr/>
          <w:p>
            <w:pPr>
              <w:pStyle w:val="Compact"/>
              <w:jc w:val="left"/>
            </w:pPr>
            <w:r>
              <w:rPr>
                <w:rFonts w:ascii="Times New Roman" w:hAnsi="Times New Roman"/>
                <w:sz w:val="20"/>
              </w:rPr>
              <w:t xml:space="preserve">Inspection et caractérisation de la corrosion par piqûres</w:t>
            </w:r>
          </w:p>
        </w:tc>
      </w:tr>
      <w:tr>
        <w:tc>
          <w:tcPr/>
          <w:p>
            <w:pPr>
              <w:pStyle w:val="Compact"/>
              <w:jc w:val="left"/>
            </w:pPr>
            <w:r>
              <w:rPr>
                <w:rFonts w:ascii="Times New Roman" w:hAnsi="Times New Roman"/>
                <w:sz w:val="20"/>
              </w:rPr>
              <w:t xml:space="preserve">ASTM G96-90</w:t>
            </w:r>
          </w:p>
        </w:tc>
        <w:tc>
          <w:tcPr/>
          <w:p>
            <w:pPr>
              <w:pStyle w:val="Compact"/>
              <w:jc w:val="left"/>
            </w:pPr>
            <w:r>
              <w:rPr>
                <w:rFonts w:ascii="Times New Roman" w:hAnsi="Times New Roman"/>
                <w:sz w:val="20"/>
              </w:rPr>
              <w:t xml:space="preserve">ASTM</w:t>
            </w:r>
          </w:p>
        </w:tc>
        <w:tc>
          <w:tcPr/>
          <w:p>
            <w:pPr>
              <w:pStyle w:val="Compact"/>
              <w:jc w:val="left"/>
            </w:pPr>
            <w:r>
              <w:rPr>
                <w:rFonts w:ascii="Times New Roman" w:hAnsi="Times New Roman"/>
                <w:sz w:val="20"/>
              </w:rPr>
              <w:t xml:space="preserve">Surveillance en ligne par méthodes électriques et électrochimiques (ER, LPR)</w:t>
            </w:r>
          </w:p>
        </w:tc>
      </w:tr>
      <w:tr>
        <w:tc>
          <w:tcPr/>
          <w:p>
            <w:pPr>
              <w:pStyle w:val="Compact"/>
              <w:jc w:val="left"/>
            </w:pPr>
            <w:r>
              <w:rPr>
                <w:rFonts w:ascii="Times New Roman" w:hAnsi="Times New Roman"/>
                <w:sz w:val="20"/>
              </w:rPr>
              <w:t xml:space="preserve">ASTM G170</w:t>
            </w:r>
          </w:p>
        </w:tc>
        <w:tc>
          <w:tcPr/>
          <w:p>
            <w:pPr>
              <w:pStyle w:val="Compact"/>
              <w:jc w:val="left"/>
            </w:pPr>
            <w:r>
              <w:rPr>
                <w:rFonts w:ascii="Times New Roman" w:hAnsi="Times New Roman"/>
                <w:sz w:val="20"/>
              </w:rPr>
              <w:t xml:space="preserve">ASTM</w:t>
            </w:r>
          </w:p>
        </w:tc>
        <w:tc>
          <w:tcPr/>
          <w:p>
            <w:pPr>
              <w:pStyle w:val="Compact"/>
              <w:jc w:val="left"/>
            </w:pPr>
            <w:r>
              <w:rPr>
                <w:rFonts w:ascii="Times New Roman" w:hAnsi="Times New Roman"/>
                <w:sz w:val="20"/>
              </w:rPr>
              <w:t xml:space="preserve">Évaluation et qualification des inhibiteurs de corrosion</w:t>
            </w:r>
          </w:p>
        </w:tc>
      </w:tr>
      <w:tr>
        <w:tc>
          <w:tcPr/>
          <w:p>
            <w:pPr>
              <w:pStyle w:val="Compact"/>
              <w:jc w:val="left"/>
            </w:pPr>
            <w:r>
              <w:rPr>
                <w:rFonts w:ascii="Times New Roman" w:hAnsi="Times New Roman"/>
                <w:sz w:val="20"/>
              </w:rPr>
              <w:t xml:space="preserve">NACE SP0775</w:t>
            </w:r>
          </w:p>
        </w:tc>
        <w:tc>
          <w:tcPr/>
          <w:p>
            <w:pPr>
              <w:pStyle w:val="Compact"/>
              <w:jc w:val="left"/>
            </w:pPr>
            <w:r>
              <w:rPr>
                <w:rFonts w:ascii="Times New Roman" w:hAnsi="Times New Roman"/>
                <w:sz w:val="20"/>
              </w:rPr>
              <w:t xml:space="preserve">AMPP</w:t>
            </w:r>
          </w:p>
        </w:tc>
        <w:tc>
          <w:tcPr/>
          <w:p>
            <w:pPr>
              <w:pStyle w:val="Compact"/>
              <w:jc w:val="left"/>
            </w:pPr>
            <w:r>
              <w:rPr>
                <w:rFonts w:ascii="Times New Roman" w:hAnsi="Times New Roman"/>
                <w:sz w:val="20"/>
              </w:rPr>
              <w:t xml:space="preserve">Préparation et utilisation des coupons de corrosion en industrie</w:t>
            </w:r>
          </w:p>
        </w:tc>
      </w:tr>
      <w:tr>
        <w:tc>
          <w:tcPr/>
          <w:p>
            <w:pPr>
              <w:pStyle w:val="Compact"/>
              <w:jc w:val="left"/>
            </w:pPr>
            <w:r>
              <w:rPr>
                <w:rFonts w:ascii="Times New Roman" w:hAnsi="Times New Roman"/>
                <w:sz w:val="20"/>
              </w:rPr>
              <w:t xml:space="preserve">NACE TM0169</w:t>
            </w:r>
          </w:p>
        </w:tc>
        <w:tc>
          <w:tcPr/>
          <w:p>
            <w:pPr>
              <w:pStyle w:val="Compact"/>
              <w:jc w:val="left"/>
            </w:pPr>
            <w:r>
              <w:rPr>
                <w:rFonts w:ascii="Times New Roman" w:hAnsi="Times New Roman"/>
                <w:sz w:val="20"/>
              </w:rPr>
              <w:t xml:space="preserve">AMPP</w:t>
            </w:r>
          </w:p>
        </w:tc>
        <w:tc>
          <w:tcPr/>
          <w:p>
            <w:pPr>
              <w:pStyle w:val="Compact"/>
              <w:jc w:val="left"/>
            </w:pPr>
            <w:r>
              <w:rPr>
                <w:rFonts w:ascii="Times New Roman" w:hAnsi="Times New Roman"/>
                <w:sz w:val="20"/>
              </w:rPr>
              <w:t xml:space="preserve">Évaluation de la corrosion par tests en laboratoire (coupons)</w:t>
            </w:r>
          </w:p>
        </w:tc>
      </w:tr>
      <w:tr>
        <w:tc>
          <w:tcPr/>
          <w:p>
            <w:pPr>
              <w:pStyle w:val="Compact"/>
              <w:jc w:val="left"/>
            </w:pPr>
            <w:r>
              <w:rPr>
                <w:rFonts w:ascii="Times New Roman" w:hAnsi="Times New Roman"/>
                <w:sz w:val="20"/>
              </w:rPr>
              <w:t xml:space="preserve">NACE TM0374</w:t>
            </w:r>
          </w:p>
        </w:tc>
        <w:tc>
          <w:tcPr/>
          <w:p>
            <w:pPr>
              <w:pStyle w:val="Compact"/>
              <w:jc w:val="left"/>
            </w:pPr>
            <w:r>
              <w:rPr>
                <w:rFonts w:ascii="Times New Roman" w:hAnsi="Times New Roman"/>
                <w:sz w:val="20"/>
              </w:rPr>
              <w:t xml:space="preserve">AMPP</w:t>
            </w:r>
          </w:p>
        </w:tc>
        <w:tc>
          <w:tcPr/>
          <w:p>
            <w:pPr>
              <w:pStyle w:val="Compact"/>
              <w:jc w:val="left"/>
            </w:pPr>
            <w:r>
              <w:rPr>
                <w:rFonts w:ascii="Times New Roman" w:hAnsi="Times New Roman"/>
                <w:sz w:val="20"/>
              </w:rPr>
              <w:t xml:space="preserve">Évaluation des inhibiteurs par test rotatif (wheel test)</w:t>
            </w:r>
          </w:p>
        </w:tc>
      </w:tr>
      <w:tr>
        <w:tc>
          <w:tcPr/>
          <w:p>
            <w:pPr>
              <w:pStyle w:val="Compact"/>
              <w:jc w:val="left"/>
            </w:pPr>
            <w:r>
              <w:rPr>
                <w:rFonts w:ascii="Times New Roman" w:hAnsi="Times New Roman"/>
                <w:sz w:val="20"/>
              </w:rPr>
              <w:t xml:space="preserve">NACE MR0175/ISO 15156</w:t>
            </w:r>
          </w:p>
        </w:tc>
        <w:tc>
          <w:tcPr/>
          <w:p>
            <w:pPr>
              <w:pStyle w:val="Compact"/>
              <w:jc w:val="left"/>
            </w:pPr>
            <w:r>
              <w:rPr>
                <w:rFonts w:ascii="Times New Roman" w:hAnsi="Times New Roman"/>
                <w:sz w:val="20"/>
              </w:rPr>
              <w:t xml:space="preserve">AMPP/ISO</w:t>
            </w:r>
          </w:p>
        </w:tc>
        <w:tc>
          <w:tcPr/>
          <w:p>
            <w:pPr>
              <w:pStyle w:val="Compact"/>
              <w:jc w:val="left"/>
            </w:pPr>
            <w:r>
              <w:rPr>
                <w:rFonts w:ascii="Times New Roman" w:hAnsi="Times New Roman"/>
                <w:sz w:val="20"/>
              </w:rPr>
              <w:t xml:space="preserve">Matériaux pour environnements H₂S (sour service)</w:t>
            </w:r>
          </w:p>
        </w:tc>
      </w:tr>
      <w:tr>
        <w:tc>
          <w:tcPr/>
          <w:p>
            <w:pPr>
              <w:pStyle w:val="Compact"/>
              <w:jc w:val="left"/>
            </w:pPr>
            <w:r>
              <w:rPr>
                <w:rFonts w:ascii="Times New Roman" w:hAnsi="Times New Roman"/>
                <w:sz w:val="20"/>
              </w:rPr>
              <w:t xml:space="preserve">NACE SP0169</w:t>
            </w:r>
          </w:p>
        </w:tc>
        <w:tc>
          <w:tcPr/>
          <w:p>
            <w:pPr>
              <w:pStyle w:val="Compact"/>
              <w:jc w:val="left"/>
            </w:pPr>
            <w:r>
              <w:rPr>
                <w:rFonts w:ascii="Times New Roman" w:hAnsi="Times New Roman"/>
                <w:sz w:val="20"/>
              </w:rPr>
              <w:t xml:space="preserve">AMPP</w:t>
            </w:r>
          </w:p>
        </w:tc>
        <w:tc>
          <w:tcPr/>
          <w:p>
            <w:pPr>
              <w:pStyle w:val="Compact"/>
              <w:jc w:val="left"/>
            </w:pPr>
            <w:r>
              <w:rPr>
                <w:rFonts w:ascii="Times New Roman" w:hAnsi="Times New Roman"/>
                <w:sz w:val="20"/>
              </w:rPr>
              <w:t xml:space="preserve">Protection cathodique des pipelines enterrés</w:t>
            </w:r>
          </w:p>
        </w:tc>
      </w:tr>
      <w:tr>
        <w:tc>
          <w:tcPr/>
          <w:p>
            <w:pPr>
              <w:pStyle w:val="Compact"/>
              <w:jc w:val="left"/>
            </w:pPr>
            <w:r>
              <w:rPr>
                <w:rFonts w:ascii="Times New Roman" w:hAnsi="Times New Roman"/>
                <w:sz w:val="20"/>
              </w:rPr>
              <w:t xml:space="preserve">ISO 8044</w:t>
            </w:r>
          </w:p>
        </w:tc>
        <w:tc>
          <w:tcPr/>
          <w:p>
            <w:pPr>
              <w:pStyle w:val="Compact"/>
              <w:jc w:val="left"/>
            </w:pPr>
            <w:r>
              <w:rPr>
                <w:rFonts w:ascii="Times New Roman" w:hAnsi="Times New Roman"/>
                <w:sz w:val="20"/>
              </w:rPr>
              <w:t xml:space="preserve">ISO</w:t>
            </w:r>
          </w:p>
        </w:tc>
        <w:tc>
          <w:tcPr/>
          <w:p>
            <w:pPr>
              <w:pStyle w:val="Compact"/>
              <w:jc w:val="left"/>
            </w:pPr>
            <w:r>
              <w:rPr>
                <w:rFonts w:ascii="Times New Roman" w:hAnsi="Times New Roman"/>
                <w:sz w:val="20"/>
              </w:rPr>
              <w:t xml:space="preserve">Vocabulaire de la corrosion</w:t>
            </w:r>
          </w:p>
        </w:tc>
      </w:tr>
      <w:tr>
        <w:tc>
          <w:tcPr/>
          <w:p>
            <w:pPr>
              <w:pStyle w:val="Compact"/>
              <w:jc w:val="left"/>
            </w:pPr>
            <w:r>
              <w:rPr>
                <w:rFonts w:ascii="Times New Roman" w:hAnsi="Times New Roman"/>
                <w:sz w:val="20"/>
              </w:rPr>
              <w:t xml:space="preserve">ISO 8407</w:t>
            </w:r>
          </w:p>
        </w:tc>
        <w:tc>
          <w:tcPr/>
          <w:p>
            <w:pPr>
              <w:pStyle w:val="Compact"/>
              <w:jc w:val="left"/>
            </w:pPr>
            <w:r>
              <w:rPr>
                <w:rFonts w:ascii="Times New Roman" w:hAnsi="Times New Roman"/>
                <w:sz w:val="20"/>
              </w:rPr>
              <w:t xml:space="preserve">ISO</w:t>
            </w:r>
          </w:p>
        </w:tc>
        <w:tc>
          <w:tcPr/>
          <w:p>
            <w:pPr>
              <w:pStyle w:val="Compact"/>
              <w:jc w:val="left"/>
            </w:pPr>
            <w:r>
              <w:rPr>
                <w:rFonts w:ascii="Times New Roman" w:hAnsi="Times New Roman"/>
                <w:sz w:val="20"/>
              </w:rPr>
              <w:t xml:space="preserve">Procédures de nettoyage des éprouvettes corrodées</w:t>
            </w:r>
          </w:p>
        </w:tc>
      </w:tr>
      <w:tr>
        <w:tc>
          <w:tcPr/>
          <w:p>
            <w:pPr>
              <w:pStyle w:val="Compact"/>
              <w:jc w:val="left"/>
            </w:pPr>
            <w:r>
              <w:rPr>
                <w:rFonts w:ascii="Times New Roman" w:hAnsi="Times New Roman"/>
                <w:sz w:val="20"/>
              </w:rPr>
              <w:t xml:space="preserve">API 570</w:t>
            </w:r>
          </w:p>
        </w:tc>
        <w:tc>
          <w:tcPr/>
          <w:p>
            <w:pPr>
              <w:pStyle w:val="Compact"/>
              <w:jc w:val="left"/>
            </w:pPr>
            <w:r>
              <w:rPr>
                <w:rFonts w:ascii="Times New Roman" w:hAnsi="Times New Roman"/>
                <w:sz w:val="20"/>
              </w:rPr>
              <w:t xml:space="preserve">API</w:t>
            </w:r>
          </w:p>
        </w:tc>
        <w:tc>
          <w:tcPr/>
          <w:p>
            <w:pPr>
              <w:pStyle w:val="Compact"/>
              <w:jc w:val="left"/>
            </w:pPr>
            <w:r>
              <w:rPr>
                <w:rFonts w:ascii="Times New Roman" w:hAnsi="Times New Roman"/>
                <w:sz w:val="20"/>
              </w:rPr>
              <w:t xml:space="preserve">Inspection des systèmes de tuyauterie en service</w:t>
            </w:r>
          </w:p>
        </w:tc>
      </w:tr>
      <w:tr>
        <w:tc>
          <w:tcPr/>
          <w:p>
            <w:pPr>
              <w:pStyle w:val="Compact"/>
              <w:jc w:val="left"/>
            </w:pPr>
            <w:r>
              <w:rPr>
                <w:rFonts w:ascii="Times New Roman" w:hAnsi="Times New Roman"/>
                <w:sz w:val="20"/>
              </w:rPr>
              <w:t xml:space="preserve">API 580/581</w:t>
            </w:r>
          </w:p>
        </w:tc>
        <w:tc>
          <w:tcPr/>
          <w:p>
            <w:pPr>
              <w:pStyle w:val="Compact"/>
              <w:jc w:val="left"/>
            </w:pPr>
            <w:r>
              <w:rPr>
                <w:rFonts w:ascii="Times New Roman" w:hAnsi="Times New Roman"/>
                <w:sz w:val="20"/>
              </w:rPr>
              <w:t xml:space="preserve">API</w:t>
            </w:r>
          </w:p>
        </w:tc>
        <w:tc>
          <w:tcPr/>
          <w:p>
            <w:pPr>
              <w:pStyle w:val="Compact"/>
              <w:jc w:val="left"/>
            </w:pPr>
            <w:r>
              <w:rPr>
                <w:rFonts w:ascii="Times New Roman" w:hAnsi="Times New Roman"/>
                <w:sz w:val="20"/>
              </w:rPr>
              <w:t xml:space="preserve">Inspection basée sur le risque (RBI) — méthodologie</w:t>
            </w:r>
          </w:p>
        </w:tc>
      </w:tr>
      <w:tr>
        <w:tc>
          <w:tcPr/>
          <w:p>
            <w:pPr>
              <w:pStyle w:val="Compact"/>
              <w:jc w:val="left"/>
            </w:pPr>
            <w:r>
              <w:rPr>
                <w:rFonts w:ascii="Times New Roman" w:hAnsi="Times New Roman"/>
                <w:sz w:val="20"/>
              </w:rPr>
              <w:t xml:space="preserve">ASME B31.3</w:t>
            </w:r>
          </w:p>
        </w:tc>
        <w:tc>
          <w:tcPr/>
          <w:p>
            <w:pPr>
              <w:pStyle w:val="Compact"/>
              <w:jc w:val="left"/>
            </w:pPr>
            <w:r>
              <w:rPr>
                <w:rFonts w:ascii="Times New Roman" w:hAnsi="Times New Roman"/>
                <w:sz w:val="20"/>
              </w:rPr>
              <w:t xml:space="preserve">ASME</w:t>
            </w:r>
          </w:p>
        </w:tc>
        <w:tc>
          <w:tcPr/>
          <w:p>
            <w:pPr>
              <w:pStyle w:val="Compact"/>
              <w:jc w:val="left"/>
            </w:pPr>
            <w:r>
              <w:rPr>
                <w:rFonts w:ascii="Times New Roman" w:hAnsi="Times New Roman"/>
                <w:sz w:val="20"/>
              </w:rPr>
              <w:t xml:space="preserve">Tuyauterie de process — calcul durée de vie résiduelle</w:t>
            </w:r>
          </w:p>
        </w:tc>
      </w:tr>
    </w:tbl>
    <w:bookmarkEnd w:id="51"/>
    <w:bookmarkStart w:id="52" w:name="conclusion-de-la-partie-1"/>
    <w:p>
      <w:pPr>
        <w:pStyle w:val="Heading2"/>
      </w:pPr>
      <w:r>
        <w:rPr>
          <w:rFonts w:ascii="Times New Roman" w:hAnsi="Times New Roman"/>
        </w:rPr>
        <w:t xml:space="preserve">Conclusion de la Partie 1</w:t>
      </w:r>
    </w:p>
    <w:p>
      <w:pPr>
        <w:pStyle w:val="FirstParagraph"/>
      </w:pPr>
      <w:r>
        <w:rPr>
          <w:rFonts w:ascii="Times New Roman" w:hAnsi="Times New Roman"/>
        </w:rPr>
        <w:t xml:space="preserve">Cette première partie a établi les fondements scientifiques et industriels indispensables à la compréhension du système développé dans ce travail. La corrosion est un phénomène électrochimique quantifiable (loi de Faraday, taux de corrosion en mm/an), multiforme (8 types identifiés par la NACE), influencé par des paramètres mesurables (T, pH, pCO₂, dose inhibiteur) et encadré par un corpus normatif international rigoureux.</w:t>
      </w:r>
    </w:p>
    <w:p>
      <w:pPr>
        <w:pStyle w:val="BodyText"/>
      </w:pPr>
      <w:r>
        <w:rPr>
          <w:rFonts w:ascii="Times New Roman" w:hAnsi="Times New Roman"/>
        </w:rPr>
        <w:t xml:space="preserve">Les stratégies de protection disponibles — revêtements, protection cathodique, inhibiteurs — sont efficaces mais réactives : elles ne s’adaptent pas dynamiquement aux variations des conditions opératoires. Le défi central que ce travail adresse est précisément ce passage du réactif au prédictif : anticiper l’évolution du taux de corrosion pour recommander automatiquement la dose d’inhibiteur optimale au bon moment. La partie suivante présente les méthodes de mesure qui rendent cette prédiction possible.</w:t>
      </w:r>
    </w:p>
    <w:p>
      <w:r>
        <w:rPr>
          <w:rFonts w:ascii="Times New Roman" w:hAnsi="Times New Roman"/>
        </w:rPr>
        <w:pict>
          <v:rect style="width:0;height:1.5pt" o:hralign="center" o:hrstd="t" o:hr="t"/>
        </w:pict>
      </w:r>
    </w:p>
    <w:bookmarkEnd w:id="52"/>
    <w:bookmarkEnd w:id="53"/>
    <w:bookmarkStart w:id="64" w:name="X35d12b704e4fb7453b2f933c527d91a56bcd648"/>
    <w:p>
      <w:pPr>
        <w:pStyle w:val="Heading1"/>
      </w:pPr>
      <w:r>
        <w:rPr>
          <w:rFonts w:ascii="Times New Roman" w:hAnsi="Times New Roman"/>
        </w:rPr>
        <w:t xml:space="preserve">PARTIE 2 — MESURE ET SURVEILLANCE DE LA CORROSION EN INDUSTRIE</w:t>
      </w:r>
    </w:p>
    <w:bookmarkStart w:id="54" w:name="X14483ca68fd153da556acc5ab56842199f4f021"/>
    <w:p>
      <w:pPr>
        <w:pStyle w:val="Heading2"/>
      </w:pPr>
      <w:r>
        <w:rPr>
          <w:rFonts w:ascii="Times New Roman" w:hAnsi="Times New Roman"/>
        </w:rPr>
        <w:t xml:space="preserve">2.1 Classification des méthodes de mesure (ASTM G96)</w:t>
      </w:r>
    </w:p>
    <w:p>
      <w:pPr>
        <w:pStyle w:val="FirstParagraph"/>
      </w:pPr>
      <w:r>
        <w:rPr>
          <w:rFonts w:ascii="Times New Roman" w:hAnsi="Times New Roman"/>
        </w:rPr>
        <w:t xml:space="preserve">La norme ASTM G96-90 (Standard Guide for Online Monitoring of Corrosion in Plant Equipment) constitue le référentiel international de classification des méthodes de surveillance de la corrosion. Elle distingue deux axes orthogonaux : le mode d’acquisition (hors-ligne vs en ligne) et le caractère de la mesure (direct vs indirect, destructif vs non-destructif).</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ascii="Times New Roman" w:hAnsi="Times New Roman"/>
                <w:b/>
                <w:sz w:val="20"/>
              </w:rPr>
              <w:t xml:space="preserve">Méthode</w:t>
            </w:r>
          </w:p>
        </w:tc>
        <w:tc>
          <w:tcPr/>
          <w:p>
            <w:pPr>
              <w:pStyle w:val="Compact"/>
              <w:jc w:val="left"/>
            </w:pPr>
            <w:r>
              <w:rPr>
                <w:rFonts w:ascii="Times New Roman" w:hAnsi="Times New Roman"/>
                <w:b/>
                <w:sz w:val="20"/>
              </w:rPr>
              <w:t xml:space="preserve">Mode</w:t>
            </w:r>
          </w:p>
        </w:tc>
        <w:tc>
          <w:tcPr/>
          <w:p>
            <w:pPr>
              <w:pStyle w:val="Compact"/>
              <w:jc w:val="left"/>
            </w:pPr>
            <w:r>
              <w:rPr>
                <w:rFonts w:ascii="Times New Roman" w:hAnsi="Times New Roman"/>
                <w:b/>
                <w:sz w:val="20"/>
              </w:rPr>
              <w:t xml:space="preserve">Type</w:t>
            </w:r>
          </w:p>
        </w:tc>
        <w:tc>
          <w:tcPr/>
          <w:p>
            <w:pPr>
              <w:pStyle w:val="Compact"/>
              <w:jc w:val="left"/>
            </w:pPr>
            <w:r>
              <w:rPr>
                <w:rFonts w:ascii="Times New Roman" w:hAnsi="Times New Roman"/>
                <w:b/>
                <w:sz w:val="20"/>
              </w:rPr>
              <w:t xml:space="preserve">Grandeur mesurée</w:t>
            </w:r>
          </w:p>
        </w:tc>
      </w:tr>
      <w:tr>
        <w:tc>
          <w:tcPr/>
          <w:p>
            <w:pPr>
              <w:pStyle w:val="Compact"/>
              <w:jc w:val="left"/>
            </w:pPr>
            <w:r>
              <w:rPr>
                <w:rFonts w:ascii="Times New Roman" w:hAnsi="Times New Roman"/>
                <w:sz w:val="20"/>
              </w:rPr>
              <w:t xml:space="preserve">Gravimétrie (coupons)</w:t>
            </w:r>
          </w:p>
        </w:tc>
        <w:tc>
          <w:tcPr/>
          <w:p>
            <w:pPr>
              <w:pStyle w:val="Compact"/>
              <w:jc w:val="left"/>
            </w:pPr>
            <w:r>
              <w:rPr>
                <w:rFonts w:ascii="Times New Roman" w:hAnsi="Times New Roman"/>
                <w:sz w:val="20"/>
              </w:rPr>
              <w:t xml:space="preserve">Hors-ligne</w:t>
            </w:r>
          </w:p>
        </w:tc>
        <w:tc>
          <w:tcPr/>
          <w:p>
            <w:pPr>
              <w:pStyle w:val="Compact"/>
              <w:jc w:val="left"/>
            </w:pPr>
            <w:r>
              <w:rPr>
                <w:rFonts w:ascii="Times New Roman" w:hAnsi="Times New Roman"/>
                <w:sz w:val="20"/>
              </w:rPr>
              <w:t xml:space="preserve">Destructif / Direct</w:t>
            </w:r>
          </w:p>
        </w:tc>
        <w:tc>
          <w:tcPr/>
          <w:p>
            <w:pPr>
              <w:pStyle w:val="Compact"/>
              <w:jc w:val="left"/>
            </w:pPr>
            <w:r>
              <w:rPr>
                <w:rFonts w:ascii="Times New Roman" w:hAnsi="Times New Roman"/>
                <w:sz w:val="20"/>
              </w:rPr>
              <w:t xml:space="preserve">Perte de masse (mg)</w:t>
            </w:r>
          </w:p>
        </w:tc>
      </w:tr>
      <w:tr>
        <w:tc>
          <w:tcPr/>
          <w:p>
            <w:pPr>
              <w:pStyle w:val="Compact"/>
              <w:jc w:val="left"/>
            </w:pPr>
            <w:r>
              <w:rPr>
                <w:rFonts w:ascii="Times New Roman" w:hAnsi="Times New Roman"/>
                <w:sz w:val="20"/>
              </w:rPr>
              <w:t xml:space="preserve">LPR</w:t>
            </w:r>
          </w:p>
        </w:tc>
        <w:tc>
          <w:tcPr/>
          <w:p>
            <w:pPr>
              <w:pStyle w:val="Compact"/>
              <w:jc w:val="left"/>
            </w:pPr>
            <w:r>
              <w:rPr>
                <w:rFonts w:ascii="Times New Roman" w:hAnsi="Times New Roman"/>
                <w:sz w:val="20"/>
              </w:rPr>
              <w:t xml:space="preserve">En ligne</w:t>
            </w:r>
          </w:p>
        </w:tc>
        <w:tc>
          <w:tcPr/>
          <w:p>
            <w:pPr>
              <w:pStyle w:val="Compact"/>
              <w:jc w:val="left"/>
            </w:pPr>
            <w:r>
              <w:rPr>
                <w:rFonts w:ascii="Times New Roman" w:hAnsi="Times New Roman"/>
                <w:sz w:val="20"/>
              </w:rPr>
              <w:t xml:space="preserve">Non-destructif / Indirect</w:t>
            </w:r>
          </w:p>
        </w:tc>
        <w:tc>
          <w:tcPr/>
          <w:p>
            <w:pPr>
              <w:pStyle w:val="Compact"/>
              <w:jc w:val="left"/>
            </w:pPr>
            <w:r>
              <w:rPr>
                <w:rFonts w:ascii="Times New Roman" w:hAnsi="Times New Roman"/>
                <w:sz w:val="20"/>
              </w:rPr>
              <w:t xml:space="preserve">Résistance de polarisation Rp (Ω)</w:t>
            </w:r>
          </w:p>
        </w:tc>
      </w:tr>
      <w:tr>
        <w:tc>
          <w:tcPr/>
          <w:p>
            <w:pPr>
              <w:pStyle w:val="Compact"/>
              <w:jc w:val="left"/>
            </w:pPr>
            <w:r>
              <w:rPr>
                <w:rFonts w:ascii="Times New Roman" w:hAnsi="Times New Roman"/>
                <w:sz w:val="20"/>
              </w:rPr>
              <w:t xml:space="preserve">EIS</w:t>
            </w:r>
          </w:p>
        </w:tc>
        <w:tc>
          <w:tcPr/>
          <w:p>
            <w:pPr>
              <w:pStyle w:val="Compact"/>
              <w:jc w:val="left"/>
            </w:pPr>
            <w:r>
              <w:rPr>
                <w:rFonts w:ascii="Times New Roman" w:hAnsi="Times New Roman"/>
                <w:sz w:val="20"/>
              </w:rPr>
              <w:t xml:space="preserve">En ligne</w:t>
            </w:r>
          </w:p>
        </w:tc>
        <w:tc>
          <w:tcPr/>
          <w:p>
            <w:pPr>
              <w:pStyle w:val="Compact"/>
              <w:jc w:val="left"/>
            </w:pPr>
            <w:r>
              <w:rPr>
                <w:rFonts w:ascii="Times New Roman" w:hAnsi="Times New Roman"/>
                <w:sz w:val="20"/>
              </w:rPr>
              <w:t xml:space="preserve">Non-destructif / Indirect</w:t>
            </w:r>
          </w:p>
        </w:tc>
        <w:tc>
          <w:tcPr/>
          <w:p>
            <w:pPr>
              <w:pStyle w:val="Compact"/>
              <w:jc w:val="left"/>
            </w:pPr>
            <w:r>
              <w:rPr>
                <w:rFonts w:ascii="Times New Roman" w:hAnsi="Times New Roman"/>
                <w:sz w:val="20"/>
              </w:rPr>
              <w:t xml:space="preserve">Impédance complexe Z(ω)</w:t>
            </w:r>
          </w:p>
        </w:tc>
      </w:tr>
      <w:tr>
        <w:tc>
          <w:tcPr/>
          <w:p>
            <w:pPr>
              <w:pStyle w:val="Compact"/>
              <w:jc w:val="left"/>
            </w:pPr>
            <w:r>
              <w:rPr>
                <w:rFonts w:ascii="Times New Roman" w:hAnsi="Times New Roman"/>
                <w:sz w:val="20"/>
              </w:rPr>
              <w:t xml:space="preserve">Sonde ER</w:t>
            </w:r>
          </w:p>
        </w:tc>
        <w:tc>
          <w:tcPr/>
          <w:p>
            <w:pPr>
              <w:pStyle w:val="Compact"/>
              <w:jc w:val="left"/>
            </w:pPr>
            <w:r>
              <w:rPr>
                <w:rFonts w:ascii="Times New Roman" w:hAnsi="Times New Roman"/>
                <w:sz w:val="20"/>
              </w:rPr>
              <w:t xml:space="preserve">En ligne</w:t>
            </w:r>
          </w:p>
        </w:tc>
        <w:tc>
          <w:tcPr/>
          <w:p>
            <w:pPr>
              <w:pStyle w:val="Compact"/>
              <w:jc w:val="left"/>
            </w:pPr>
            <w:r>
              <w:rPr>
                <w:rFonts w:ascii="Times New Roman" w:hAnsi="Times New Roman"/>
                <w:sz w:val="20"/>
              </w:rPr>
              <w:t xml:space="preserve">Destructif / Direct</w:t>
            </w:r>
          </w:p>
        </w:tc>
        <w:tc>
          <w:tcPr/>
          <w:p>
            <w:pPr>
              <w:pStyle w:val="Compact"/>
              <w:jc w:val="left"/>
            </w:pPr>
            <w:r>
              <w:rPr>
                <w:rFonts w:ascii="Times New Roman" w:hAnsi="Times New Roman"/>
                <w:sz w:val="20"/>
              </w:rPr>
              <w:t xml:space="preserve">Résistance électrique R (Ω)</w:t>
            </w:r>
          </w:p>
        </w:tc>
      </w:tr>
      <w:tr>
        <w:tc>
          <w:tcPr/>
          <w:p>
            <w:pPr>
              <w:pStyle w:val="Compact"/>
              <w:jc w:val="left"/>
            </w:pPr>
            <w:r>
              <w:rPr>
                <w:rFonts w:ascii="Times New Roman" w:hAnsi="Times New Roman"/>
                <w:sz w:val="20"/>
              </w:rPr>
              <w:t xml:space="preserve">UT épaisseur</w:t>
            </w:r>
          </w:p>
        </w:tc>
        <w:tc>
          <w:tcPr/>
          <w:p>
            <w:pPr>
              <w:pStyle w:val="Compact"/>
              <w:jc w:val="left"/>
            </w:pPr>
            <w:r>
              <w:rPr>
                <w:rFonts w:ascii="Times New Roman" w:hAnsi="Times New Roman"/>
                <w:sz w:val="20"/>
              </w:rPr>
              <w:t xml:space="preserve">Hors-ligne</w:t>
            </w:r>
          </w:p>
        </w:tc>
        <w:tc>
          <w:tcPr/>
          <w:p>
            <w:pPr>
              <w:pStyle w:val="Compact"/>
              <w:jc w:val="left"/>
            </w:pPr>
            <w:r>
              <w:rPr>
                <w:rFonts w:ascii="Times New Roman" w:hAnsi="Times New Roman"/>
                <w:sz w:val="20"/>
              </w:rPr>
              <w:t xml:space="preserve">Non-destructif / Direct</w:t>
            </w:r>
          </w:p>
        </w:tc>
        <w:tc>
          <w:tcPr/>
          <w:p>
            <w:pPr>
              <w:pStyle w:val="Compact"/>
              <w:jc w:val="left"/>
            </w:pPr>
            <w:r>
              <w:rPr>
                <w:rFonts w:ascii="Times New Roman" w:hAnsi="Times New Roman"/>
                <w:sz w:val="20"/>
              </w:rPr>
              <w:t xml:space="preserve">Épaisseur de paroi (mm)</w:t>
            </w:r>
          </w:p>
        </w:tc>
      </w:tr>
      <w:tr>
        <w:tc>
          <w:tcPr/>
          <w:p>
            <w:pPr>
              <w:pStyle w:val="Compact"/>
              <w:jc w:val="left"/>
            </w:pPr>
            <w:r>
              <w:rPr>
                <w:rFonts w:ascii="Times New Roman" w:hAnsi="Times New Roman"/>
                <w:sz w:val="20"/>
              </w:rPr>
              <w:t xml:space="preserve">PAUT (Phased Array)</w:t>
            </w:r>
          </w:p>
        </w:tc>
        <w:tc>
          <w:tcPr/>
          <w:p>
            <w:pPr>
              <w:pStyle w:val="Compact"/>
              <w:jc w:val="left"/>
            </w:pPr>
            <w:r>
              <w:rPr>
                <w:rFonts w:ascii="Times New Roman" w:hAnsi="Times New Roman"/>
                <w:sz w:val="20"/>
              </w:rPr>
              <w:t xml:space="preserve">Hors-ligne</w:t>
            </w:r>
          </w:p>
        </w:tc>
        <w:tc>
          <w:tcPr/>
          <w:p>
            <w:pPr>
              <w:pStyle w:val="Compact"/>
              <w:jc w:val="left"/>
            </w:pPr>
            <w:r>
              <w:rPr>
                <w:rFonts w:ascii="Times New Roman" w:hAnsi="Times New Roman"/>
                <w:sz w:val="20"/>
              </w:rPr>
              <w:t xml:space="preserve">Non-destructif / Direct</w:t>
            </w:r>
          </w:p>
        </w:tc>
        <w:tc>
          <w:tcPr/>
          <w:p>
            <w:pPr>
              <w:pStyle w:val="Compact"/>
              <w:jc w:val="left"/>
            </w:pPr>
            <w:r>
              <w:rPr>
                <w:rFonts w:ascii="Times New Roman" w:hAnsi="Times New Roman"/>
                <w:sz w:val="20"/>
              </w:rPr>
              <w:t xml:space="preserve">Image 2D/3D de l’épaisseur</w:t>
            </w:r>
          </w:p>
        </w:tc>
      </w:tr>
      <w:tr>
        <w:tc>
          <w:tcPr/>
          <w:p>
            <w:pPr>
              <w:pStyle w:val="Compact"/>
              <w:jc w:val="left"/>
            </w:pPr>
            <w:r>
              <w:rPr>
                <w:rFonts w:ascii="Times New Roman" w:hAnsi="Times New Roman"/>
                <w:sz w:val="20"/>
              </w:rPr>
              <w:t xml:space="preserve">Guided Wave (GWT)</w:t>
            </w:r>
          </w:p>
        </w:tc>
        <w:tc>
          <w:tcPr/>
          <w:p>
            <w:pPr>
              <w:pStyle w:val="Compact"/>
              <w:jc w:val="left"/>
            </w:pPr>
            <w:r>
              <w:rPr>
                <w:rFonts w:ascii="Times New Roman" w:hAnsi="Times New Roman"/>
                <w:sz w:val="20"/>
              </w:rPr>
              <w:t xml:space="preserve">Hors-ligne*</w:t>
            </w:r>
          </w:p>
        </w:tc>
        <w:tc>
          <w:tcPr/>
          <w:p>
            <w:pPr>
              <w:pStyle w:val="Compact"/>
              <w:jc w:val="left"/>
            </w:pPr>
            <w:r>
              <w:rPr>
                <w:rFonts w:ascii="Times New Roman" w:hAnsi="Times New Roman"/>
                <w:sz w:val="20"/>
              </w:rPr>
              <w:t xml:space="preserve">Non-destructif / Direct</w:t>
            </w:r>
          </w:p>
        </w:tc>
        <w:tc>
          <w:tcPr/>
          <w:p>
            <w:pPr>
              <w:pStyle w:val="Compact"/>
              <w:jc w:val="left"/>
            </w:pPr>
            <w:r>
              <w:rPr>
                <w:rFonts w:ascii="Times New Roman" w:hAnsi="Times New Roman"/>
                <w:sz w:val="20"/>
              </w:rPr>
              <w:t xml:space="preserve">Épaisseur moyenne sur longue portée</w:t>
            </w:r>
          </w:p>
        </w:tc>
      </w:tr>
    </w:tbl>
    <w:p>
      <w:pPr>
        <w:pStyle w:val="BodyText"/>
      </w:pPr>
      <w:r>
        <w:rPr>
          <w:rFonts w:ascii="Times New Roman" w:hAnsi="Times New Roman"/>
        </w:rPr>
        <w:t xml:space="preserve">* Le GWT est principalement utilisé en inspection périodique (hors-ligne). Des installations permanentes de monitoring continu existent (Guided Ultrasonics Ltd) mais restent minoritaires.</w:t>
      </w:r>
    </w:p>
    <w:bookmarkEnd w:id="54"/>
    <w:bookmarkStart w:id="55" w:name="X66bae0a96abaeb14a1bff53dffc05c89f2e73b2"/>
    <w:p>
      <w:pPr>
        <w:pStyle w:val="Heading2"/>
      </w:pPr>
      <w:r>
        <w:rPr>
          <w:rFonts w:ascii="Times New Roman" w:hAnsi="Times New Roman"/>
        </w:rPr>
        <w:t xml:space="preserve">2.2 Méthodes hors-ligne — Gravimétrie et coupons</w:t>
      </w:r>
    </w:p>
    <w:p>
      <w:pPr>
        <w:pStyle w:val="FirstParagraph"/>
      </w:pPr>
      <w:r>
        <w:rPr>
          <w:rFonts w:ascii="Times New Roman" w:hAnsi="Times New Roman"/>
        </w:rPr>
        <w:t xml:space="preserve">La méthode gravimétrique, décrite par les normes ASTM G1 et NACE SP0775, est la technique de référence historique pour la mesure du taux de corrosion. Elle consiste à exposer des éprouvettes métalliques (coupons) de masse et de surface connues dans le fluide corrosif pendant une durée déterminée, puis à mesurer la perte de masse après nettoyage selon le protocole ISO 8407.</w:t>
      </w:r>
    </w:p>
    <w:p>
      <w:pPr>
        <w:pStyle w:val="BodyText"/>
      </w:pPr>
      <w:r>
        <w:rPr>
          <w:rFonts w:ascii="Times New Roman" w:hAnsi="Times New Roman"/>
        </w:rPr>
        <w:t xml:space="preserve">Le taux de corrosion est calculé directement par la formule ASTM G1 présentée à la section 1.1.2. Cette méthode présente l’avantage d’une grande simplicité de mise en œuvre et d’un coût minimal. Elle est cependant fondamentalement discontinue : les coupons doivent être retirés pour être pesés, ce qui ne permet pas un suivi en temps réel de l’évolution de la corrosion. Les intervalles de changement de coupons sont typiquement de 30 à 90 jours en industrie, ce qui masque les variations rapides liées aux changements de conditions opératoires.</w:t>
      </w:r>
    </w:p>
    <w:bookmarkEnd w:id="55"/>
    <w:bookmarkStart w:id="58" w:name="méthodes-électrochimiques-en-ligne"/>
    <w:p>
      <w:pPr>
        <w:pStyle w:val="Heading2"/>
      </w:pPr>
      <w:r>
        <w:rPr>
          <w:rFonts w:ascii="Times New Roman" w:hAnsi="Times New Roman"/>
        </w:rPr>
        <w:t xml:space="preserve">2.3 Méthodes électrochimiques en ligne</w:t>
      </w:r>
    </w:p>
    <w:bookmarkStart w:id="56" w:name="polarisation-linéaire-lpr"/>
    <w:p>
      <w:pPr>
        <w:pStyle w:val="Heading3"/>
      </w:pPr>
      <w:r>
        <w:rPr>
          <w:rFonts w:ascii="Times New Roman" w:hAnsi="Times New Roman"/>
        </w:rPr>
        <w:t xml:space="preserve">2.3.1 Polarisation linéaire (LPR)</w:t>
      </w:r>
    </w:p>
    <w:p>
      <w:pPr>
        <w:pStyle w:val="FirstParagraph"/>
      </w:pPr>
      <w:r>
        <w:rPr>
          <w:rFonts w:ascii="Times New Roman" w:hAnsi="Times New Roman"/>
        </w:rPr>
        <w:t xml:space="preserve">La polarisation linéaire (LPR — Linear Polarization Resistance) est une méthode électrochimique permettant de mesurer le taux de corrosion instantané en temps réel, sans consommation significative du métal (mesure non-destructive). Elle repose sur la relation de Stern-Geary (1957) :</w:t>
      </w:r>
    </w:p>
    <w:p>
      <w:pPr>
        <w:pStyle w:val="BodyText"/>
      </w:pPr>
      <m:oMathPara>
        <m:oMathParaPr>
          <m:jc m:val="center"/>
        </m:oMathParaPr>
        <m:oMath>
          <m:sSub>
            <m:e>
              <m:r>
                <m:t>i</m:t>
              </m:r>
            </m:e>
            <m:sub>
              <m:r>
                <m:t>c</m:t>
              </m:r>
              <m:r>
                <m:t>o</m:t>
              </m:r>
              <m:r>
                <m:t>r</m:t>
              </m:r>
              <m:r>
                <m:t>r</m:t>
              </m:r>
            </m:sub>
          </m:sSub>
          <m:r>
            <m:rPr>
              <m:sty m:val="p"/>
            </m:rPr>
            <m:t>=</m:t>
          </m:r>
          <m:f>
            <m:fPr>
              <m:type m:val="bar"/>
            </m:fPr>
            <m:num>
              <m:r>
                <m:t>B</m:t>
              </m:r>
            </m:num>
            <m:den>
              <m:sSub>
                <m:e>
                  <m:r>
                    <m:t>R</m:t>
                  </m:r>
                </m:e>
                <m:sub>
                  <m:r>
                    <m:t>p</m:t>
                  </m:r>
                </m:sub>
              </m:sSub>
            </m:den>
          </m:f>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i_corr</w:t>
      </w:r>
      <w:r>
        <w:rPr>
          <w:rFonts w:ascii="Times New Roman" w:hAnsi="Times New Roman"/>
        </w:rPr>
        <w:t xml:space="preserve"> </w:t>
      </w:r>
      <w:r>
        <w:rPr>
          <w:rFonts w:ascii="Times New Roman" w:hAnsi="Times New Roman"/>
        </w:rPr>
        <w:t xml:space="preserve">= densité de courant de corrosion (A/m²)</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B</w:t>
      </w:r>
      <w:r>
        <w:rPr>
          <w:rFonts w:ascii="Times New Roman" w:hAnsi="Times New Roman"/>
        </w:rPr>
        <w:t xml:space="preserve"> </w:t>
      </w:r>
      <w:r>
        <w:rPr>
          <w:rFonts w:ascii="Times New Roman" w:hAnsi="Times New Roman"/>
        </w:rPr>
        <w:t xml:space="preserve">= constante de Stern-Geary (V) — typiquement 0,026 V pour acier en milieu acide</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Rp</w:t>
      </w:r>
      <w:r>
        <w:rPr>
          <w:rFonts w:ascii="Times New Roman" w:hAnsi="Times New Roman"/>
        </w:rPr>
        <w:t xml:space="preserve"> </w:t>
      </w:r>
      <w:r>
        <w:rPr>
          <w:rFonts w:ascii="Times New Roman" w:hAnsi="Times New Roman"/>
        </w:rPr>
        <w:t xml:space="preserve">= résistance de polarisation (Ω·m²) — mesurée expérimentalement</w:t>
      </w:r>
    </w:p>
    <w:p>
      <w:pPr>
        <w:pStyle w:val="BodyText"/>
      </w:pPr>
      <w:r>
        <w:rPr>
          <w:rFonts w:ascii="Times New Roman" w:hAnsi="Times New Roman"/>
        </w:rPr>
        <w:t xml:space="preserve">En pratique, Rp est mesurée en appliquant une petite perturbation de potentiel (±10–20 mV par rapport à E_corr) et en mesurant le courant résultant. La méthode LPR est très rapide (une mesure en 1–2 minutes) et adaptée à la surveillance continue. Sa principale limitation est qu’elle ne fonctionne qu’en milieu électrolytique conducteur (eau saline, condensat) et donne des résultats peu fiables en présence d’inhibiteurs adsorbés (modification de B).</w:t>
      </w:r>
    </w:p>
    <w:bookmarkEnd w:id="56"/>
    <w:bookmarkStart w:id="57" w:name="X76e61487f6414945a27ae868a9fa825d9ae6577"/>
    <w:p>
      <w:pPr>
        <w:pStyle w:val="Heading3"/>
      </w:pPr>
      <w:r>
        <w:rPr>
          <w:rFonts w:ascii="Times New Roman" w:hAnsi="Times New Roman"/>
        </w:rPr>
        <w:t xml:space="preserve">2.3.2 Spectroscopie d’impédance électrochimique (EIS)</w:t>
      </w:r>
    </w:p>
    <w:p>
      <w:pPr>
        <w:pStyle w:val="FirstParagraph"/>
      </w:pPr>
      <w:r>
        <w:rPr>
          <w:rFonts w:ascii="Times New Roman" w:hAnsi="Times New Roman"/>
        </w:rPr>
        <w:t xml:space="preserve">La spectroscopie d’impédance électrochimique (EIS — Electrochemical Impedance Spectroscopy) est la méthode électrochimique la plus riche en information. Elle consiste à appliquer une perturbation sinusoïdale de faible amplitude (5–10 mV) sur une large gamme de fréquences (10⁻² à 10⁵ Hz) et à mesurer la réponse en courant. Le rapport tension/courant à chaque fréquence définit l’impédance complexe Z(ω), représentée dans le diagramme de Nyquist ou de Bode.</w:t>
      </w:r>
    </w:p>
    <w:p>
      <w:pPr>
        <w:pStyle w:val="BodyText"/>
      </w:pPr>
      <w:r>
        <w:rPr>
          <w:rFonts w:ascii="Times New Roman" w:hAnsi="Times New Roman"/>
        </w:rPr>
        <w:t xml:space="preserve">L’ajustement d’un circuit électrique équivalent (circuit de Randles) aux données expérimentales permet d’extraire la résistance de transfert de charge Rct (liée à i_corr via Stern-Geary), la résistance de la solution Rs, et la capacité de double couche Cdl (indicateur de l’état de surface). L’EIS est la méthode de référence pour l’évaluation des inhibiteurs en laboratoire (ASTM G170) car elle caractérise complètement l’interface métal/électrolyte. Sa complexité et son coût d’équipement la réservent cependant à la recherche et aux laboratoires spécialisés.</w:t>
      </w:r>
    </w:p>
    <w:bookmarkEnd w:id="57"/>
    <w:bookmarkEnd w:id="58"/>
    <w:bookmarkStart w:id="61" w:name="X82044094df87b10b2f09b18d9981ec004e4c190"/>
    <w:p>
      <w:pPr>
        <w:pStyle w:val="Heading2"/>
      </w:pPr>
      <w:r>
        <w:rPr>
          <w:rFonts w:ascii="Times New Roman" w:hAnsi="Times New Roman"/>
        </w:rPr>
        <w:t xml:space="preserve">2.4 Sondes à résistance électrique (ER) — Méthode centrale</w:t>
      </w:r>
    </w:p>
    <w:bookmarkStart w:id="59" w:name="principe-physique"/>
    <w:p>
      <w:pPr>
        <w:pStyle w:val="Heading3"/>
      </w:pPr>
      <w:r>
        <w:rPr>
          <w:rFonts w:ascii="Times New Roman" w:hAnsi="Times New Roman"/>
        </w:rPr>
        <w:t xml:space="preserve">2.4.1 Principe physique</w:t>
      </w:r>
    </w:p>
    <w:p>
      <w:pPr>
        <w:pStyle w:val="FirstParagraph"/>
      </w:pPr>
      <w:r>
        <w:rPr>
          <w:rFonts w:ascii="Times New Roman" w:hAnsi="Times New Roman"/>
        </w:rPr>
        <w:t xml:space="preserve">La méthode de surveillance par résistance électrique (ER — Electrical Resistance) est définie par la norme ASTM G96-90 comme une technique de surveillance en ligne basée sur la mesure de la résistance électrique d’un élément sensible métallique exposé au milieu corrosif. Son principe repose sur la loi de Pouillet :</w:t>
      </w:r>
    </w:p>
    <w:p>
      <w:pPr>
        <w:pStyle w:val="BodyText"/>
      </w:pPr>
      <m:oMathPara>
        <m:oMathParaPr>
          <m:jc m:val="center"/>
        </m:oMathParaPr>
        <m:oMath>
          <m:r>
            <m:t>R</m:t>
          </m:r>
          <m:r>
            <m:rPr>
              <m:sty m:val="p"/>
            </m:rPr>
            <m:t>=</m:t>
          </m:r>
          <m:f>
            <m:fPr>
              <m:type m:val="bar"/>
            </m:fPr>
            <m:num>
              <m:r>
                <m:t>ρ</m:t>
              </m:r>
              <m:r>
                <m:rPr>
                  <m:sty m:val="p"/>
                </m:rPr>
                <m:t>⋅</m:t>
              </m:r>
              <m:r>
                <m:t>L</m:t>
              </m:r>
            </m:num>
            <m:den>
              <m:r>
                <m:t>A</m:t>
              </m:r>
            </m:den>
          </m:f>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R</w:t>
      </w:r>
      <w:r>
        <w:rPr>
          <w:rFonts w:ascii="Times New Roman" w:hAnsi="Times New Roman"/>
        </w:rPr>
        <w:t xml:space="preserve"> </w:t>
      </w:r>
      <w:r>
        <w:rPr>
          <w:rFonts w:ascii="Times New Roman" w:hAnsi="Times New Roman"/>
        </w:rPr>
        <w:t xml:space="preserve">= résistance électrique de l’élément sensible (Ω)</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ρ</w:t>
      </w:r>
      <w:r>
        <w:rPr>
          <w:rFonts w:ascii="Times New Roman" w:hAnsi="Times New Roman"/>
        </w:rPr>
        <w:t xml:space="preserve"> </w:t>
      </w:r>
      <w:r>
        <w:rPr>
          <w:rFonts w:ascii="Times New Roman" w:hAnsi="Times New Roman"/>
        </w:rPr>
        <w:t xml:space="preserve">= résistivité électrique du métal (Ω·m) — fer : 1,0 × 10⁻⁷ Ω·m</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L</w:t>
      </w:r>
      <w:r>
        <w:rPr>
          <w:rFonts w:ascii="Times New Roman" w:hAnsi="Times New Roman"/>
        </w:rPr>
        <w:t xml:space="preserve"> </w:t>
      </w:r>
      <w:r>
        <w:rPr>
          <w:rFonts w:ascii="Times New Roman" w:hAnsi="Times New Roman"/>
        </w:rPr>
        <w:t xml:space="preserve">= longueur de l’élément sensible (m)</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A</w:t>
      </w:r>
      <w:r>
        <w:rPr>
          <w:rFonts w:ascii="Times New Roman" w:hAnsi="Times New Roman"/>
        </w:rPr>
        <w:t xml:space="preserve"> </w:t>
      </w:r>
      <w:r>
        <w:rPr>
          <w:rFonts w:ascii="Times New Roman" w:hAnsi="Times New Roman"/>
        </w:rPr>
        <w:t xml:space="preserve">= section transversale de l’élément (m²)</w:t>
      </w:r>
    </w:p>
    <w:p>
      <w:pPr>
        <w:pStyle w:val="BodyText"/>
      </w:pPr>
      <w:r>
        <w:rPr>
          <w:rFonts w:ascii="Times New Roman" w:hAnsi="Times New Roman"/>
        </w:rPr>
        <w:t xml:space="preserve">Lorsque l’élément sensible corrode, sa section A diminue (perte de matière) tandis que sa longueur L et sa résistivité ρ restent constantes. Il en résulte une augmentation de la résistance R directement proportionnelle à la perte de matière. Pour un élément filaire de rayon r(t) décroissant avec le temps :</w:t>
      </w:r>
    </w:p>
    <w:p>
      <w:pPr>
        <w:pStyle w:val="BodyText"/>
      </w:pPr>
      <m:oMathPara>
        <m:oMathParaPr>
          <m:jc m:val="center"/>
        </m:oMathParaPr>
        <m:oMath>
          <m:r>
            <m:t>r</m:t>
          </m:r>
          <m:r>
            <m:rPr>
              <m:sty m:val="p"/>
            </m:rPr>
            <m:t>(</m:t>
          </m:r>
          <m:r>
            <m:t>t</m:t>
          </m:r>
          <m:r>
            <m:rPr>
              <m:sty m:val="p"/>
            </m:rPr>
            <m:t>)</m:t>
          </m:r>
          <m:r>
            <m:rPr>
              <m:sty m:val="p"/>
            </m:rPr>
            <m:t>=</m:t>
          </m:r>
          <m:rad>
            <m:radPr>
              <m:degHide m:val="on"/>
            </m:radPr>
            <m:deg/>
            <m:e>
              <m:f>
                <m:fPr>
                  <m:type m:val="bar"/>
                </m:fPr>
                <m:num>
                  <m:r>
                    <m:t>ρ</m:t>
                  </m:r>
                  <m:r>
                    <m:rPr>
                      <m:sty m:val="p"/>
                    </m:rPr>
                    <m:t>⋅</m:t>
                  </m:r>
                  <m:r>
                    <m:t>L</m:t>
                  </m:r>
                </m:num>
                <m:den>
                  <m:r>
                    <m:t>π</m:t>
                  </m:r>
                  <m:r>
                    <m:rPr>
                      <m:sty m:val="p"/>
                    </m:rPr>
                    <m:t>⋅</m:t>
                  </m:r>
                  <m:r>
                    <m:t>R</m:t>
                  </m:r>
                  <m:r>
                    <m:rPr>
                      <m:sty m:val="p"/>
                    </m:rPr>
                    <m:t>(</m:t>
                  </m:r>
                  <m:r>
                    <m:t>t</m:t>
                  </m:r>
                  <m:r>
                    <m:rPr>
                      <m:sty m:val="p"/>
                    </m:rPr>
                    <m:t>)</m:t>
                  </m:r>
                </m:den>
              </m:f>
            </m:e>
          </m:rad>
        </m:oMath>
      </m:oMathPara>
    </w:p>
    <w:p>
      <w:pPr>
        <w:pStyle w:val="FirstParagraph"/>
      </w:pPr>
      <w:r>
        <w:rPr>
          <w:rFonts w:ascii="Times New Roman" w:hAnsi="Times New Roman"/>
        </w:rPr>
        <w:t xml:space="preserve">Le taux de corrosion est alors calculé comme la vitesse de diminution du rayon de l’élément sensible, convertie en mm/an par la relation :</w:t>
      </w:r>
    </w:p>
    <w:p>
      <w:pPr>
        <w:pStyle w:val="BodyText"/>
      </w:pPr>
      <m:oMathPara>
        <m:oMathParaPr>
          <m:jc m:val="center"/>
        </m:oMathParaPr>
        <m:oMath>
          <m:r>
            <m:t>C</m:t>
          </m:r>
          <m:r>
            <m:t>R</m:t>
          </m:r>
          <m:r>
            <m:t> </m:t>
          </m:r>
          <m:r>
            <m:rPr>
              <m:sty m:val="p"/>
            </m:rPr>
            <m:t>(</m:t>
          </m:r>
          <m:r>
            <m:t>m</m:t>
          </m:r>
          <m:r>
            <m:t>m</m:t>
          </m:r>
          <m:r>
            <m:rPr>
              <m:sty m:val="p"/>
            </m:rPr>
            <m:t>/</m:t>
          </m:r>
          <m:r>
            <m:t>a</m:t>
          </m:r>
          <m:r>
            <m:t>n</m:t>
          </m:r>
          <m:r>
            <m:rPr>
              <m:sty m:val="p"/>
            </m:rPr>
            <m:t>)</m:t>
          </m:r>
          <m:r>
            <m:rPr>
              <m:sty m:val="p"/>
            </m:rPr>
            <m:t>=</m:t>
          </m:r>
          <m:f>
            <m:fPr>
              <m:type m:val="bar"/>
            </m:fPr>
            <m:num>
              <m:sSub>
                <m:e>
                  <m:r>
                    <m:t>r</m:t>
                  </m:r>
                </m:e>
                <m:sub>
                  <m:r>
                    <m:t>0</m:t>
                  </m:r>
                </m:sub>
              </m:sSub>
              <m:r>
                <m:rPr>
                  <m:sty m:val="p"/>
                </m:rPr>
                <m:t>−</m:t>
              </m:r>
              <m:r>
                <m:t>r</m:t>
              </m:r>
              <m:r>
                <m:rPr>
                  <m:sty m:val="p"/>
                </m:rPr>
                <m:t>(</m:t>
              </m:r>
              <m:r>
                <m:t>t</m:t>
              </m:r>
              <m:r>
                <m:rPr>
                  <m:sty m:val="p"/>
                </m:rPr>
                <m:t>)</m:t>
              </m:r>
            </m:num>
            <m:den>
              <m:r>
                <m:t>t</m:t>
              </m:r>
            </m:den>
          </m:f>
          <m:r>
            <m:rPr>
              <m:sty m:val="p"/>
            </m:rPr>
            <m:t>×</m:t>
          </m:r>
          <m:r>
            <m:t>8760</m:t>
          </m:r>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r₀</w:t>
      </w:r>
      <w:r>
        <w:rPr>
          <w:rFonts w:ascii="Times New Roman" w:hAnsi="Times New Roman"/>
        </w:rPr>
        <w:t xml:space="preserve"> </w:t>
      </w:r>
      <w:r>
        <w:rPr>
          <w:rFonts w:ascii="Times New Roman" w:hAnsi="Times New Roman"/>
        </w:rPr>
        <w:t xml:space="preserve">= rayon initial de l’élément sensible (mm)</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r(t)</w:t>
      </w:r>
      <w:r>
        <w:rPr>
          <w:rFonts w:ascii="Times New Roman" w:hAnsi="Times New Roman"/>
        </w:rPr>
        <w:t xml:space="preserve"> </w:t>
      </w:r>
      <w:r>
        <w:rPr>
          <w:rFonts w:ascii="Times New Roman" w:hAnsi="Times New Roman"/>
        </w:rPr>
        <w:t xml:space="preserve">= rayon à l’instant t (mm), calculé depuis R(t)</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w:t>
      </w:r>
      <w:r>
        <w:rPr>
          <w:rFonts w:ascii="Times New Roman" w:hAnsi="Times New Roman"/>
        </w:rPr>
        <w:t xml:space="preserve"> </w:t>
      </w:r>
      <w:r>
        <w:rPr>
          <w:rFonts w:ascii="Times New Roman" w:hAnsi="Times New Roman"/>
        </w:rPr>
        <w:t xml:space="preserve">= durée écoulée (heures)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8760</w:t>
      </w:r>
      <w:r>
        <w:rPr>
          <w:rFonts w:ascii="Times New Roman" w:hAnsi="Times New Roman"/>
        </w:rPr>
        <w:t xml:space="preserve"> </w:t>
      </w:r>
      <w:r>
        <w:rPr>
          <w:rFonts w:ascii="Times New Roman" w:hAnsi="Times New Roman"/>
        </w:rPr>
        <w:t xml:space="preserve">= facteur de conversion heures → années</w:t>
      </w:r>
    </w:p>
    <w:bookmarkEnd w:id="59"/>
    <w:bookmarkStart w:id="60" w:name="X207d143a452f8b8257b79aaf8094c69b79aa5a4"/>
    <w:p>
      <w:pPr>
        <w:pStyle w:val="Heading3"/>
      </w:pPr>
      <w:r>
        <w:rPr>
          <w:rFonts w:ascii="Times New Roman" w:hAnsi="Times New Roman"/>
        </w:rPr>
        <w:t xml:space="preserve">2.4.2 Sondes ER commerciales et chaîne de mesure industrielle</w:t>
      </w:r>
    </w:p>
    <w:p>
      <w:pPr>
        <w:pStyle w:val="FirstParagraph"/>
      </w:pPr>
      <w:r>
        <w:rPr>
          <w:rFonts w:ascii="Times New Roman" w:hAnsi="Times New Roman"/>
        </w:rPr>
        <w:t xml:space="preserve">Les principaux fabricants de sondes ER pour l’industrie pétrolière sont Emerson (gamme Roxar), Cormon Ltd, et Metal Samples / Cosasco. (Note : Permasense, parfois confondu avec les sondes ER, fabrique en réalité des capteurs UT permanents à ondes guidées — technologie distincte décrite à la section 2.5.) Ces équipements se déclinent en plusieurs géométries d’éléments sensibles, choisies selon la sensibilité requise et la durée de vie souhaitée :</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b/>
                <w:sz w:val="20"/>
              </w:rPr>
              <w:t xml:space="preserve">Type</w:t>
            </w:r>
          </w:p>
        </w:tc>
        <w:tc>
          <w:tcPr/>
          <w:p>
            <w:pPr>
              <w:pStyle w:val="Compact"/>
              <w:jc w:val="left"/>
            </w:pPr>
            <w:r>
              <w:rPr>
                <w:rFonts w:ascii="Times New Roman" w:hAnsi="Times New Roman"/>
                <w:b/>
                <w:sz w:val="20"/>
              </w:rPr>
              <w:t xml:space="preserve">Caractéristiques</w:t>
            </w:r>
          </w:p>
        </w:tc>
        <w:tc>
          <w:tcPr/>
          <w:p>
            <w:pPr>
              <w:pStyle w:val="Compact"/>
              <w:jc w:val="left"/>
            </w:pPr>
            <w:r>
              <w:rPr>
                <w:rFonts w:ascii="Times New Roman" w:hAnsi="Times New Roman"/>
                <w:b/>
                <w:sz w:val="20"/>
              </w:rPr>
              <w:t xml:space="preserve">Application</w:t>
            </w:r>
          </w:p>
        </w:tc>
      </w:tr>
      <w:tr>
        <w:tc>
          <w:tcPr/>
          <w:p>
            <w:pPr>
              <w:pStyle w:val="Compact"/>
              <w:jc w:val="left"/>
            </w:pPr>
            <w:r>
              <w:rPr>
                <w:rFonts w:ascii="Times New Roman" w:hAnsi="Times New Roman"/>
                <w:sz w:val="20"/>
              </w:rPr>
              <w:t xml:space="preserve">Élément fil (wire)</w:t>
            </w:r>
          </w:p>
        </w:tc>
        <w:tc>
          <w:tcPr/>
          <w:p>
            <w:pPr>
              <w:pStyle w:val="Compact"/>
              <w:jc w:val="left"/>
            </w:pPr>
            <w:r>
              <w:rPr>
                <w:rFonts w:ascii="Times New Roman" w:hAnsi="Times New Roman"/>
                <w:sz w:val="20"/>
              </w:rPr>
              <w:t xml:space="preserve">Fil circulaire exposé — haute sensibilité, courte durée de vie</w:t>
            </w:r>
          </w:p>
        </w:tc>
        <w:tc>
          <w:tcPr/>
          <w:p>
            <w:pPr>
              <w:pStyle w:val="Compact"/>
              <w:jc w:val="left"/>
            </w:pPr>
            <w:r>
              <w:rPr>
                <w:rFonts w:ascii="Times New Roman" w:hAnsi="Times New Roman"/>
                <w:sz w:val="20"/>
              </w:rPr>
              <w:t xml:space="preserve">Mesures courte durée, laboratoire</w:t>
            </w:r>
          </w:p>
        </w:tc>
      </w:tr>
      <w:tr>
        <w:tc>
          <w:tcPr/>
          <w:p>
            <w:pPr>
              <w:pStyle w:val="Compact"/>
              <w:jc w:val="left"/>
            </w:pPr>
            <w:r>
              <w:rPr>
                <w:rFonts w:ascii="Times New Roman" w:hAnsi="Times New Roman"/>
                <w:sz w:val="20"/>
              </w:rPr>
              <w:t xml:space="preserve">Élément tube (tube)</w:t>
            </w:r>
          </w:p>
        </w:tc>
        <w:tc>
          <w:tcPr/>
          <w:p>
            <w:pPr>
              <w:pStyle w:val="Compact"/>
              <w:jc w:val="left"/>
            </w:pPr>
            <w:r>
              <w:rPr>
                <w:rFonts w:ascii="Times New Roman" w:hAnsi="Times New Roman"/>
                <w:sz w:val="20"/>
              </w:rPr>
              <w:t xml:space="preserve">Tube cylindrique — bonne sensibilité, durée de vie moyenne</w:t>
            </w:r>
          </w:p>
        </w:tc>
        <w:tc>
          <w:tcPr/>
          <w:p>
            <w:pPr>
              <w:pStyle w:val="Compact"/>
              <w:jc w:val="left"/>
            </w:pPr>
            <w:r>
              <w:rPr>
                <w:rFonts w:ascii="Times New Roman" w:hAnsi="Times New Roman"/>
                <w:sz w:val="20"/>
              </w:rPr>
              <w:t xml:space="preserve">Production standard</w:t>
            </w:r>
          </w:p>
        </w:tc>
      </w:tr>
      <w:tr>
        <w:tc>
          <w:tcPr/>
          <w:p>
            <w:pPr>
              <w:pStyle w:val="Compact"/>
              <w:jc w:val="left"/>
            </w:pPr>
            <w:r>
              <w:rPr>
                <w:rFonts w:ascii="Times New Roman" w:hAnsi="Times New Roman"/>
                <w:sz w:val="20"/>
              </w:rPr>
              <w:t xml:space="preserve">Élément flush</w:t>
            </w:r>
          </w:p>
        </w:tc>
        <w:tc>
          <w:tcPr/>
          <w:p>
            <w:pPr>
              <w:pStyle w:val="Compact"/>
              <w:jc w:val="left"/>
            </w:pPr>
            <w:r>
              <w:rPr>
                <w:rFonts w:ascii="Times New Roman" w:hAnsi="Times New Roman"/>
                <w:sz w:val="20"/>
              </w:rPr>
              <w:t xml:space="preserve">Plaquette affleurante — faible sensibilité, très longue durée</w:t>
            </w:r>
          </w:p>
        </w:tc>
        <w:tc>
          <w:tcPr/>
          <w:p>
            <w:pPr>
              <w:pStyle w:val="Compact"/>
              <w:jc w:val="left"/>
            </w:pPr>
            <w:r>
              <w:rPr>
                <w:rFonts w:ascii="Times New Roman" w:hAnsi="Times New Roman"/>
                <w:sz w:val="20"/>
              </w:rPr>
              <w:t xml:space="preserve">Surveillance long terme</w:t>
            </w:r>
          </w:p>
        </w:tc>
      </w:tr>
      <w:tr>
        <w:tc>
          <w:tcPr/>
          <w:p>
            <w:pPr>
              <w:pStyle w:val="Compact"/>
              <w:jc w:val="left"/>
            </w:pPr>
            <w:r>
              <w:rPr>
                <w:rFonts w:ascii="Times New Roman" w:hAnsi="Times New Roman"/>
                <w:sz w:val="20"/>
              </w:rPr>
              <w:t xml:space="preserve">Élément ruban (strip)</w:t>
            </w:r>
          </w:p>
        </w:tc>
        <w:tc>
          <w:tcPr/>
          <w:p>
            <w:pPr>
              <w:pStyle w:val="Compact"/>
              <w:jc w:val="left"/>
            </w:pPr>
            <w:r>
              <w:rPr>
                <w:rFonts w:ascii="Times New Roman" w:hAnsi="Times New Roman"/>
                <w:sz w:val="20"/>
              </w:rPr>
              <w:t xml:space="preserve">Ruban plat — sensibilité intermédiaire</w:t>
            </w:r>
          </w:p>
        </w:tc>
        <w:tc>
          <w:tcPr/>
          <w:p>
            <w:pPr>
              <w:pStyle w:val="Compact"/>
              <w:jc w:val="left"/>
            </w:pPr>
            <w:r>
              <w:rPr>
                <w:rFonts w:ascii="Times New Roman" w:hAnsi="Times New Roman"/>
                <w:sz w:val="20"/>
              </w:rPr>
              <w:t xml:space="preserve">Applications offshore</w:t>
            </w:r>
          </w:p>
        </w:tc>
      </w:tr>
    </w:tbl>
    <w:p>
      <w:pPr>
        <w:pStyle w:val="BodyText"/>
      </w:pPr>
      <w:r>
        <w:rPr>
          <w:rFonts w:ascii="Times New Roman" w:hAnsi="Times New Roman"/>
        </w:rPr>
        <w:t xml:space="preserve">La chaîne de mesure industrielle complète comprend : la sonde ER (élément sensible) → le transmetteur (convertisseur R → signal 4-20 mA ou numérique) → le réseau de terrain (HART, Modbus, WirelessHART) → le système d’historisation (PI Server OSIsoft/AVEVA) → le SCADA ou DCS. Le prix d’une sonde ER industrielle complète varie entre 2 000 et 15 000 USD selon le type et la connectivité.</w:t>
      </w:r>
    </w:p>
    <w:bookmarkEnd w:id="60"/>
    <w:bookmarkEnd w:id="61"/>
    <w:bookmarkStart w:id="62" w:name="méthodes-non-destructives-cnd"/>
    <w:p>
      <w:pPr>
        <w:pStyle w:val="Heading2"/>
      </w:pPr>
      <w:r>
        <w:rPr>
          <w:rFonts w:ascii="Times New Roman" w:hAnsi="Times New Roman"/>
        </w:rPr>
        <w:t xml:space="preserve">2.5 Méthodes non-destructives (CND)</w:t>
      </w:r>
    </w:p>
    <w:p>
      <w:pPr>
        <w:pStyle w:val="FirstParagraph"/>
      </w:pPr>
      <w:r>
        <w:rPr>
          <w:rFonts w:ascii="Times New Roman" w:hAnsi="Times New Roman"/>
        </w:rPr>
        <w:t xml:space="preserve">Les méthodes de contrôle non-destructif (CND) mesurent l’épaisseur résiduelle de paroi sans consommer l’élément sensible. Elles sont complémentaires des sondes ER car elles donnent une mesure absolue de l’état de la structure, là où la sonde ER donne une vitesse de corrosion instantanée.</w:t>
      </w:r>
    </w:p>
    <w:p>
      <w:pPr>
        <w:pStyle w:val="BodyText"/>
      </w:pPr>
      <w:r>
        <w:rPr>
          <w:rFonts w:ascii="Times New Roman" w:hAnsi="Times New Roman"/>
        </w:rPr>
        <w:t xml:space="preserve">La mesure d’épaisseur par ultrasons (UT classique, norme ASTM E797) utilise la propagation d’une onde ultrasonore dans le métal et la mesure du temps de retour de l’écho de fond. La précision typique est de ±0,1 mm, suffisante pour détecter des pertes d’épaisseur significatives. La technique PAUT (Phased Array UT) permet une imagerie 2D ou 3D de la corrosion en déplaçant électroniquement le faisceau ultrasonore, offrant une cartographie complète de l’état de la paroi. Le Guided Wave Testing (GWT) propage des ondes guidées sur de longues distances (jusqu’à 100 m) depuis un seul point d’accès, permettant l’inspection de tronçons entiers de pipeline sans excavation.</w:t>
      </w:r>
    </w:p>
    <w:bookmarkEnd w:id="62"/>
    <w:bookmarkStart w:id="63" w:name="X66bb5a6936000d3b2edc16bffe5530a882e2358"/>
    <w:p>
      <w:pPr>
        <w:pStyle w:val="Heading2"/>
      </w:pPr>
      <w:r>
        <w:rPr>
          <w:rFonts w:ascii="Times New Roman" w:hAnsi="Times New Roman"/>
        </w:rPr>
        <w:t xml:space="preserve">2.6 Synthèse comparative et justification du choix ER</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ascii="Times New Roman" w:hAnsi="Times New Roman"/>
                <w:b/>
                <w:sz w:val="20"/>
              </w:rPr>
              <w:t xml:space="preserve">Méthode</w:t>
            </w:r>
          </w:p>
        </w:tc>
        <w:tc>
          <w:tcPr/>
          <w:p>
            <w:pPr>
              <w:pStyle w:val="Compact"/>
              <w:jc w:val="left"/>
            </w:pPr>
            <w:r>
              <w:rPr>
                <w:rFonts w:ascii="Times New Roman" w:hAnsi="Times New Roman"/>
                <w:b/>
                <w:sz w:val="20"/>
              </w:rPr>
              <w:t xml:space="preserve">Continu</w:t>
            </w:r>
          </w:p>
        </w:tc>
        <w:tc>
          <w:tcPr/>
          <w:p>
            <w:pPr>
              <w:pStyle w:val="Compact"/>
              <w:jc w:val="left"/>
            </w:pPr>
            <w:r>
              <w:rPr>
                <w:rFonts w:ascii="Times New Roman" w:hAnsi="Times New Roman"/>
                <w:b/>
                <w:sz w:val="20"/>
              </w:rPr>
              <w:t xml:space="preserve">Low-cost</w:t>
            </w:r>
          </w:p>
        </w:tc>
        <w:tc>
          <w:tcPr/>
          <w:p>
            <w:pPr>
              <w:pStyle w:val="Compact"/>
              <w:jc w:val="left"/>
            </w:pPr>
            <w:r>
              <w:rPr>
                <w:rFonts w:ascii="Times New Roman" w:hAnsi="Times New Roman"/>
                <w:b/>
                <w:sz w:val="20"/>
              </w:rPr>
              <w:t xml:space="preserve">Précision</w:t>
            </w:r>
          </w:p>
        </w:tc>
        <w:tc>
          <w:tcPr/>
          <w:p>
            <w:pPr>
              <w:pStyle w:val="Compact"/>
              <w:jc w:val="left"/>
            </w:pPr>
            <w:r>
              <w:rPr>
                <w:rFonts w:ascii="Times New Roman" w:hAnsi="Times New Roman"/>
                <w:b/>
                <w:sz w:val="20"/>
              </w:rPr>
              <w:t xml:space="preserve">Adapté labo DIY</w:t>
            </w:r>
          </w:p>
        </w:tc>
      </w:tr>
      <w:tr>
        <w:tc>
          <w:tcPr/>
          <w:p>
            <w:pPr>
              <w:pStyle w:val="Compact"/>
              <w:jc w:val="left"/>
            </w:pPr>
            <w:r>
              <w:rPr>
                <w:rFonts w:ascii="Times New Roman" w:hAnsi="Times New Roman"/>
                <w:sz w:val="20"/>
              </w:rPr>
              <w:t xml:space="preserve">Gravimétrie</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Oui</w:t>
            </w:r>
          </w:p>
        </w:tc>
        <w:tc>
          <w:tcPr/>
          <w:p>
            <w:pPr>
              <w:pStyle w:val="Compact"/>
              <w:jc w:val="left"/>
            </w:pPr>
            <w:r>
              <w:rPr>
                <w:rFonts w:ascii="Times New Roman" w:hAnsi="Times New Roman"/>
                <w:sz w:val="20"/>
              </w:rPr>
              <w:t xml:space="preserve">Bonne</w:t>
            </w:r>
          </w:p>
        </w:tc>
        <w:tc>
          <w:tcPr/>
          <w:p>
            <w:pPr>
              <w:pStyle w:val="Compact"/>
              <w:jc w:val="left"/>
            </w:pPr>
            <w:r>
              <w:rPr>
                <w:rFonts w:ascii="Times New Roman" w:hAnsi="Times New Roman"/>
                <w:sz w:val="20"/>
              </w:rPr>
              <w:t xml:space="preserve">Oui (référence)</w:t>
            </w:r>
          </w:p>
        </w:tc>
      </w:tr>
      <w:tr>
        <w:tc>
          <w:tcPr/>
          <w:p>
            <w:pPr>
              <w:pStyle w:val="Compact"/>
              <w:jc w:val="left"/>
            </w:pPr>
            <w:r>
              <w:rPr>
                <w:rFonts w:ascii="Times New Roman" w:hAnsi="Times New Roman"/>
                <w:sz w:val="20"/>
              </w:rPr>
              <w:t xml:space="preserve">LPR</w:t>
            </w:r>
          </w:p>
        </w:tc>
        <w:tc>
          <w:tcPr/>
          <w:p>
            <w:pPr>
              <w:pStyle w:val="Compact"/>
              <w:jc w:val="left"/>
            </w:pPr>
            <w:r>
              <w:rPr>
                <w:rFonts w:ascii="Times New Roman" w:hAnsi="Times New Roman"/>
                <w:sz w:val="20"/>
              </w:rPr>
              <w:t xml:space="preserve">Oui</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Bonne</w:t>
            </w:r>
          </w:p>
        </w:tc>
        <w:tc>
          <w:tcPr/>
          <w:p>
            <w:pPr>
              <w:pStyle w:val="Compact"/>
              <w:jc w:val="left"/>
            </w:pPr>
            <w:r>
              <w:rPr>
                <w:rFonts w:ascii="Times New Roman" w:hAnsi="Times New Roman"/>
                <w:sz w:val="20"/>
              </w:rPr>
              <w:t xml:space="preserve">Difficile (potentiostat)</w:t>
            </w:r>
          </w:p>
        </w:tc>
      </w:tr>
      <w:tr>
        <w:tc>
          <w:tcPr/>
          <w:p>
            <w:pPr>
              <w:pStyle w:val="Compact"/>
              <w:jc w:val="left"/>
            </w:pPr>
            <w:r>
              <w:rPr>
                <w:rFonts w:ascii="Times New Roman" w:hAnsi="Times New Roman"/>
                <w:sz w:val="20"/>
              </w:rPr>
              <w:t xml:space="preserve">EIS</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Très bonne</w:t>
            </w:r>
          </w:p>
        </w:tc>
        <w:tc>
          <w:tcPr/>
          <w:p>
            <w:pPr>
              <w:pStyle w:val="Compact"/>
              <w:jc w:val="left"/>
            </w:pPr>
            <w:r>
              <w:rPr>
                <w:rFonts w:ascii="Times New Roman" w:hAnsi="Times New Roman"/>
                <w:sz w:val="20"/>
              </w:rPr>
              <w:t xml:space="preserve">Non (équipement spécialisé)</w:t>
            </w:r>
          </w:p>
        </w:tc>
      </w:tr>
      <w:tr>
        <w:tc>
          <w:tcPr/>
          <w:p>
            <w:pPr>
              <w:pStyle w:val="Compact"/>
              <w:jc w:val="left"/>
            </w:pPr>
            <w:r>
              <w:rPr>
                <w:rFonts w:ascii="Times New Roman" w:hAnsi="Times New Roman"/>
                <w:sz w:val="20"/>
              </w:rPr>
              <w:t xml:space="preserve">Sonde ER</w:t>
            </w:r>
          </w:p>
        </w:tc>
        <w:tc>
          <w:tcPr/>
          <w:p>
            <w:pPr>
              <w:pStyle w:val="Compact"/>
              <w:jc w:val="left"/>
            </w:pPr>
            <w:r>
              <w:rPr>
                <w:rFonts w:ascii="Times New Roman" w:hAnsi="Times New Roman"/>
                <w:sz w:val="20"/>
              </w:rPr>
              <w:t xml:space="preserve">Oui</w:t>
            </w:r>
          </w:p>
        </w:tc>
        <w:tc>
          <w:tcPr/>
          <w:p>
            <w:pPr>
              <w:pStyle w:val="Compact"/>
              <w:jc w:val="left"/>
            </w:pPr>
            <w:r>
              <w:rPr>
                <w:rFonts w:ascii="Times New Roman" w:hAnsi="Times New Roman"/>
                <w:sz w:val="20"/>
              </w:rPr>
              <w:t xml:space="preserve">Oui*</w:t>
            </w:r>
          </w:p>
        </w:tc>
        <w:tc>
          <w:tcPr/>
          <w:p>
            <w:pPr>
              <w:pStyle w:val="Compact"/>
              <w:jc w:val="left"/>
            </w:pPr>
            <w:r>
              <w:rPr>
                <w:rFonts w:ascii="Times New Roman" w:hAnsi="Times New Roman"/>
                <w:sz w:val="20"/>
              </w:rPr>
              <w:t xml:space="preserve">Moyenne</w:t>
            </w:r>
          </w:p>
        </w:tc>
        <w:tc>
          <w:tcPr/>
          <w:p>
            <w:pPr>
              <w:pStyle w:val="Compact"/>
              <w:jc w:val="left"/>
            </w:pPr>
            <w:r>
              <w:rPr>
                <w:rFonts w:ascii="Times New Roman" w:hAnsi="Times New Roman"/>
                <w:sz w:val="20"/>
              </w:rPr>
              <w:t xml:space="preserve">Oui (fil + Wheatstone)</w:t>
            </w:r>
          </w:p>
        </w:tc>
      </w:tr>
      <w:tr>
        <w:tc>
          <w:tcPr/>
          <w:p>
            <w:pPr>
              <w:pStyle w:val="Compact"/>
              <w:jc w:val="left"/>
            </w:pPr>
            <w:r>
              <w:rPr>
                <w:rFonts w:ascii="Times New Roman" w:hAnsi="Times New Roman"/>
                <w:sz w:val="20"/>
              </w:rPr>
              <w:t xml:space="preserve">UT classique</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Oui</w:t>
            </w:r>
          </w:p>
        </w:tc>
        <w:tc>
          <w:tcPr/>
          <w:p>
            <w:pPr>
              <w:pStyle w:val="Compact"/>
              <w:jc w:val="left"/>
            </w:pPr>
            <w:r>
              <w:rPr>
                <w:rFonts w:ascii="Times New Roman" w:hAnsi="Times New Roman"/>
                <w:sz w:val="20"/>
              </w:rPr>
              <w:t xml:space="preserve">Bonne</w:t>
            </w:r>
          </w:p>
        </w:tc>
        <w:tc>
          <w:tcPr/>
          <w:p>
            <w:pPr>
              <w:pStyle w:val="Compact"/>
              <w:jc w:val="left"/>
            </w:pPr>
            <w:r>
              <w:rPr>
                <w:rFonts w:ascii="Times New Roman" w:hAnsi="Times New Roman"/>
                <w:sz w:val="20"/>
              </w:rPr>
              <w:t xml:space="preserve">Difficile (pulser HV + ADC rapide + couplant)</w:t>
            </w:r>
          </w:p>
        </w:tc>
      </w:tr>
      <w:tr>
        <w:tc>
          <w:tcPr/>
          <w:p>
            <w:pPr>
              <w:pStyle w:val="Compact"/>
              <w:jc w:val="left"/>
            </w:pPr>
            <w:r>
              <w:rPr>
                <w:rFonts w:ascii="Times New Roman" w:hAnsi="Times New Roman"/>
                <w:sz w:val="20"/>
              </w:rPr>
              <w:t xml:space="preserve">PAUT</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Très bonne</w:t>
            </w:r>
          </w:p>
        </w:tc>
        <w:tc>
          <w:tcPr/>
          <w:p>
            <w:pPr>
              <w:pStyle w:val="Compact"/>
              <w:jc w:val="left"/>
            </w:pPr>
            <w:r>
              <w:rPr>
                <w:rFonts w:ascii="Times New Roman" w:hAnsi="Times New Roman"/>
                <w:sz w:val="20"/>
              </w:rPr>
              <w:t xml:space="preserve">Non</w:t>
            </w:r>
          </w:p>
        </w:tc>
      </w:tr>
      <w:tr>
        <w:tc>
          <w:tcPr/>
          <w:p>
            <w:pPr>
              <w:pStyle w:val="Compact"/>
              <w:jc w:val="left"/>
            </w:pPr>
            <w:r>
              <w:rPr>
                <w:rFonts w:ascii="Times New Roman" w:hAnsi="Times New Roman"/>
                <w:sz w:val="20"/>
              </w:rPr>
              <w:t xml:space="preserve">GWT</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Moyenne</w:t>
            </w:r>
          </w:p>
        </w:tc>
        <w:tc>
          <w:tcPr/>
          <w:p>
            <w:pPr>
              <w:pStyle w:val="Compact"/>
              <w:jc w:val="left"/>
            </w:pPr>
            <w:r>
              <w:rPr>
                <w:rFonts w:ascii="Times New Roman" w:hAnsi="Times New Roman"/>
                <w:sz w:val="20"/>
              </w:rPr>
              <w:t xml:space="preserve">Non</w:t>
            </w:r>
          </w:p>
        </w:tc>
      </w:tr>
    </w:tbl>
    <w:p>
      <w:pPr>
        <w:pStyle w:val="BodyText"/>
      </w:pPr>
      <w:r>
        <w:rPr>
          <w:rFonts w:ascii="Times New Roman" w:hAnsi="Times New Roman"/>
        </w:rPr>
        <w:t xml:space="preserve">* Low-cost uniquement pour la version DIY développée dans ce travail. Les sondes ER commerciales coûtent 2 000–15 000 USD.</w:t>
      </w:r>
    </w:p>
    <w:p>
      <w:pPr>
        <w:pStyle w:val="BodyText"/>
      </w:pPr>
      <w:r>
        <w:rPr>
          <w:rFonts w:ascii="Times New Roman" w:hAnsi="Times New Roman"/>
        </w:rPr>
        <w:t xml:space="preserve">La sonde ER est la seule méthode combinant surveillance continue, mesure directe du taux de corrosion et transposabilité en laboratoire à faible coût. La gravimétrie sera utilisée en parallèle comme méthode de référence pour valider les mesures de la sonde DIY : les coupons exposés dans le même bac permettront de vérifier la cohérence entre la perte de masse mesurée et le CR calculé depuis la résistance électrique.</w:t>
      </w:r>
    </w:p>
    <w:p>
      <w:r>
        <w:rPr>
          <w:rFonts w:ascii="Times New Roman" w:hAnsi="Times New Roman"/>
        </w:rPr>
        <w:pict>
          <v:rect style="width:0;height:1.5pt" o:hralign="center" o:hrstd="t" o:hr="t"/>
        </w:pict>
      </w:r>
    </w:p>
    <w:bookmarkEnd w:id="63"/>
    <w:bookmarkEnd w:id="64"/>
    <w:bookmarkStart w:id="79" w:name="Xcd5ae3ce893302caabbdc7cbc1bd76a3a29a508"/>
    <w:p>
      <w:pPr>
        <w:pStyle w:val="Heading1"/>
      </w:pPr>
      <w:r>
        <w:rPr>
          <w:rFonts w:ascii="Times New Roman" w:hAnsi="Times New Roman"/>
        </w:rPr>
        <w:t xml:space="preserve">PARTIE 3 — DE LA SONDE ER INDUSTRIELLE AU PROTOTYPE DE LABORATOIRE</w:t>
      </w:r>
    </w:p>
    <w:bookmarkStart w:id="65" w:name="analogie-composant-par-composant"/>
    <w:p>
      <w:pPr>
        <w:pStyle w:val="Heading2"/>
      </w:pPr>
      <w:r>
        <w:rPr>
          <w:rFonts w:ascii="Times New Roman" w:hAnsi="Times New Roman"/>
        </w:rPr>
        <w:t xml:space="preserve">3.1 Analogie composant par composant</w:t>
      </w:r>
    </w:p>
    <w:p>
      <w:pPr>
        <w:pStyle w:val="FirstParagraph"/>
      </w:pPr>
      <w:r>
        <w:rPr>
          <w:rFonts w:ascii="Times New Roman" w:hAnsi="Times New Roman"/>
        </w:rPr>
        <w:t xml:space="preserve">L’objectif de cette partie est de démontrer que le prototype développé dans ce travail n’est pas un système ad hoc sans référence industrielle, mais une transposition rigoureuse et délibérée d’une chaîne de mesure ER industrielle normalisée (ASTM G96) vers un équivalent de laboratoire low-cost. Chaque composant industriel a son équivalent fonctionnel dans le prototype :</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ascii="Times New Roman" w:hAnsi="Times New Roman"/>
                <w:b/>
                <w:sz w:val="20"/>
              </w:rPr>
              <w:t xml:space="preserve">Fonction</w:t>
            </w:r>
          </w:p>
        </w:tc>
        <w:tc>
          <w:tcPr/>
          <w:p>
            <w:pPr>
              <w:pStyle w:val="Compact"/>
              <w:jc w:val="left"/>
            </w:pPr>
            <w:r>
              <w:rPr>
                <w:rFonts w:ascii="Times New Roman" w:hAnsi="Times New Roman"/>
                <w:b/>
                <w:sz w:val="20"/>
              </w:rPr>
              <w:t xml:space="preserve">Composant industriel</w:t>
            </w:r>
          </w:p>
        </w:tc>
        <w:tc>
          <w:tcPr/>
          <w:p>
            <w:pPr>
              <w:pStyle w:val="Compact"/>
              <w:jc w:val="left"/>
            </w:pPr>
            <w:r>
              <w:rPr>
                <w:rFonts w:ascii="Times New Roman" w:hAnsi="Times New Roman"/>
                <w:b/>
                <w:sz w:val="20"/>
              </w:rPr>
              <w:t xml:space="preserve">Équivalent prototype</w:t>
            </w:r>
          </w:p>
        </w:tc>
        <w:tc>
          <w:tcPr/>
          <w:p>
            <w:pPr>
              <w:pStyle w:val="Compact"/>
              <w:jc w:val="left"/>
            </w:pPr>
            <w:r>
              <w:rPr>
                <w:rFonts w:ascii="Times New Roman" w:hAnsi="Times New Roman"/>
                <w:b/>
                <w:sz w:val="20"/>
              </w:rPr>
              <w:t xml:space="preserve">Principe identique ?</w:t>
            </w:r>
          </w:p>
        </w:tc>
      </w:tr>
      <w:tr>
        <w:tc>
          <w:tcPr/>
          <w:p>
            <w:pPr>
              <w:pStyle w:val="Compact"/>
              <w:jc w:val="left"/>
            </w:pPr>
            <w:r>
              <w:rPr>
                <w:rFonts w:ascii="Times New Roman" w:hAnsi="Times New Roman"/>
                <w:sz w:val="20"/>
              </w:rPr>
              <w:t xml:space="preserve">Élément sensible corrodable</w:t>
            </w:r>
          </w:p>
        </w:tc>
        <w:tc>
          <w:tcPr/>
          <w:p>
            <w:pPr>
              <w:pStyle w:val="Compact"/>
              <w:jc w:val="left"/>
            </w:pPr>
            <w:r>
              <w:rPr>
                <w:rFonts w:ascii="Times New Roman" w:hAnsi="Times New Roman"/>
                <w:sz w:val="20"/>
              </w:rPr>
              <w:t xml:space="preserve">Fil/tube acier certifié (Cormon, Emerson)</w:t>
            </w:r>
          </w:p>
        </w:tc>
        <w:tc>
          <w:tcPr/>
          <w:p>
            <w:pPr>
              <w:pStyle w:val="Compact"/>
              <w:jc w:val="left"/>
            </w:pPr>
            <w:r>
              <w:rPr>
                <w:rFonts w:ascii="Times New Roman" w:hAnsi="Times New Roman"/>
                <w:sz w:val="20"/>
              </w:rPr>
              <w:t xml:space="preserve">Fil de fer 1,0 mm</w:t>
            </w:r>
          </w:p>
        </w:tc>
        <w:tc>
          <w:tcPr/>
          <w:p>
            <w:pPr>
              <w:pStyle w:val="Compact"/>
              <w:jc w:val="left"/>
            </w:pPr>
            <w:r>
              <w:rPr>
                <w:rFonts w:ascii="Times New Roman" w:hAnsi="Times New Roman"/>
                <w:sz w:val="20"/>
              </w:rPr>
              <w:t xml:space="preserve">Oui — même loi R=ρL/A</w:t>
            </w:r>
          </w:p>
        </w:tc>
      </w:tr>
      <w:tr>
        <w:tc>
          <w:tcPr/>
          <w:p>
            <w:pPr>
              <w:pStyle w:val="Compact"/>
              <w:jc w:val="left"/>
            </w:pPr>
            <w:r>
              <w:rPr>
                <w:rFonts w:ascii="Times New Roman" w:hAnsi="Times New Roman"/>
                <w:sz w:val="20"/>
              </w:rPr>
              <w:t xml:space="preserve">Mesure différentielle</w:t>
            </w:r>
          </w:p>
        </w:tc>
        <w:tc>
          <w:tcPr/>
          <w:p>
            <w:pPr>
              <w:pStyle w:val="Compact"/>
              <w:jc w:val="left"/>
            </w:pPr>
            <w:r>
              <w:rPr>
                <w:rFonts w:ascii="Times New Roman" w:hAnsi="Times New Roman"/>
                <w:sz w:val="20"/>
              </w:rPr>
              <w:t xml:space="preserve">Pont de Wheatstone intégré dans transmetteur</w:t>
            </w:r>
          </w:p>
        </w:tc>
        <w:tc>
          <w:tcPr/>
          <w:p>
            <w:pPr>
              <w:pStyle w:val="Compact"/>
              <w:jc w:val="left"/>
            </w:pPr>
            <w:r>
              <w:rPr>
                <w:rFonts w:ascii="Times New Roman" w:hAnsi="Times New Roman"/>
                <w:sz w:val="20"/>
              </w:rPr>
              <w:t xml:space="preserve">Pont de Wheatstone discret (résistances de précision)</w:t>
            </w:r>
          </w:p>
        </w:tc>
        <w:tc>
          <w:tcPr/>
          <w:p>
            <w:pPr>
              <w:pStyle w:val="Compact"/>
              <w:jc w:val="left"/>
            </w:pPr>
            <w:r>
              <w:rPr>
                <w:rFonts w:ascii="Times New Roman" w:hAnsi="Times New Roman"/>
                <w:sz w:val="20"/>
              </w:rPr>
              <w:t xml:space="preserve">Oui — même circuit</w:t>
            </w:r>
          </w:p>
        </w:tc>
      </w:tr>
      <w:tr>
        <w:tc>
          <w:tcPr/>
          <w:p>
            <w:pPr>
              <w:pStyle w:val="Compact"/>
              <w:jc w:val="left"/>
            </w:pPr>
            <w:r>
              <w:rPr>
                <w:rFonts w:ascii="Times New Roman" w:hAnsi="Times New Roman"/>
                <w:sz w:val="20"/>
              </w:rPr>
              <w:t xml:space="preserve">Amplification signal</w:t>
            </w:r>
          </w:p>
        </w:tc>
        <w:tc>
          <w:tcPr/>
          <w:p>
            <w:pPr>
              <w:pStyle w:val="Compact"/>
              <w:jc w:val="left"/>
            </w:pPr>
            <w:r>
              <w:rPr>
                <w:rFonts w:ascii="Times New Roman" w:hAnsi="Times New Roman"/>
                <w:sz w:val="20"/>
              </w:rPr>
              <w:t xml:space="preserve">Amplificateur de précision (INA128, AD8221)</w:t>
            </w:r>
          </w:p>
        </w:tc>
        <w:tc>
          <w:tcPr/>
          <w:p>
            <w:pPr>
              <w:pStyle w:val="Compact"/>
              <w:jc w:val="left"/>
            </w:pPr>
            <w:r>
              <w:rPr>
                <w:rFonts w:ascii="Times New Roman" w:hAnsi="Times New Roman"/>
                <w:b/>
                <w:bCs/>
                <w:sz w:val="20"/>
              </w:rPr>
              <w:t xml:space="preserve">HX711</w:t>
            </w:r>
            <w:r>
              <w:rPr>
                <w:rFonts w:ascii="Times New Roman" w:hAnsi="Times New Roman"/>
                <w:sz w:val="20"/>
              </w:rPr>
              <w:t xml:space="preserve"> </w:t>
            </w:r>
            <w:r>
              <w:rPr>
                <w:rFonts w:ascii="Times New Roman" w:hAnsi="Times New Roman"/>
                <w:sz w:val="20"/>
              </w:rPr>
              <w:t xml:space="preserve">(ADC 24 bits dédié ponts de Wheatstone, gain 128, CMRR élevé)</w:t>
            </w:r>
          </w:p>
        </w:tc>
        <w:tc>
          <w:tcPr/>
          <w:p>
            <w:pPr>
              <w:pStyle w:val="Compact"/>
              <w:jc w:val="left"/>
            </w:pPr>
            <w:r>
              <w:rPr>
                <w:rFonts w:ascii="Times New Roman" w:hAnsi="Times New Roman"/>
                <w:sz w:val="20"/>
              </w:rPr>
              <w:t xml:space="preserve">Supérieur — conçu nativement pour cette application</w:t>
            </w:r>
          </w:p>
        </w:tc>
      </w:tr>
      <w:tr>
        <w:tc>
          <w:tcPr/>
          <w:p>
            <w:pPr>
              <w:pStyle w:val="Compact"/>
              <w:jc w:val="left"/>
            </w:pPr>
            <w:r>
              <w:rPr>
                <w:rFonts w:ascii="Times New Roman" w:hAnsi="Times New Roman"/>
                <w:sz w:val="20"/>
              </w:rPr>
              <w:t xml:space="preserve">Limitation courant / anti-Joule</w:t>
            </w:r>
          </w:p>
        </w:tc>
        <w:tc>
          <w:tcPr/>
          <w:p>
            <w:pPr>
              <w:pStyle w:val="Compact"/>
              <w:jc w:val="left"/>
            </w:pPr>
            <w:r>
              <w:rPr>
                <w:rFonts w:ascii="Times New Roman" w:hAnsi="Times New Roman"/>
                <w:sz w:val="20"/>
              </w:rPr>
              <w:t xml:space="preserve">Alimentation continue régulée</w:t>
            </w:r>
          </w:p>
        </w:tc>
        <w:tc>
          <w:tcPr/>
          <w:p>
            <w:pPr>
              <w:pStyle w:val="Compact"/>
              <w:jc w:val="left"/>
            </w:pPr>
            <w:r>
              <w:rPr>
                <w:rFonts w:ascii="Times New Roman" w:hAnsi="Times New Roman"/>
                <w:sz w:val="20"/>
              </w:rPr>
              <w:t xml:space="preserve">Résistance série 100 Ω sur E+ — limite le courant à ~31 mA et supprime l’échauffement par effet Joule sur le fil</w:t>
            </w:r>
          </w:p>
        </w:tc>
        <w:tc>
          <w:tcPr/>
          <w:p>
            <w:pPr>
              <w:pStyle w:val="Compact"/>
              <w:jc w:val="left"/>
            </w:pPr>
            <w:r>
              <w:rPr>
                <w:rFonts w:ascii="Times New Roman" w:hAnsi="Times New Roman"/>
                <w:sz w:val="20"/>
              </w:rPr>
              <w:t xml:space="preserve">Amélioration — biais thermique éliminé passivement</w:t>
            </w:r>
          </w:p>
        </w:tc>
      </w:tr>
      <w:tr>
        <w:tc>
          <w:tcPr/>
          <w:p>
            <w:pPr>
              <w:pStyle w:val="Compact"/>
              <w:jc w:val="left"/>
            </w:pPr>
            <w:r>
              <w:rPr>
                <w:rFonts w:ascii="Times New Roman" w:hAnsi="Times New Roman"/>
                <w:sz w:val="20"/>
              </w:rPr>
              <w:t xml:space="preserve">Traitement numérique</w:t>
            </w:r>
          </w:p>
        </w:tc>
        <w:tc>
          <w:tcPr/>
          <w:p>
            <w:pPr>
              <w:pStyle w:val="Compact"/>
              <w:jc w:val="left"/>
            </w:pPr>
            <w:r>
              <w:rPr>
                <w:rFonts w:ascii="Times New Roman" w:hAnsi="Times New Roman"/>
                <w:sz w:val="20"/>
              </w:rPr>
              <w:t xml:space="preserve">Microprocesseur embarqué dans transmetteur</w:t>
            </w:r>
          </w:p>
        </w:tc>
        <w:tc>
          <w:tcPr/>
          <w:p>
            <w:pPr>
              <w:pStyle w:val="Compact"/>
              <w:jc w:val="left"/>
            </w:pPr>
            <w:r>
              <w:rPr>
                <w:rFonts w:ascii="Times New Roman" w:hAnsi="Times New Roman"/>
                <w:sz w:val="20"/>
              </w:rPr>
              <w:t xml:space="preserve">ESP32 (dual-core, WiFi + Bluetooth)</w:t>
            </w:r>
          </w:p>
        </w:tc>
        <w:tc>
          <w:tcPr/>
          <w:p>
            <w:pPr>
              <w:pStyle w:val="Compact"/>
              <w:jc w:val="left"/>
            </w:pPr>
            <w:r>
              <w:rPr>
                <w:rFonts w:ascii="Times New Roman" w:hAnsi="Times New Roman"/>
                <w:sz w:val="20"/>
              </w:rPr>
              <w:t xml:space="preserve">Oui — même fonction</w:t>
            </w:r>
          </w:p>
        </w:tc>
      </w:tr>
      <w:tr>
        <w:tc>
          <w:tcPr/>
          <w:p>
            <w:pPr>
              <w:pStyle w:val="Compact"/>
              <w:jc w:val="left"/>
            </w:pPr>
            <w:r>
              <w:rPr>
                <w:rFonts w:ascii="Times New Roman" w:hAnsi="Times New Roman"/>
                <w:sz w:val="20"/>
              </w:rPr>
              <w:t xml:space="preserve">Communication</w:t>
            </w:r>
          </w:p>
        </w:tc>
        <w:tc>
          <w:tcPr/>
          <w:p>
            <w:pPr>
              <w:pStyle w:val="Compact"/>
              <w:jc w:val="left"/>
            </w:pPr>
            <w:r>
              <w:rPr>
                <w:rFonts w:ascii="Times New Roman" w:hAnsi="Times New Roman"/>
                <w:sz w:val="20"/>
              </w:rPr>
              <w:t xml:space="preserve">HART 4-20 mA, WirelessHART, Modbus</w:t>
            </w:r>
          </w:p>
        </w:tc>
        <w:tc>
          <w:tcPr/>
          <w:p>
            <w:pPr>
              <w:pStyle w:val="Compact"/>
              <w:jc w:val="left"/>
            </w:pPr>
            <w:r>
              <w:rPr>
                <w:rFonts w:ascii="Times New Roman" w:hAnsi="Times New Roman"/>
                <w:sz w:val="20"/>
              </w:rPr>
              <w:t xml:space="preserve">HTTP/REST via WiFi 802.11</w:t>
            </w:r>
          </w:p>
        </w:tc>
        <w:tc>
          <w:tcPr/>
          <w:p>
            <w:pPr>
              <w:pStyle w:val="Compact"/>
              <w:jc w:val="left"/>
            </w:pPr>
            <w:r>
              <w:rPr>
                <w:rFonts w:ascii="Times New Roman" w:hAnsi="Times New Roman"/>
                <w:sz w:val="20"/>
              </w:rPr>
              <w:t xml:space="preserve">Équivalent — protocoles différents</w:t>
            </w:r>
          </w:p>
        </w:tc>
      </w:tr>
      <w:tr>
        <w:tc>
          <w:tcPr/>
          <w:p>
            <w:pPr>
              <w:pStyle w:val="Compact"/>
              <w:jc w:val="left"/>
            </w:pPr>
            <w:r>
              <w:rPr>
                <w:rFonts w:ascii="Times New Roman" w:hAnsi="Times New Roman"/>
                <w:sz w:val="20"/>
              </w:rPr>
              <w:t xml:space="preserve">Historisation</w:t>
            </w:r>
          </w:p>
        </w:tc>
        <w:tc>
          <w:tcPr/>
          <w:p>
            <w:pPr>
              <w:pStyle w:val="Compact"/>
              <w:jc w:val="left"/>
            </w:pPr>
            <w:r>
              <w:rPr>
                <w:rFonts w:ascii="Times New Roman" w:hAnsi="Times New Roman"/>
                <w:sz w:val="20"/>
              </w:rPr>
              <w:t xml:space="preserve">PI Server OSIsoft (historien industriel)</w:t>
            </w:r>
          </w:p>
        </w:tc>
        <w:tc>
          <w:tcPr/>
          <w:p>
            <w:pPr>
              <w:pStyle w:val="Compact"/>
              <w:jc w:val="left"/>
            </w:pPr>
            <w:r>
              <w:rPr>
                <w:rFonts w:ascii="Times New Roman" w:hAnsi="Times New Roman"/>
                <w:sz w:val="20"/>
              </w:rPr>
              <w:t xml:space="preserve">Supabase (PostgreSQL cloud)</w:t>
            </w:r>
          </w:p>
        </w:tc>
        <w:tc>
          <w:tcPr/>
          <w:p>
            <w:pPr>
              <w:pStyle w:val="Compact"/>
              <w:jc w:val="left"/>
            </w:pPr>
            <w:r>
              <w:rPr>
                <w:rFonts w:ascii="Times New Roman" w:hAnsi="Times New Roman"/>
                <w:sz w:val="20"/>
              </w:rPr>
              <w:t xml:space="preserve">Équivalent — stockage temporel</w:t>
            </w:r>
          </w:p>
        </w:tc>
      </w:tr>
      <w:tr>
        <w:tc>
          <w:tcPr/>
          <w:p>
            <w:pPr>
              <w:pStyle w:val="Compact"/>
              <w:jc w:val="left"/>
            </w:pPr>
            <w:r>
              <w:rPr>
                <w:rFonts w:ascii="Times New Roman" w:hAnsi="Times New Roman"/>
                <w:sz w:val="20"/>
              </w:rPr>
              <w:t xml:space="preserve">Visualisation</w:t>
            </w:r>
          </w:p>
        </w:tc>
        <w:tc>
          <w:tcPr/>
          <w:p>
            <w:pPr>
              <w:pStyle w:val="Compact"/>
              <w:jc w:val="left"/>
            </w:pPr>
            <w:r>
              <w:rPr>
                <w:rFonts w:ascii="Times New Roman" w:hAnsi="Times New Roman"/>
                <w:sz w:val="20"/>
              </w:rPr>
              <w:t xml:space="preserve">SCADA/DCS (Wonderware, Honeywell)</w:t>
            </w:r>
          </w:p>
        </w:tc>
        <w:tc>
          <w:tcPr/>
          <w:p>
            <w:pPr>
              <w:pStyle w:val="Compact"/>
              <w:jc w:val="left"/>
            </w:pPr>
            <w:r>
              <w:rPr>
                <w:rFonts w:ascii="Times New Roman" w:hAnsi="Times New Roman"/>
                <w:sz w:val="20"/>
              </w:rPr>
              <w:t xml:space="preserve">Dashboard Streamlit</w:t>
            </w:r>
          </w:p>
        </w:tc>
        <w:tc>
          <w:tcPr/>
          <w:p>
            <w:pPr>
              <w:pStyle w:val="Compact"/>
              <w:jc w:val="left"/>
            </w:pPr>
            <w:r>
              <w:rPr>
                <w:rFonts w:ascii="Times New Roman" w:hAnsi="Times New Roman"/>
                <w:sz w:val="20"/>
              </w:rPr>
              <w:t xml:space="preserve">Équivalent — affichage temps réel</w:t>
            </w:r>
          </w:p>
        </w:tc>
      </w:tr>
      <w:tr>
        <w:tc>
          <w:tcPr/>
          <w:p>
            <w:pPr>
              <w:pStyle w:val="Compact"/>
              <w:jc w:val="left"/>
            </w:pPr>
            <w:r>
              <w:rPr>
                <w:rFonts w:ascii="Times New Roman" w:hAnsi="Times New Roman"/>
                <w:sz w:val="20"/>
              </w:rPr>
              <w:t xml:space="preserve">Prédiction / Décision</w:t>
            </w:r>
          </w:p>
        </w:tc>
        <w:tc>
          <w:tcPr/>
          <w:p>
            <w:pPr>
              <w:pStyle w:val="Compact"/>
              <w:jc w:val="left"/>
            </w:pPr>
            <w:r>
              <w:rPr>
                <w:rFonts w:ascii="Times New Roman" w:hAnsi="Times New Roman"/>
                <w:sz w:val="20"/>
              </w:rPr>
              <w:t xml:space="preserve">Absent dans systèmes classiques</w:t>
            </w:r>
          </w:p>
        </w:tc>
        <w:tc>
          <w:tcPr/>
          <w:p>
            <w:pPr>
              <w:pStyle w:val="Compact"/>
              <w:jc w:val="left"/>
            </w:pPr>
            <w:r>
              <w:rPr>
                <w:rFonts w:ascii="Times New Roman" w:hAnsi="Times New Roman"/>
                <w:sz w:val="20"/>
              </w:rPr>
              <w:t xml:space="preserve">XGBoost (contribution originale)</w:t>
            </w:r>
          </w:p>
        </w:tc>
        <w:tc>
          <w:tcPr/>
          <w:p>
            <w:pPr>
              <w:pStyle w:val="Compact"/>
              <w:jc w:val="left"/>
            </w:pPr>
            <w:r>
              <w:rPr>
                <w:rFonts w:ascii="Times New Roman" w:hAnsi="Times New Roman"/>
                <w:sz w:val="20"/>
              </w:rPr>
              <w:t xml:space="preserve">Nouveau — apport de ce travail</w:t>
            </w:r>
          </w:p>
        </w:tc>
      </w:tr>
    </w:tbl>
    <w:bookmarkEnd w:id="65"/>
    <w:bookmarkStart w:id="66" w:name="conception-du-pont-de-wheatstone"/>
    <w:p>
      <w:pPr>
        <w:pStyle w:val="Heading2"/>
      </w:pPr>
      <w:r>
        <w:rPr>
          <w:rFonts w:ascii="Times New Roman" w:hAnsi="Times New Roman"/>
        </w:rPr>
        <w:t xml:space="preserve">3.2 Conception du pont de Wheatstone</w:t>
      </w:r>
    </w:p>
    <w:p>
      <w:pPr>
        <w:pStyle w:val="FirstParagraph"/>
      </w:pPr>
      <w:r>
        <w:rPr>
          <w:rFonts w:ascii="Times New Roman" w:hAnsi="Times New Roman"/>
        </w:rPr>
        <w:t xml:space="preserve">Le pont de Wheatstone est un circuit électrique permettant de mesurer avec précision de très faibles variations de résistance en mode différentiel, annulant ainsi le bruit commun (variations de température, bruit d’alimentation). Il est constitué de quatre résistances disposées en carré, avec une source de tension Vs et une mesure de tension différentielle Vout entre les deux branches.</w:t>
      </w:r>
    </w:p>
    <w:p>
      <w:pPr>
        <w:pStyle w:val="BodyText"/>
      </w:pPr>
      <w:r>
        <w:rPr>
          <w:rFonts w:ascii="Times New Roman" w:hAnsi="Times New Roman"/>
        </w:rPr>
        <w:t xml:space="preserve">Dans la configuration utilisée, R1 = R2 = R3 = R₀ (résistances fixes de précision, tolérance 1%) et R4 = R_fil (sonde ER, résistance variable). La configuration retenue utilise R1 = R2 = 10 Ω et R_REF = 0,5 Ω (résistances de précision 1%). Le fil de fer de 1,1 m présente une résistance initiale mesurée Rx₀ ≈ 0,13 Ω (déterminée expérimentalement). Le pont n’est donc pas à l’équilibre initial (R_REF ≠ Rx₀) — cela se traduit par un Vdiff non nul à t=0. Ce déséquilibre initial est enregistré comme valeur de référence et les variations relatives ΔR = Rx(t) − Rx₀ constituent la grandeur de surveillance.</w:t>
      </w:r>
    </w:p>
    <w:p>
      <w:pPr>
        <w:pStyle w:val="BodyText"/>
      </w:pPr>
      <w:r>
        <w:rPr>
          <w:rFonts w:ascii="Times New Roman" w:hAnsi="Times New Roman"/>
        </w:rPr>
        <w:t xml:space="preserve">L’amplificateur ADC retenu est le</w:t>
      </w:r>
      <w:r>
        <w:rPr>
          <w:rFonts w:ascii="Times New Roman" w:hAnsi="Times New Roman"/>
        </w:rPr>
        <w:t xml:space="preserve"> </w:t>
      </w:r>
      <w:r>
        <w:rPr>
          <w:rFonts w:ascii="Times New Roman" w:hAnsi="Times New Roman"/>
          <w:b/>
          <w:bCs/>
        </w:rPr>
        <w:t xml:space="preserve">HX711</w:t>
      </w:r>
      <w:r>
        <w:rPr>
          <w:rFonts w:ascii="Times New Roman" w:hAnsi="Times New Roman"/>
        </w:rPr>
        <w:t xml:space="preserve"> </w:t>
      </w:r>
      <w:r>
        <w:rPr>
          <w:rFonts w:ascii="Times New Roman" w:hAnsi="Times New Roman"/>
        </w:rPr>
        <w:t xml:space="preserve">(24 bits, gain 128), conçu spécifiquement pour les ponts de Wheatstone dans les applications de pesée industrielle. Par rapport à l’ADS1115 (16 bits) initialement envisagé, il apporte une résolution théorique 2⁸ = 256× supérieure et un meilleur CMRR, mieux adapté à la mesure de tensions différentielles de quelques dizaines de microvolt.</w:t>
      </w:r>
    </w:p>
    <w:p>
      <w:pPr>
        <w:pStyle w:val="BodyText"/>
      </w:pPr>
      <w:r>
        <w:rPr>
          <w:rFonts w:ascii="Times New Roman" w:hAnsi="Times New Roman"/>
        </w:rPr>
        <w:t xml:space="preserve">Une résistance de</w:t>
      </w:r>
      <w:r>
        <w:rPr>
          <w:rFonts w:ascii="Times New Roman" w:hAnsi="Times New Roman"/>
        </w:rPr>
        <w:t xml:space="preserve"> </w:t>
      </w:r>
      <w:r>
        <w:rPr>
          <w:rFonts w:ascii="Times New Roman" w:hAnsi="Times New Roman"/>
          <w:b/>
          <w:bCs/>
        </w:rPr>
        <w:t xml:space="preserve">82 Ω</w:t>
      </w:r>
      <w:r>
        <w:rPr>
          <w:rFonts w:ascii="Times New Roman" w:hAnsi="Times New Roman"/>
        </w:rPr>
        <w:t xml:space="preserve"> </w:t>
      </w:r>
      <w:r>
        <w:rPr>
          <w:rFonts w:ascii="Times New Roman" w:hAnsi="Times New Roman"/>
        </w:rPr>
        <w:t xml:space="preserve">est placée en série entre l’alimentation 3,3 V et la broche E+ du pont. Elle remplit deux fonctions : (1) limiter le courant de circulation dans le fil à ~36 mA, réduisant la puissance dissipée dans le fil (P = I²R_fil ≈ 0,17 mW) à un niveau n’induisant pas d’échauffement mesurable ; (2) protéger le HX711 contre les surtensions. Cette résistance série réduit la tension effective aux bornes du pont à V_eff ≈ 3,3 × 10,5 / 92,5 ≈ 0,37 V — valeur à utiliser dans la formule de calcul de Rx pour obtenir une résistance absolue correcte.</w:t>
      </w:r>
    </w:p>
    <w:p>
      <w:pPr>
        <w:pStyle w:val="BodyText"/>
      </w:pPr>
      <w:r>
        <w:rPr>
          <w:rFonts w:ascii="Times New Roman" w:hAnsi="Times New Roman"/>
          <w:b/>
          <w:bCs/>
        </w:rPr>
        <w:t xml:space="preserve">Note sur l’alimentation du pont</w:t>
      </w:r>
      <w:r>
        <w:rPr>
          <w:rFonts w:ascii="Times New Roman" w:hAnsi="Times New Roman"/>
        </w:rPr>
        <w:t xml:space="preserve"> </w:t>
      </w:r>
      <w:r>
        <w:rPr>
          <w:rFonts w:ascii="Times New Roman" w:hAnsi="Times New Roman"/>
        </w:rPr>
        <w:t xml:space="preserve">: L’ESP32 entre en deep sleep (consommation &lt; 10 µA) entre deux mesures. À chaque réveil, le HX711 est réinitialisé et effectue 10 lectures moyennées (~2 s), puis l’ESP32 met le HX711 en power-down (SCK HIGH &gt; 60 µs) avant de retourner en deep sleep. Ce cycle assure l’absence totale d’échauffement entre les mesures.</w:t>
      </w:r>
    </w:p>
    <w:p>
      <w:pPr>
        <w:pStyle w:val="BodyText"/>
      </w:pPr>
      <m:oMathPara>
        <m:oMathParaPr>
          <m:jc m:val="center"/>
        </m:oMathParaPr>
        <m:oMath>
          <m:sSub>
            <m:e>
              <m:r>
                <m:t>V</m:t>
              </m:r>
            </m:e>
            <m:sub>
              <m:r>
                <m:t>o</m:t>
              </m:r>
              <m:r>
                <m:t>u</m:t>
              </m:r>
              <m:r>
                <m:t>t</m:t>
              </m:r>
            </m:sub>
          </m:sSub>
          <m:r>
            <m:rPr>
              <m:sty m:val="p"/>
            </m:rPr>
            <m:t>=</m:t>
          </m:r>
          <m:sSub>
            <m:e>
              <m:r>
                <m:t>V</m:t>
              </m:r>
            </m:e>
            <m:sub>
              <m:r>
                <m:t>s</m:t>
              </m:r>
            </m:sub>
          </m:sSub>
          <m:r>
            <m:rPr>
              <m:sty m:val="p"/>
            </m:rPr>
            <m:t>×</m:t>
          </m:r>
          <m:d>
            <m:dPr>
              <m:begChr m:val="("/>
              <m:sepChr m:val=""/>
              <m:endChr m:val=")"/>
              <m:grow/>
            </m:dPr>
            <m:e>
              <m:f>
                <m:fPr>
                  <m:type m:val="bar"/>
                </m:fPr>
                <m:num>
                  <m:sSub>
                    <m:e>
                      <m:r>
                        <m:t>R</m:t>
                      </m:r>
                    </m:e>
                    <m:sub>
                      <m:r>
                        <m:t>f</m:t>
                      </m:r>
                      <m:r>
                        <m:t>i</m:t>
                      </m:r>
                      <m:r>
                        <m:t>l</m:t>
                      </m:r>
                    </m:sub>
                  </m:sSub>
                </m:num>
                <m:den>
                  <m:sSub>
                    <m:e>
                      <m:r>
                        <m:t>R</m:t>
                      </m:r>
                    </m:e>
                    <m:sub>
                      <m:r>
                        <m:t>0</m:t>
                      </m:r>
                    </m:sub>
                  </m:sSub>
                  <m:r>
                    <m:rPr>
                      <m:sty m:val="p"/>
                    </m:rPr>
                    <m:t>+</m:t>
                  </m:r>
                  <m:sSub>
                    <m:e>
                      <m:r>
                        <m:t>R</m:t>
                      </m:r>
                    </m:e>
                    <m:sub>
                      <m:r>
                        <m:t>f</m:t>
                      </m:r>
                      <m:r>
                        <m:t>i</m:t>
                      </m:r>
                      <m:r>
                        <m:t>l</m:t>
                      </m:r>
                    </m:sub>
                  </m:sSub>
                </m:den>
              </m:f>
              <m:r>
                <m:rPr>
                  <m:sty m:val="p"/>
                </m:rPr>
                <m:t>−</m:t>
              </m:r>
              <m:f>
                <m:fPr>
                  <m:type m:val="bar"/>
                </m:fPr>
                <m:num>
                  <m:sSub>
                    <m:e>
                      <m:r>
                        <m:t>R</m:t>
                      </m:r>
                    </m:e>
                    <m:sub>
                      <m:r>
                        <m:t>0</m:t>
                      </m:r>
                    </m:sub>
                  </m:sSub>
                </m:num>
                <m:den>
                  <m:r>
                    <m:t>2</m:t>
                  </m:r>
                  <m:r>
                    <m:rPr>
                      <m:sty m:val="p"/>
                    </m:rPr>
                    <m:t>⋅</m:t>
                  </m:r>
                  <m:sSub>
                    <m:e>
                      <m:r>
                        <m:t>R</m:t>
                      </m:r>
                    </m:e>
                    <m:sub>
                      <m:r>
                        <m:t>0</m:t>
                      </m:r>
                    </m:sub>
                  </m:sSub>
                </m:den>
              </m:f>
            </m:e>
          </m:d>
        </m:oMath>
      </m:oMathPara>
    </w:p>
    <w:p>
      <w:pPr>
        <w:pStyle w:val="FirstParagraph"/>
      </w:pPr>
      <w:r>
        <w:rPr>
          <w:rFonts w:ascii="Times New Roman" w:hAnsi="Times New Roman"/>
        </w:rPr>
        <w:t xml:space="preserve">L’HX711 mesure Vout en mode différentiel (AIN0 - AIN1) avec un gain PGA de ×16, ce qui donne une résolution de 0,0078 mV par bit sur une plage de ±256 mV. Pour un fil de 1,0 mm (R₀ ≈ 0,13 Ω) alimenté sous Vs = 3,3 V, une corrosion de 1% de la section produit un déséquilibre Vout ≈ 0,08 mV, soit ~10 LSB — largement détectable. La mesure séquentielle (pont d’abord, puis pH) évite les courants parasites circulant via le liquide conducteur entre les deux circuits de mesure (boucle de masse).</w:t>
      </w:r>
    </w:p>
    <w:bookmarkEnd w:id="66"/>
    <w:bookmarkStart w:id="71" w:name="X84ee4a3a93a6daeae3499193c22fe63ab532d7a"/>
    <w:p>
      <w:pPr>
        <w:pStyle w:val="Heading2"/>
      </w:pPr>
      <w:r>
        <w:rPr>
          <w:rFonts w:ascii="Times New Roman" w:hAnsi="Times New Roman"/>
        </w:rPr>
        <w:t xml:space="preserve">3.3 Environnement corrosif : Detar Plus et justification du choix</w:t>
      </w:r>
    </w:p>
    <w:bookmarkStart w:id="67" w:name="nature-et-composition-du-milieu-corrosif"/>
    <w:p>
      <w:pPr>
        <w:pStyle w:val="Heading3"/>
      </w:pPr>
      <w:r>
        <w:rPr>
          <w:rFonts w:ascii="Times New Roman" w:hAnsi="Times New Roman"/>
        </w:rPr>
        <w:t xml:space="preserve">3.3.1 Nature et composition du milieu corrosif</w:t>
      </w:r>
    </w:p>
    <w:p>
      <w:pPr>
        <w:pStyle w:val="FirstParagraph"/>
      </w:pPr>
      <w:r>
        <w:rPr>
          <w:rFonts w:ascii="Times New Roman" w:hAnsi="Times New Roman"/>
        </w:rPr>
        <w:t xml:space="preserve">L’environnement corrosif du prototype est le</w:t>
      </w:r>
      <w:r>
        <w:rPr>
          <w:rFonts w:ascii="Times New Roman" w:hAnsi="Times New Roman"/>
        </w:rPr>
        <w:t xml:space="preserve"> </w:t>
      </w:r>
      <w:r>
        <w:rPr>
          <w:rFonts w:ascii="Times New Roman" w:hAnsi="Times New Roman"/>
          <w:b/>
          <w:bCs/>
        </w:rPr>
        <w:t xml:space="preserve">Detar Plus</w:t>
      </w:r>
      <w:r>
        <w:rPr>
          <w:rFonts w:ascii="Times New Roman" w:hAnsi="Times New Roman"/>
        </w:rPr>
        <w:t xml:space="preserve">, un détartrant acide professionnel à usage industriel et domestique. Sa Fiche de Données de Sécurité (FDS, document réglementaire obligatoire selon le Règlement CLP/CE n°1272/2008) indique la composition suivante :</w:t>
      </w:r>
    </w:p>
    <w:p>
      <w:pPr>
        <w:pStyle w:val="Compact"/>
        <w:numPr>
          <w:ilvl w:val="0"/>
          <w:numId w:val="1006"/>
        </w:numPr>
      </w:pPr>
      <w:r>
        <w:rPr>
          <w:rFonts w:ascii="Times New Roman" w:hAnsi="Times New Roman"/>
          <w:b/>
          <w:bCs/>
        </w:rPr>
        <w:t xml:space="preserve">Acide phosphorique (H₃PO₄)</w:t>
      </w:r>
      <w:r>
        <w:rPr>
          <w:rFonts w:ascii="Times New Roman" w:hAnsi="Times New Roman"/>
        </w:rPr>
        <w:t xml:space="preserve"> </w:t>
      </w:r>
      <w:r>
        <w:rPr>
          <w:rFonts w:ascii="Times New Roman" w:hAnsi="Times New Roman"/>
        </w:rPr>
        <w:t xml:space="preserve">: 10–30% en masse</w:t>
      </w:r>
    </w:p>
    <w:p>
      <w:pPr>
        <w:pStyle w:val="Compact"/>
        <w:numPr>
          <w:ilvl w:val="0"/>
          <w:numId w:val="1006"/>
        </w:numPr>
      </w:pPr>
      <w:r>
        <w:rPr>
          <w:rFonts w:ascii="Times New Roman" w:hAnsi="Times New Roman"/>
          <w:b/>
          <w:bCs/>
        </w:rPr>
        <w:t xml:space="preserve">Acide chlorhydrique (HCl)</w:t>
      </w:r>
      <w:r>
        <w:rPr>
          <w:rFonts w:ascii="Times New Roman" w:hAnsi="Times New Roman"/>
        </w:rPr>
        <w:t xml:space="preserve"> </w:t>
      </w:r>
      <w:r>
        <w:rPr>
          <w:rFonts w:ascii="Times New Roman" w:hAnsi="Times New Roman"/>
        </w:rPr>
        <w:t xml:space="preserve">: 5–15% en masse</w:t>
      </w:r>
    </w:p>
    <w:p>
      <w:pPr>
        <w:pStyle w:val="Compact"/>
        <w:numPr>
          <w:ilvl w:val="0"/>
          <w:numId w:val="1006"/>
        </w:numPr>
      </w:pPr>
      <w:r>
        <w:rPr>
          <w:rFonts w:ascii="Times New Roman" w:hAnsi="Times New Roman"/>
          <w:b/>
          <w:bCs/>
        </w:rPr>
        <w:t xml:space="preserve">Tensioactifs</w:t>
      </w:r>
      <w:r>
        <w:rPr>
          <w:rFonts w:ascii="Times New Roman" w:hAnsi="Times New Roman"/>
        </w:rPr>
        <w:t xml:space="preserve"> </w:t>
      </w:r>
      <w:r>
        <w:rPr>
          <w:rFonts w:ascii="Times New Roman" w:hAnsi="Times New Roman"/>
        </w:rPr>
        <w:t xml:space="preserve">: &lt; 5% (agents mouillants, non corrosifs en eux-mêmes)</w:t>
      </w:r>
    </w:p>
    <w:p>
      <w:pPr>
        <w:pStyle w:val="Compact"/>
        <w:numPr>
          <w:ilvl w:val="0"/>
          <w:numId w:val="1006"/>
        </w:numPr>
      </w:pPr>
      <w:r>
        <w:rPr>
          <w:rFonts w:ascii="Times New Roman" w:hAnsi="Times New Roman"/>
          <w:b/>
          <w:bCs/>
        </w:rPr>
        <w:t xml:space="preserve">Additifs divers</w:t>
      </w:r>
      <w:r>
        <w:rPr>
          <w:rFonts w:ascii="Times New Roman" w:hAnsi="Times New Roman"/>
        </w:rPr>
        <w:t xml:space="preserve"> </w:t>
      </w:r>
      <w:r>
        <w:rPr>
          <w:rFonts w:ascii="Times New Roman" w:hAnsi="Times New Roman"/>
        </w:rPr>
        <w:t xml:space="preserve">: colorants, parfums (concentrations négligeables)</w:t>
      </w:r>
    </w:p>
    <w:p>
      <w:pPr>
        <w:pStyle w:val="FirstParagraph"/>
      </w:pPr>
      <w:r>
        <w:rPr>
          <w:rFonts w:ascii="Times New Roman" w:hAnsi="Times New Roman"/>
        </w:rPr>
        <w:t xml:space="preserve">Le pH de la solution non diluée est compris entre</w:t>
      </w:r>
      <w:r>
        <w:rPr>
          <w:rFonts w:ascii="Times New Roman" w:hAnsi="Times New Roman"/>
        </w:rPr>
        <w:t xml:space="preserve"> </w:t>
      </w:r>
      <w:r>
        <w:rPr>
          <w:rFonts w:ascii="Times New Roman" w:hAnsi="Times New Roman"/>
          <w:b/>
          <w:bCs/>
        </w:rPr>
        <w:t xml:space="preserve">0,5 et 1,5</w:t>
      </w:r>
      <w:r>
        <w:rPr>
          <w:rFonts w:ascii="Times New Roman" w:hAnsi="Times New Roman"/>
        </w:rPr>
        <w:t xml:space="preserve"> </w:t>
      </w:r>
      <w:r>
        <w:rPr>
          <w:rFonts w:ascii="Times New Roman" w:hAnsi="Times New Roman"/>
        </w:rPr>
        <w:t xml:space="preserve">selon les lots, mesuré expérimentalement à la sonde pH avant chaque run. La densité est d’environ 1,10–1,15 g/cm³, mesurée par pesée de 100 mL sur balance de précision. Ces deux paramètres (pH initial, densité) constituent la</w:t>
      </w:r>
      <w:r>
        <w:rPr>
          <w:rFonts w:ascii="Times New Roman" w:hAnsi="Times New Roman"/>
        </w:rPr>
        <w:t xml:space="preserve"> </w:t>
      </w:r>
      <w:r>
        <w:rPr>
          <w:rFonts w:ascii="Times New Roman" w:hAnsi="Times New Roman"/>
          <w:b/>
          <w:bCs/>
        </w:rPr>
        <w:t xml:space="preserve">carte d’identité</w:t>
      </w:r>
      <w:r>
        <w:rPr>
          <w:rFonts w:ascii="Times New Roman" w:hAnsi="Times New Roman"/>
        </w:rPr>
        <w:t xml:space="preserve"> </w:t>
      </w:r>
      <w:r>
        <w:rPr>
          <w:rFonts w:ascii="Times New Roman" w:hAnsi="Times New Roman"/>
        </w:rPr>
        <w:t xml:space="preserve">de la solution de travail pour chaque run, garantissant la reproductibilité des résultats.</w:t>
      </w:r>
    </w:p>
    <w:bookmarkEnd w:id="67"/>
    <w:bookmarkStart w:id="68" w:name="X39b11df4db3f00e38da8ed2d03db8ed8cddcfc3"/>
    <w:p>
      <w:pPr>
        <w:pStyle w:val="Heading3"/>
      </w:pPr>
      <w:r>
        <w:rPr>
          <w:rFonts w:ascii="Times New Roman" w:hAnsi="Times New Roman"/>
        </w:rPr>
        <w:t xml:space="preserve">3.3.2 Mécanismes de corrosion dans le Detar Plus</w:t>
      </w:r>
    </w:p>
    <w:p>
      <w:pPr>
        <w:pStyle w:val="FirstParagraph"/>
      </w:pPr>
      <w:r>
        <w:rPr>
          <w:rFonts w:ascii="Times New Roman" w:hAnsi="Times New Roman"/>
        </w:rPr>
        <w:t xml:space="preserve">Le Detar Plus crée un environnement corrosif</w:t>
      </w:r>
      <w:r>
        <w:rPr>
          <w:rFonts w:ascii="Times New Roman" w:hAnsi="Times New Roman"/>
        </w:rPr>
        <w:t xml:space="preserve"> </w:t>
      </w:r>
      <w:r>
        <w:rPr>
          <w:rFonts w:ascii="Times New Roman" w:hAnsi="Times New Roman"/>
          <w:b/>
          <w:bCs/>
        </w:rPr>
        <w:t xml:space="preserve">multi-mécanisme</w:t>
      </w:r>
      <w:r>
        <w:rPr>
          <w:rFonts w:ascii="Times New Roman" w:hAnsi="Times New Roman"/>
        </w:rPr>
        <w:t xml:space="preserve">, fondamentalement différent des milieux mono-acide classiques de la littérature. Trois processus électrochimiques coexistent et interagissent :</w:t>
      </w:r>
    </w:p>
    <w:p>
      <w:pPr>
        <w:pStyle w:val="BodyText"/>
      </w:pPr>
      <w:r>
        <w:rPr>
          <w:rFonts w:ascii="Times New Roman" w:hAnsi="Times New Roman"/>
          <w:b/>
          <w:bCs/>
        </w:rPr>
        <w:t xml:space="preserve">Mécanisme 1 — Attaque par l’acide chlorhydrique (HCl)</w:t>
      </w:r>
      <w:r>
        <w:rPr>
          <w:rFonts w:ascii="Times New Roman" w:hAnsi="Times New Roman"/>
        </w:rPr>
        <w:t xml:space="preserve"> </w:t>
      </w:r>
      <w:r>
        <w:rPr>
          <w:rFonts w:ascii="Times New Roman" w:hAnsi="Times New Roman"/>
        </w:rPr>
        <w:t xml:space="preserve">: L’HCl est un acide fort qui se dissocie totalement en solution (HCl → H⁺ + Cl⁻). La corrosion procède par réduction des protons à la cathode (2H⁺ + 2e⁻ → H₂↑) et dissolution du fer à l’anode (Fe → Fe²⁺ + 2e⁻). Les ions chlorures Cl⁻ jouent un rôle supplémentaire d’agressivité : ils détruisent les films passifs (ASTM G46) et favorisent la corrosion par piqûres. Ce mécanisme est le moteur principal de la perte de matière.</w:t>
      </w:r>
    </w:p>
    <w:p>
      <w:pPr>
        <w:pStyle w:val="BodyText"/>
      </w:pPr>
      <w:r>
        <w:rPr>
          <w:rFonts w:ascii="Times New Roman" w:hAnsi="Times New Roman"/>
          <w:b/>
          <w:bCs/>
        </w:rPr>
        <w:t xml:space="preserve">Mécanisme 2 — Passivation partielle par l’acide phosphorique (H₃PO₄)</w:t>
      </w:r>
      <w:r>
        <w:rPr>
          <w:rFonts w:ascii="Times New Roman" w:hAnsi="Times New Roman"/>
        </w:rPr>
        <w:t xml:space="preserve"> </w:t>
      </w:r>
      <w:r>
        <w:rPr>
          <w:rFonts w:ascii="Times New Roman" w:hAnsi="Times New Roman"/>
        </w:rPr>
        <w:t xml:space="preserve">: L’acide phosphorique, bien que corrosif en lui-même, forme un film de phosphate de fer (FePO₄ / Fe₃(PO₄)₂) à la surface du métal. Ce film agit comme un</w:t>
      </w:r>
      <w:r>
        <w:rPr>
          <w:rFonts w:ascii="Times New Roman" w:hAnsi="Times New Roman"/>
        </w:rPr>
        <w:t xml:space="preserve"> </w:t>
      </w:r>
      <w:r>
        <w:rPr>
          <w:rFonts w:ascii="Times New Roman" w:hAnsi="Times New Roman"/>
          <w:b/>
          <w:bCs/>
        </w:rPr>
        <w:t xml:space="preserve">convertisseur de rouille</w:t>
      </w:r>
      <w:r>
        <w:rPr>
          <w:rFonts w:ascii="Times New Roman" w:hAnsi="Times New Roman"/>
        </w:rPr>
        <w:t xml:space="preserve"> </w:t>
      </w:r>
      <w:r>
        <w:rPr>
          <w:rFonts w:ascii="Times New Roman" w:hAnsi="Times New Roman"/>
        </w:rPr>
        <w:t xml:space="preserve">— principe exploité industriellement dans les traitements de surface phosphatants (norme ISO 9717). Ce film ralentit la corrosion en constituant une barrière partielle entre le métal et l’électrolyte.</w:t>
      </w:r>
    </w:p>
    <w:p>
      <w:pPr>
        <w:pStyle w:val="BodyText"/>
      </w:pPr>
      <w:r>
        <w:rPr>
          <w:rFonts w:ascii="Times New Roman" w:hAnsi="Times New Roman"/>
          <w:b/>
          <w:bCs/>
        </w:rPr>
        <w:t xml:space="preserve">Mécanisme 3 — Compétition dynamique HCl/H₃PO₄</w:t>
      </w:r>
      <w:r>
        <w:rPr>
          <w:rFonts w:ascii="Times New Roman" w:hAnsi="Times New Roman"/>
        </w:rPr>
        <w:t xml:space="preserve"> </w:t>
      </w:r>
      <w:r>
        <w:rPr>
          <w:rFonts w:ascii="Times New Roman" w:hAnsi="Times New Roman"/>
        </w:rPr>
        <w:t xml:space="preserve">: Les mécanismes 1 et 2 sont</w:t>
      </w:r>
      <w:r>
        <w:rPr>
          <w:rFonts w:ascii="Times New Roman" w:hAnsi="Times New Roman"/>
        </w:rPr>
        <w:t xml:space="preserve"> </w:t>
      </w:r>
      <w:r>
        <w:rPr>
          <w:rFonts w:ascii="Times New Roman" w:hAnsi="Times New Roman"/>
          <w:b/>
          <w:bCs/>
        </w:rPr>
        <w:t xml:space="preserve">antagonistes</w:t>
      </w:r>
      <w:r>
        <w:rPr>
          <w:rFonts w:ascii="Times New Roman" w:hAnsi="Times New Roman"/>
        </w:rPr>
        <w:t xml:space="preserve"> </w:t>
      </w:r>
      <w:r>
        <w:rPr>
          <w:rFonts w:ascii="Times New Roman" w:hAnsi="Times New Roman"/>
        </w:rPr>
        <w:t xml:space="preserve">: l’HCl attaque, l’H₃PO₄ protège partiellement. L’équilibre entre ces deux processus évolue dans le temps car l’HCl, acide fort à faible point d’ébullition, s’épuise plus vite que l’H₃PO₄ (par consommation chimique et par dégazage). La cinétique résultante est donc</w:t>
      </w:r>
      <w:r>
        <w:rPr>
          <w:rFonts w:ascii="Times New Roman" w:hAnsi="Times New Roman"/>
        </w:rPr>
        <w:t xml:space="preserve"> </w:t>
      </w:r>
      <w:r>
        <w:rPr>
          <w:rFonts w:ascii="Times New Roman" w:hAnsi="Times New Roman"/>
          <w:b/>
          <w:bCs/>
        </w:rPr>
        <w:t xml:space="preserve">non-monotone</w:t>
      </w:r>
      <w:r>
        <w:rPr>
          <w:rFonts w:ascii="Times New Roman" w:hAnsi="Times New Roman"/>
        </w:rPr>
        <w:t xml:space="preserve"> </w:t>
      </w:r>
      <w:r>
        <w:rPr>
          <w:rFonts w:ascii="Times New Roman" w:hAnsi="Times New Roman"/>
        </w:rPr>
        <w:t xml:space="preserve">: forte au début (HCl dominant), ralentissant progressivement (H₃PO₄ dominant après épuisement de l’HCl). Le suivi du pH en continu capture cette transition.</w:t>
      </w:r>
    </w:p>
    <w:bookmarkEnd w:id="68"/>
    <w:bookmarkStart w:id="69" w:name="X7cf78ab2bff1a40fd9c938da431c6bd053fb002"/>
    <w:p>
      <w:pPr>
        <w:pStyle w:val="Heading3"/>
      </w:pPr>
      <w:r>
        <w:rPr>
          <w:rFonts w:ascii="Times New Roman" w:hAnsi="Times New Roman"/>
        </w:rPr>
        <w:t xml:space="preserve">3.3.3 Justification du choix pour le machine learning</w:t>
      </w:r>
    </w:p>
    <w:p>
      <w:pPr>
        <w:pStyle w:val="FirstParagraph"/>
      </w:pPr>
      <w:r>
        <w:rPr>
          <w:rFonts w:ascii="Times New Roman" w:hAnsi="Times New Roman"/>
        </w:rPr>
        <w:t xml:space="preserve">Le choix d’un milieu corrosif multi-acide n’est pas un compromis — c’est un</w:t>
      </w:r>
      <w:r>
        <w:rPr>
          <w:rFonts w:ascii="Times New Roman" w:hAnsi="Times New Roman"/>
        </w:rPr>
        <w:t xml:space="preserve"> </w:t>
      </w:r>
      <w:r>
        <w:rPr>
          <w:rFonts w:ascii="Times New Roman" w:hAnsi="Times New Roman"/>
          <w:b/>
          <w:bCs/>
        </w:rPr>
        <w:t xml:space="preserve">avantage méthodologique</w:t>
      </w:r>
      <w:r>
        <w:rPr>
          <w:rFonts w:ascii="Times New Roman" w:hAnsi="Times New Roman"/>
        </w:rPr>
        <w:t xml:space="preserve"> </w:t>
      </w:r>
      <w:r>
        <w:rPr>
          <w:rFonts w:ascii="Times New Roman" w:hAnsi="Times New Roman"/>
        </w:rPr>
        <w:t xml:space="preserve">pour la démonstration de l’approche par apprentissage automatique :</w:t>
      </w:r>
    </w:p>
    <w:p>
      <w:pPr>
        <w:numPr>
          <w:ilvl w:val="0"/>
          <w:numId w:val="1007"/>
        </w:numPr>
      </w:pPr>
      <w:r>
        <w:rPr>
          <w:rFonts w:ascii="Times New Roman" w:hAnsi="Times New Roman"/>
          <w:b/>
          <w:bCs/>
        </w:rPr>
        <w:t xml:space="preserve">Un milieu mono-acide simple</w:t>
      </w:r>
      <w:r>
        <w:rPr>
          <w:rFonts w:ascii="Times New Roman" w:hAnsi="Times New Roman"/>
        </w:rPr>
        <w:t xml:space="preserve"> </w:t>
      </w:r>
      <w:r>
        <w:rPr>
          <w:rFonts w:ascii="Times New Roman" w:hAnsi="Times New Roman"/>
        </w:rPr>
        <w:t xml:space="preserve">(vinaigre, HCl pur, NaCl) produit une cinétique de corrosion</w:t>
      </w:r>
      <w:r>
        <w:rPr>
          <w:rFonts w:ascii="Times New Roman" w:hAnsi="Times New Roman"/>
        </w:rPr>
        <w:t xml:space="preserve"> </w:t>
      </w:r>
      <w:r>
        <w:rPr>
          <w:rFonts w:ascii="Times New Roman" w:hAnsi="Times New Roman"/>
          <w:b/>
          <w:bCs/>
        </w:rPr>
        <w:t xml:space="preserve">monotone et prédictible</w:t>
      </w:r>
      <w:r>
        <w:rPr>
          <w:rFonts w:ascii="Times New Roman" w:hAnsi="Times New Roman"/>
        </w:rPr>
        <w:t xml:space="preserve"> </w:t>
      </w:r>
      <w:r>
        <w:rPr>
          <w:rFonts w:ascii="Times New Roman" w:hAnsi="Times New Roman"/>
        </w:rPr>
        <w:t xml:space="preserve">par les modèles physiques classiques (loi d’Arrhenius, modèle de de Waard et Milliams). Un tel milieu démontre bien le fonctionnement du capteur, mais l’intérêt du ML y est limité : un modèle physique suffit.</w:t>
      </w:r>
    </w:p>
    <w:p>
      <w:pPr>
        <w:numPr>
          <w:ilvl w:val="0"/>
          <w:numId w:val="1007"/>
        </w:numPr>
      </w:pPr>
      <w:r>
        <w:rPr>
          <w:rFonts w:ascii="Times New Roman" w:hAnsi="Times New Roman"/>
          <w:b/>
          <w:bCs/>
        </w:rPr>
        <w:t xml:space="preserve">Le Detar Plus</w:t>
      </w:r>
      <w:r>
        <w:rPr>
          <w:rFonts w:ascii="Times New Roman" w:hAnsi="Times New Roman"/>
        </w:rPr>
        <w:t xml:space="preserve"> </w:t>
      </w:r>
      <w:r>
        <w:rPr>
          <w:rFonts w:ascii="Times New Roman" w:hAnsi="Times New Roman"/>
        </w:rPr>
        <w:t xml:space="preserve">produit une cinétique</w:t>
      </w:r>
      <w:r>
        <w:rPr>
          <w:rFonts w:ascii="Times New Roman" w:hAnsi="Times New Roman"/>
        </w:rPr>
        <w:t xml:space="preserve"> </w:t>
      </w:r>
      <w:r>
        <w:rPr>
          <w:rFonts w:ascii="Times New Roman" w:hAnsi="Times New Roman"/>
          <w:b/>
          <w:bCs/>
        </w:rPr>
        <w:t xml:space="preserve">non-linéaire et non-monotone</w:t>
      </w:r>
      <w:r>
        <w:rPr>
          <w:rFonts w:ascii="Times New Roman" w:hAnsi="Times New Roman"/>
        </w:rPr>
        <w:t xml:space="preserve"> </w:t>
      </w:r>
      <w:r>
        <w:rPr>
          <w:rFonts w:ascii="Times New Roman" w:hAnsi="Times New Roman"/>
        </w:rPr>
        <w:t xml:space="preserve">résultant de l’interaction entre l’attaque acide (HCl), la passivation partielle (H₃PO₄), et l’épuisement différentiel des acides. Aucun modèle physique analytique ne peut prédire cette évolution sans calibration spécifique au produit. C’est précisément ce type de complexité — données mesurables mais mécanismes intriqués — que XGBoost est conçu pour capturer.</w:t>
      </w:r>
    </w:p>
    <w:p>
      <w:pPr>
        <w:numPr>
          <w:ilvl w:val="0"/>
          <w:numId w:val="1007"/>
        </w:numPr>
      </w:pPr>
      <w:r>
        <w:rPr>
          <w:rFonts w:ascii="Times New Roman" w:hAnsi="Times New Roman"/>
          <w:b/>
          <w:bCs/>
        </w:rPr>
        <w:t xml:space="preserve">Pertinence industrielle</w:t>
      </w:r>
      <w:r>
        <w:rPr>
          <w:rFonts w:ascii="Times New Roman" w:hAnsi="Times New Roman"/>
        </w:rPr>
        <w:t xml:space="preserve"> </w:t>
      </w:r>
      <w:r>
        <w:rPr>
          <w:rFonts w:ascii="Times New Roman" w:hAnsi="Times New Roman"/>
        </w:rPr>
        <w:t xml:space="preserve">: Les détartrants acides sont largement utilisés en maintenance industrielle (nettoyage de circuits de refroidissement, décapage de soudures, détartrage de tuyauteries). La corrosion accidentelle ou résiduelle post-nettoyage par ces produits est un problème réel en industrie, documenté dans la littérature (Finšgar et Jackson, 2014). Le prototype adresse donc un cas d’usage concret et non un milieu artificiel purement académique.</w:t>
      </w:r>
    </w:p>
    <w:bookmarkEnd w:id="69"/>
    <w:bookmarkStart w:id="70" w:name="Xdee95cebddc4187edb3b46e194823aea41e6fb9"/>
    <w:p>
      <w:pPr>
        <w:pStyle w:val="Heading3"/>
      </w:pPr>
      <w:r>
        <w:rPr>
          <w:rFonts w:ascii="Times New Roman" w:hAnsi="Times New Roman"/>
        </w:rPr>
        <w:t xml:space="preserve">3.3.4 Caractérisation expérimentale de la solution de travail</w:t>
      </w:r>
    </w:p>
    <w:p>
      <w:pPr>
        <w:pStyle w:val="FirstParagraph"/>
      </w:pPr>
      <w:r>
        <w:rPr>
          <w:rFonts w:ascii="Times New Roman" w:hAnsi="Times New Roman"/>
        </w:rPr>
        <w:t xml:space="preserve">Avant chaque run expérimental, la solution est caractérisée par les mesures suivantes :</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b/>
                <w:sz w:val="20"/>
              </w:rPr>
              <w:t xml:space="preserve">Paramètre</w:t>
            </w:r>
          </w:p>
        </w:tc>
        <w:tc>
          <w:tcPr/>
          <w:p>
            <w:pPr>
              <w:pStyle w:val="Compact"/>
              <w:jc w:val="left"/>
            </w:pPr>
            <w:r>
              <w:rPr>
                <w:rFonts w:ascii="Times New Roman" w:hAnsi="Times New Roman"/>
                <w:b/>
                <w:sz w:val="20"/>
              </w:rPr>
              <w:t xml:space="preserve">Méthode de mesure</w:t>
            </w:r>
          </w:p>
        </w:tc>
        <w:tc>
          <w:tcPr/>
          <w:p>
            <w:pPr>
              <w:pStyle w:val="Compact"/>
              <w:jc w:val="left"/>
            </w:pPr>
            <w:r>
              <w:rPr>
                <w:rFonts w:ascii="Times New Roman" w:hAnsi="Times New Roman"/>
                <w:b/>
                <w:sz w:val="20"/>
              </w:rPr>
              <w:t xml:space="preserve">Valeur attendue</w:t>
            </w:r>
          </w:p>
        </w:tc>
      </w:tr>
      <w:tr>
        <w:tc>
          <w:tcPr/>
          <w:p>
            <w:pPr>
              <w:pStyle w:val="Compact"/>
              <w:jc w:val="left"/>
            </w:pPr>
            <w:r>
              <w:rPr>
                <w:rFonts w:ascii="Times New Roman" w:hAnsi="Times New Roman"/>
                <w:sz w:val="20"/>
              </w:rPr>
              <w:t xml:space="preserve">pH initial</w:t>
            </w:r>
          </w:p>
        </w:tc>
        <w:tc>
          <w:tcPr/>
          <w:p>
            <w:pPr>
              <w:pStyle w:val="Compact"/>
              <w:jc w:val="left"/>
            </w:pPr>
            <w:r>
              <w:rPr>
                <w:rFonts w:ascii="Times New Roman" w:hAnsi="Times New Roman"/>
                <w:sz w:val="20"/>
              </w:rPr>
              <w:t xml:space="preserve">Sonde pH calibrée (tampons pH 4,01 et pH 1,68)</w:t>
            </w:r>
          </w:p>
        </w:tc>
        <w:tc>
          <w:tcPr/>
          <w:p>
            <w:pPr>
              <w:pStyle w:val="Compact"/>
              <w:jc w:val="left"/>
            </w:pPr>
            <w:r>
              <w:rPr>
                <w:rFonts w:ascii="Times New Roman" w:hAnsi="Times New Roman"/>
                <w:sz w:val="20"/>
              </w:rPr>
              <w:t xml:space="preserve">0,5–1,5</w:t>
            </w:r>
          </w:p>
        </w:tc>
      </w:tr>
      <w:tr>
        <w:tc>
          <w:tcPr/>
          <w:p>
            <w:pPr>
              <w:pStyle w:val="Compact"/>
              <w:jc w:val="left"/>
            </w:pPr>
            <w:r>
              <w:rPr>
                <w:rFonts w:ascii="Times New Roman" w:hAnsi="Times New Roman"/>
                <w:sz w:val="20"/>
              </w:rPr>
              <w:t xml:space="preserve">Densité</w:t>
            </w:r>
          </w:p>
        </w:tc>
        <w:tc>
          <w:tcPr/>
          <w:p>
            <w:pPr>
              <w:pStyle w:val="Compact"/>
              <w:jc w:val="left"/>
            </w:pPr>
            <w:r>
              <w:rPr>
                <w:rFonts w:ascii="Times New Roman" w:hAnsi="Times New Roman"/>
                <w:sz w:val="20"/>
              </w:rPr>
              <w:t xml:space="preserve">Pesée de 100 mL sur balance (±0,01 g)</w:t>
            </w:r>
          </w:p>
        </w:tc>
        <w:tc>
          <w:tcPr/>
          <w:p>
            <w:pPr>
              <w:pStyle w:val="Compact"/>
              <w:jc w:val="left"/>
            </w:pPr>
            <w:r>
              <w:rPr>
                <w:rFonts w:ascii="Times New Roman" w:hAnsi="Times New Roman"/>
                <w:sz w:val="20"/>
              </w:rPr>
              <w:t xml:space="preserve">1,10–1,15 g/cm³</w:t>
            </w:r>
          </w:p>
        </w:tc>
      </w:tr>
      <w:tr>
        <w:tc>
          <w:tcPr/>
          <w:p>
            <w:pPr>
              <w:pStyle w:val="Compact"/>
              <w:jc w:val="left"/>
            </w:pPr>
            <w:r>
              <w:rPr>
                <w:rFonts w:ascii="Times New Roman" w:hAnsi="Times New Roman"/>
                <w:sz w:val="20"/>
              </w:rPr>
              <w:t xml:space="preserve">Température initiale</w:t>
            </w:r>
          </w:p>
        </w:tc>
        <w:tc>
          <w:tcPr/>
          <w:p>
            <w:pPr>
              <w:pStyle w:val="Compact"/>
              <w:jc w:val="left"/>
            </w:pPr>
            <w:r>
              <w:rPr>
                <w:rFonts w:ascii="Times New Roman" w:hAnsi="Times New Roman"/>
                <w:sz w:val="20"/>
              </w:rPr>
              <w:t xml:space="preserve">DS18B20</w:t>
            </w:r>
          </w:p>
        </w:tc>
        <w:tc>
          <w:tcPr/>
          <w:p>
            <w:pPr>
              <w:pStyle w:val="Compact"/>
              <w:jc w:val="left"/>
            </w:pPr>
            <w:r>
              <w:rPr>
                <w:rFonts w:ascii="Times New Roman" w:hAnsi="Times New Roman"/>
                <w:sz w:val="20"/>
              </w:rPr>
              <w:t xml:space="preserve">Ambiante (25–30°C)</w:t>
            </w:r>
          </w:p>
        </w:tc>
      </w:tr>
      <w:tr>
        <w:tc>
          <w:tcPr/>
          <w:p>
            <w:pPr>
              <w:pStyle w:val="Compact"/>
              <w:jc w:val="left"/>
            </w:pPr>
            <w:r>
              <w:rPr>
                <w:rFonts w:ascii="Times New Roman" w:hAnsi="Times New Roman"/>
                <w:sz w:val="20"/>
              </w:rPr>
              <w:t xml:space="preserve">Volume</w:t>
            </w:r>
          </w:p>
        </w:tc>
        <w:tc>
          <w:tcPr/>
          <w:p>
            <w:pPr>
              <w:pStyle w:val="Compact"/>
              <w:jc w:val="left"/>
            </w:pPr>
            <w:r>
              <w:rPr>
                <w:rFonts w:ascii="Times New Roman" w:hAnsi="Times New Roman"/>
                <w:sz w:val="20"/>
              </w:rPr>
              <w:t xml:space="preserve">Éprouvette graduée</w:t>
            </w:r>
          </w:p>
        </w:tc>
        <w:tc>
          <w:tcPr/>
          <w:p>
            <w:pPr>
              <w:pStyle w:val="Compact"/>
              <w:jc w:val="left"/>
            </w:pPr>
            <w:r>
              <w:rPr>
                <w:rFonts w:ascii="Times New Roman" w:hAnsi="Times New Roman"/>
                <w:sz w:val="20"/>
              </w:rPr>
              <w:t xml:space="preserve">500 mL (identique tous les runs)</w:t>
            </w:r>
          </w:p>
        </w:tc>
      </w:tr>
      <w:tr>
        <w:tc>
          <w:tcPr/>
          <w:p>
            <w:pPr>
              <w:pStyle w:val="Compact"/>
              <w:jc w:val="left"/>
            </w:pPr>
            <w:r>
              <w:rPr>
                <w:rFonts w:ascii="Times New Roman" w:hAnsi="Times New Roman"/>
                <w:sz w:val="20"/>
              </w:rPr>
              <w:t xml:space="preserve">Référence produit</w:t>
            </w:r>
          </w:p>
        </w:tc>
        <w:tc>
          <w:tcPr/>
          <w:p>
            <w:pPr>
              <w:pStyle w:val="Compact"/>
              <w:jc w:val="left"/>
            </w:pPr>
            <w:r>
              <w:rPr>
                <w:rFonts w:ascii="Times New Roman" w:hAnsi="Times New Roman"/>
                <w:sz w:val="20"/>
              </w:rPr>
              <w:t xml:space="preserve">Numéro de lot Detar Plus (FDS)</w:t>
            </w:r>
          </w:p>
        </w:tc>
        <w:tc>
          <w:tcPr/>
          <w:p>
            <w:pPr>
              <w:pStyle w:val="Compact"/>
              <w:jc w:val="left"/>
            </w:pPr>
            <w:r>
              <w:rPr>
                <w:rFonts w:ascii="Times New Roman" w:hAnsi="Times New Roman"/>
                <w:sz w:val="20"/>
              </w:rPr>
              <w:t xml:space="preserve">Noté sur le carnet d’expérience</w:t>
            </w:r>
          </w:p>
        </w:tc>
      </w:tr>
    </w:tbl>
    <w:bookmarkEnd w:id="70"/>
    <w:bookmarkEnd w:id="71"/>
    <w:bookmarkStart w:id="77" w:name="protocole-expérimental-4-runs-to-failure"/>
    <w:p>
      <w:pPr>
        <w:pStyle w:val="Heading2"/>
      </w:pPr>
      <w:r>
        <w:rPr>
          <w:rFonts w:ascii="Times New Roman" w:hAnsi="Times New Roman"/>
        </w:rPr>
        <w:t xml:space="preserve">3.4 Protocole expérimental — 4 runs-to-failure</w:t>
      </w:r>
    </w:p>
    <w:bookmarkStart w:id="72" w:name="X11e7e1be029d2e822adaa67ba8419fe74191017"/>
    <w:p>
      <w:pPr>
        <w:pStyle w:val="Heading3"/>
      </w:pPr>
      <w:r>
        <w:rPr>
          <w:rFonts w:ascii="Times New Roman" w:hAnsi="Times New Roman"/>
        </w:rPr>
        <w:t xml:space="preserve">3.4.1 Philosophie du protocole : run-to-failure instrumenté</w:t>
      </w:r>
    </w:p>
    <w:p>
      <w:pPr>
        <w:pStyle w:val="FirstParagraph"/>
      </w:pPr>
      <w:r>
        <w:rPr>
          <w:rFonts w:ascii="Times New Roman" w:hAnsi="Times New Roman"/>
        </w:rPr>
        <w:t xml:space="preserve">Le protocole adopte une approche de type</w:t>
      </w:r>
      <w:r>
        <w:rPr>
          <w:rFonts w:ascii="Times New Roman" w:hAnsi="Times New Roman"/>
        </w:rPr>
        <w:t xml:space="preserve"> </w:t>
      </w:r>
      <w:r>
        <w:rPr>
          <w:rFonts w:ascii="Times New Roman" w:hAnsi="Times New Roman"/>
          <w:b/>
          <w:bCs/>
        </w:rPr>
        <w:t xml:space="preserve">run-to-failure</w:t>
      </w:r>
      <w:r>
        <w:rPr>
          <w:rFonts w:ascii="Times New Roman" w:hAnsi="Times New Roman"/>
        </w:rPr>
        <w:t xml:space="preserve"> </w:t>
      </w:r>
      <w:r>
        <w:rPr>
          <w:rFonts w:ascii="Times New Roman" w:hAnsi="Times New Roman"/>
        </w:rPr>
        <w:t xml:space="preserve">(RTF) : chaque run consiste à immerger un fil de fer neuf dans le Detar Plus et à mesurer en continu sa dégradation jusqu’à la rupture physique (R → ∞, circuit ouvert détecté par l’HX711). Ce paradigme, issu de la maintenance prédictive industrielle (norme ISO 13381-1), produit des courbes de dégradation complètes qui constituent le jeu de données idéal pour l’entraînement de modèles de pronostic : chaque run fournit un historique complet de l’état de santé du composant depuis l’état neuf jusqu’à la défaillance.</w:t>
      </w:r>
    </w:p>
    <w:p>
      <w:pPr>
        <w:pStyle w:val="BodyText"/>
      </w:pPr>
      <w:r>
        <w:rPr>
          <w:rFonts w:ascii="Times New Roman" w:hAnsi="Times New Roman"/>
        </w:rPr>
        <w:t xml:space="preserve">Quatre runs sont réalisés dans des conditions différentes, permettant au modèle XGBoost d’apprendre la relation entre les variables environnementales (température, pH, présence d’inhibiteur) et la cinétique de dégradation. Un</w:t>
      </w:r>
      <w:r>
        <w:rPr>
          <w:rFonts w:ascii="Times New Roman" w:hAnsi="Times New Roman"/>
        </w:rPr>
        <w:t xml:space="preserve"> </w:t>
      </w:r>
      <w:r>
        <w:rPr>
          <w:rFonts w:ascii="Times New Roman" w:hAnsi="Times New Roman"/>
          <w:b/>
          <w:bCs/>
        </w:rPr>
        <w:t xml:space="preserve">fil neuf</w:t>
      </w:r>
      <w:r>
        <w:rPr>
          <w:rFonts w:ascii="Times New Roman" w:hAnsi="Times New Roman"/>
        </w:rPr>
        <w:t xml:space="preserve"> </w:t>
      </w:r>
      <w:r>
        <w:rPr>
          <w:rFonts w:ascii="Times New Roman" w:hAnsi="Times New Roman"/>
        </w:rPr>
        <w:t xml:space="preserve">est utilisé pour chaque run.</w:t>
      </w:r>
    </w:p>
    <w:bookmarkEnd w:id="72"/>
    <w:bookmarkStart w:id="73" w:name="phase-de-calibration-préalable-j0-jour-0"/>
    <w:p>
      <w:pPr>
        <w:pStyle w:val="Heading3"/>
      </w:pPr>
      <w:r>
        <w:rPr>
          <w:rFonts w:ascii="Times New Roman" w:hAnsi="Times New Roman"/>
        </w:rPr>
        <w:t xml:space="preserve">3.4.2 Phase de calibration préalable (J0 — Jour 0)</w:t>
      </w:r>
    </w:p>
    <w:p>
      <w:pPr>
        <w:pStyle w:val="FirstParagraph"/>
      </w:pPr>
      <w:r>
        <w:rPr>
          <w:rFonts w:ascii="Times New Roman" w:hAnsi="Times New Roman"/>
        </w:rPr>
        <w:t xml:space="preserve">Avant les runs instrumentés, un test rapide de calibration est réalisé avec un court échantillon de fil (10 cm, immergé manuellement) pour estimer la vitesse de corrosion brute dans le Detar Plus concentré et valider le dimensionnement (diamètre de fil, fréquence de mesure). Ce test dure quelques heures et permet d’ajuster, si nécessaire, la fréquence d’échantillonnage.</w:t>
      </w:r>
    </w:p>
    <w:bookmarkEnd w:id="73"/>
    <w:bookmarkStart w:id="74" w:name="les-4-runs-expérimentaux"/>
    <w:p>
      <w:pPr>
        <w:pStyle w:val="Heading3"/>
      </w:pPr>
      <w:r>
        <w:rPr>
          <w:rFonts w:ascii="Times New Roman" w:hAnsi="Times New Roman"/>
        </w:rPr>
        <w:t xml:space="preserve">3.4.3 Les 4 runs expérimentaux</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ascii="Times New Roman" w:hAnsi="Times New Roman"/>
                <w:b/>
                <w:sz w:val="20"/>
              </w:rPr>
              <w:t xml:space="preserve">Run</w:t>
            </w:r>
          </w:p>
        </w:tc>
        <w:tc>
          <w:tcPr/>
          <w:p>
            <w:pPr>
              <w:pStyle w:val="Compact"/>
              <w:jc w:val="left"/>
            </w:pPr>
            <w:r>
              <w:rPr>
                <w:rFonts w:ascii="Times New Roman" w:hAnsi="Times New Roman"/>
                <w:b/>
                <w:sz w:val="20"/>
              </w:rPr>
              <w:t xml:space="preserve">Conditions</w:t>
            </w:r>
          </w:p>
        </w:tc>
        <w:tc>
          <w:tcPr/>
          <w:p>
            <w:pPr>
              <w:pStyle w:val="Compact"/>
              <w:jc w:val="left"/>
            </w:pPr>
            <w:r>
              <w:rPr>
                <w:rFonts w:ascii="Times New Roman" w:hAnsi="Times New Roman"/>
                <w:b/>
                <w:sz w:val="20"/>
              </w:rPr>
              <w:t xml:space="preserve">Variables modifiées</w:t>
            </w:r>
          </w:p>
        </w:tc>
        <w:tc>
          <w:tcPr/>
          <w:p>
            <w:pPr>
              <w:pStyle w:val="Compact"/>
              <w:jc w:val="left"/>
            </w:pPr>
            <w:r>
              <w:rPr>
                <w:rFonts w:ascii="Times New Roman" w:hAnsi="Times New Roman"/>
                <w:b/>
                <w:sz w:val="20"/>
              </w:rPr>
              <w:t xml:space="preserve">Durée estimée</w:t>
            </w:r>
          </w:p>
        </w:tc>
        <w:tc>
          <w:tcPr/>
          <w:p>
            <w:pPr>
              <w:pStyle w:val="Compact"/>
              <w:jc w:val="left"/>
            </w:pPr>
            <w:r>
              <w:rPr>
                <w:rFonts w:ascii="Times New Roman" w:hAnsi="Times New Roman"/>
                <w:b/>
                <w:sz w:val="20"/>
              </w:rPr>
              <w:t xml:space="preserve">Objectif</w:t>
            </w:r>
          </w:p>
        </w:tc>
      </w:tr>
      <w:tr>
        <w:tc>
          <w:tcPr/>
          <w:p>
            <w:pPr>
              <w:pStyle w:val="Compact"/>
              <w:jc w:val="left"/>
            </w:pPr>
            <w:r>
              <w:rPr>
                <w:rFonts w:ascii="Times New Roman" w:hAnsi="Times New Roman"/>
                <w:b/>
                <w:bCs/>
                <w:sz w:val="20"/>
              </w:rPr>
              <w:t xml:space="preserve">Run 1</w:t>
            </w:r>
            <w:r>
              <w:rPr>
                <w:rFonts w:ascii="Times New Roman" w:hAnsi="Times New Roman"/>
                <w:sz w:val="20"/>
              </w:rPr>
              <w:t xml:space="preserve"> </w:t>
            </w:r>
            <w:r>
              <w:rPr>
                <w:rFonts w:ascii="Times New Roman" w:hAnsi="Times New Roman"/>
                <w:sz w:val="20"/>
              </w:rPr>
              <w:t xml:space="preserve">— Baseline</w:t>
            </w:r>
          </w:p>
        </w:tc>
        <w:tc>
          <w:tcPr/>
          <w:p>
            <w:pPr>
              <w:pStyle w:val="Compact"/>
              <w:jc w:val="left"/>
            </w:pPr>
            <w:r>
              <w:rPr>
                <w:rFonts w:ascii="Times New Roman" w:hAnsi="Times New Roman"/>
                <w:sz w:val="20"/>
              </w:rPr>
              <w:t xml:space="preserve">Detar Plus concentré, T ambiante (~28°C), sans inhibiteur</w:t>
            </w:r>
          </w:p>
        </w:tc>
        <w:tc>
          <w:tcPr/>
          <w:p>
            <w:pPr>
              <w:pStyle w:val="Compact"/>
              <w:jc w:val="left"/>
            </w:pPr>
            <w:r>
              <w:rPr>
                <w:rFonts w:ascii="Times New Roman" w:hAnsi="Times New Roman"/>
                <w:sz w:val="20"/>
              </w:rPr>
              <w:t xml:space="preserve">Référence</w:t>
            </w:r>
          </w:p>
        </w:tc>
        <w:tc>
          <w:tcPr/>
          <w:p>
            <w:pPr>
              <w:pStyle w:val="Compact"/>
              <w:jc w:val="left"/>
            </w:pPr>
            <w:r>
              <w:rPr>
                <w:rFonts w:ascii="Times New Roman" w:hAnsi="Times New Roman"/>
                <w:sz w:val="20"/>
              </w:rPr>
              <w:t xml:space="preserve">24–48 h</w:t>
            </w:r>
          </w:p>
        </w:tc>
        <w:tc>
          <w:tcPr/>
          <w:p>
            <w:pPr>
              <w:pStyle w:val="Compact"/>
              <w:jc w:val="left"/>
            </w:pPr>
            <w:r>
              <w:rPr>
                <w:rFonts w:ascii="Times New Roman" w:hAnsi="Times New Roman"/>
                <w:sz w:val="20"/>
              </w:rPr>
              <w:t xml:space="preserve">Cinétique de corrosion de référence, non protégée</w:t>
            </w:r>
          </w:p>
        </w:tc>
      </w:tr>
      <w:tr>
        <w:tc>
          <w:tcPr/>
          <w:p>
            <w:pPr>
              <w:pStyle w:val="Compact"/>
              <w:jc w:val="left"/>
            </w:pPr>
            <w:r>
              <w:rPr>
                <w:rFonts w:ascii="Times New Roman" w:hAnsi="Times New Roman"/>
                <w:b/>
                <w:bCs/>
                <w:sz w:val="20"/>
              </w:rPr>
              <w:t xml:space="preserve">Run 2</w:t>
            </w:r>
            <w:r>
              <w:rPr>
                <w:rFonts w:ascii="Times New Roman" w:hAnsi="Times New Roman"/>
                <w:sz w:val="20"/>
              </w:rPr>
              <w:t xml:space="preserve"> </w:t>
            </w:r>
            <w:r>
              <w:rPr>
                <w:rFonts w:ascii="Times New Roman" w:hAnsi="Times New Roman"/>
                <w:sz w:val="20"/>
              </w:rPr>
              <w:t xml:space="preserve">— Effet thermique</w:t>
            </w:r>
          </w:p>
        </w:tc>
        <w:tc>
          <w:tcPr/>
          <w:p>
            <w:pPr>
              <w:pStyle w:val="Compact"/>
              <w:jc w:val="left"/>
            </w:pPr>
            <w:r>
              <w:rPr>
                <w:rFonts w:ascii="Times New Roman" w:hAnsi="Times New Roman"/>
                <w:sz w:val="20"/>
              </w:rPr>
              <w:t xml:space="preserve">Detar Plus concentré, T = 45°C (résistance chauffante d’aquarium), sans inhibiteur</w:t>
            </w:r>
          </w:p>
        </w:tc>
        <w:tc>
          <w:tcPr/>
          <w:p>
            <w:pPr>
              <w:pStyle w:val="Compact"/>
              <w:jc w:val="left"/>
            </w:pPr>
            <w:r>
              <w:rPr>
                <w:rFonts w:ascii="Times New Roman" w:hAnsi="Times New Roman"/>
                <w:sz w:val="20"/>
              </w:rPr>
              <w:t xml:space="preserve">Température</w:t>
            </w:r>
          </w:p>
        </w:tc>
        <w:tc>
          <w:tcPr/>
          <w:p>
            <w:pPr>
              <w:pStyle w:val="Compact"/>
              <w:jc w:val="left"/>
            </w:pPr>
            <w:r>
              <w:rPr>
                <w:rFonts w:ascii="Times New Roman" w:hAnsi="Times New Roman"/>
                <w:sz w:val="20"/>
              </w:rPr>
              <w:t xml:space="preserve">12–24 h</w:t>
            </w:r>
          </w:p>
        </w:tc>
        <w:tc>
          <w:tcPr/>
          <w:p>
            <w:pPr>
              <w:pStyle w:val="Compact"/>
              <w:jc w:val="left"/>
            </w:pPr>
            <w:r>
              <w:rPr>
                <w:rFonts w:ascii="Times New Roman" w:hAnsi="Times New Roman"/>
                <w:sz w:val="20"/>
              </w:rPr>
              <w:t xml:space="preserve">Quantifier l’accélération par effet Arrhenius</w:t>
            </w:r>
          </w:p>
        </w:tc>
      </w:tr>
      <w:tr>
        <w:tc>
          <w:tcPr/>
          <w:p>
            <w:pPr>
              <w:pStyle w:val="Compact"/>
              <w:jc w:val="left"/>
            </w:pPr>
            <w:r>
              <w:rPr>
                <w:rFonts w:ascii="Times New Roman" w:hAnsi="Times New Roman"/>
                <w:b/>
                <w:bCs/>
                <w:sz w:val="20"/>
              </w:rPr>
              <w:t xml:space="preserve">Run 3</w:t>
            </w:r>
            <w:r>
              <w:rPr>
                <w:rFonts w:ascii="Times New Roman" w:hAnsi="Times New Roman"/>
                <w:sz w:val="20"/>
              </w:rPr>
              <w:t xml:space="preserve"> </w:t>
            </w:r>
            <w:r>
              <w:rPr>
                <w:rFonts w:ascii="Times New Roman" w:hAnsi="Times New Roman"/>
                <w:sz w:val="20"/>
              </w:rPr>
              <w:t xml:space="preserve">— Effet inhibiteur</w:t>
            </w:r>
          </w:p>
        </w:tc>
        <w:tc>
          <w:tcPr/>
          <w:p>
            <w:pPr>
              <w:pStyle w:val="Compact"/>
              <w:jc w:val="left"/>
            </w:pPr>
            <w:r>
              <w:rPr>
                <w:rFonts w:ascii="Times New Roman" w:hAnsi="Times New Roman"/>
                <w:sz w:val="20"/>
              </w:rPr>
              <w:t xml:space="preserve">Detar Plus concentré, T ambiante,</w:t>
            </w:r>
            <w:r>
              <w:rPr>
                <w:rFonts w:ascii="Times New Roman" w:hAnsi="Times New Roman"/>
                <w:sz w:val="20"/>
              </w:rPr>
              <w:t xml:space="preserve"> </w:t>
            </w:r>
            <w:r>
              <w:rPr>
                <w:rFonts w:ascii="Times New Roman" w:hAnsi="Times New Roman"/>
                <w:b/>
                <w:bCs/>
                <w:sz w:val="20"/>
              </w:rPr>
              <w:t xml:space="preserve">AC PROTECT 106 (imidazoline) 2 g/L</w:t>
            </w:r>
          </w:p>
        </w:tc>
        <w:tc>
          <w:tcPr/>
          <w:p>
            <w:pPr>
              <w:pStyle w:val="Compact"/>
              <w:jc w:val="left"/>
            </w:pPr>
            <w:r>
              <w:rPr>
                <w:rFonts w:ascii="Times New Roman" w:hAnsi="Times New Roman"/>
                <w:sz w:val="20"/>
              </w:rPr>
              <w:t xml:space="preserve">Inhibiteur</w:t>
            </w:r>
          </w:p>
        </w:tc>
        <w:tc>
          <w:tcPr/>
          <w:p>
            <w:pPr>
              <w:pStyle w:val="Compact"/>
              <w:jc w:val="left"/>
            </w:pPr>
            <w:r>
              <w:rPr>
                <w:rFonts w:ascii="Times New Roman" w:hAnsi="Times New Roman"/>
                <w:sz w:val="20"/>
              </w:rPr>
              <w:t xml:space="preserve">48–72 h</w:t>
            </w:r>
          </w:p>
        </w:tc>
        <w:tc>
          <w:tcPr/>
          <w:p>
            <w:pPr>
              <w:pStyle w:val="Compact"/>
              <w:jc w:val="left"/>
            </w:pPr>
            <w:r>
              <w:rPr>
                <w:rFonts w:ascii="Times New Roman" w:hAnsi="Times New Roman"/>
                <w:sz w:val="20"/>
              </w:rPr>
              <w:t xml:space="preserve">Quantifier η de l’AC PROTECT 106 (imidazoline) en milieu Detar Plus</w:t>
            </w:r>
          </w:p>
        </w:tc>
      </w:tr>
      <w:tr>
        <w:tc>
          <w:tcPr/>
          <w:p>
            <w:pPr>
              <w:pStyle w:val="Compact"/>
              <w:jc w:val="left"/>
            </w:pPr>
            <w:r>
              <w:rPr>
                <w:rFonts w:ascii="Times New Roman" w:hAnsi="Times New Roman"/>
                <w:b/>
                <w:bCs/>
                <w:sz w:val="20"/>
              </w:rPr>
              <w:t xml:space="preserve">Run 4</w:t>
            </w:r>
            <w:r>
              <w:rPr>
                <w:rFonts w:ascii="Times New Roman" w:hAnsi="Times New Roman"/>
                <w:sz w:val="20"/>
              </w:rPr>
              <w:t xml:space="preserve"> </w:t>
            </w:r>
            <w:r>
              <w:rPr>
                <w:rFonts w:ascii="Times New Roman" w:hAnsi="Times New Roman"/>
                <w:sz w:val="20"/>
              </w:rPr>
              <w:t xml:space="preserve">— Combiné (test aveugle)</w:t>
            </w:r>
          </w:p>
        </w:tc>
        <w:tc>
          <w:tcPr/>
          <w:p>
            <w:pPr>
              <w:pStyle w:val="Compact"/>
              <w:jc w:val="left"/>
            </w:pPr>
            <w:r>
              <w:rPr>
                <w:rFonts w:ascii="Times New Roman" w:hAnsi="Times New Roman"/>
                <w:sz w:val="20"/>
              </w:rPr>
              <w:t xml:space="preserve">Detar Plus concentré, T = 45°C,</w:t>
            </w:r>
            <w:r>
              <w:rPr>
                <w:rFonts w:ascii="Times New Roman" w:hAnsi="Times New Roman"/>
                <w:sz w:val="20"/>
              </w:rPr>
              <w:t xml:space="preserve"> </w:t>
            </w:r>
            <w:r>
              <w:rPr>
                <w:rFonts w:ascii="Times New Roman" w:hAnsi="Times New Roman"/>
                <w:b/>
                <w:bCs/>
                <w:sz w:val="20"/>
              </w:rPr>
              <w:t xml:space="preserve">AC PROTECT 106 (imidazoline) 2 g/L</w:t>
            </w:r>
          </w:p>
        </w:tc>
        <w:tc>
          <w:tcPr/>
          <w:p>
            <w:pPr>
              <w:pStyle w:val="Compact"/>
              <w:jc w:val="left"/>
            </w:pPr>
            <w:r>
              <w:rPr>
                <w:rFonts w:ascii="Times New Roman" w:hAnsi="Times New Roman"/>
                <w:sz w:val="20"/>
              </w:rPr>
              <w:t xml:space="preserve">T + inhibiteur</w:t>
            </w:r>
          </w:p>
        </w:tc>
        <w:tc>
          <w:tcPr/>
          <w:p>
            <w:pPr>
              <w:pStyle w:val="Compact"/>
              <w:jc w:val="left"/>
            </w:pPr>
            <w:r>
              <w:rPr>
                <w:rFonts w:ascii="Times New Roman" w:hAnsi="Times New Roman"/>
                <w:sz w:val="20"/>
              </w:rPr>
              <w:t xml:space="preserve">24–48 h</w:t>
            </w:r>
          </w:p>
        </w:tc>
        <w:tc>
          <w:tcPr/>
          <w:p>
            <w:pPr>
              <w:pStyle w:val="Compact"/>
              <w:jc w:val="left"/>
            </w:pPr>
            <w:r>
              <w:rPr>
                <w:rFonts w:ascii="Times New Roman" w:hAnsi="Times New Roman"/>
                <w:sz w:val="20"/>
              </w:rPr>
              <w:t xml:space="preserve">Validation du modèle — XGBoost prédit le RUL et CR à partir des runs 1-3</w:t>
            </w:r>
          </w:p>
        </w:tc>
      </w:tr>
    </w:tbl>
    <w:p>
      <w:pPr>
        <w:pStyle w:val="BodyText"/>
      </w:pPr>
      <w:r>
        <w:rPr>
          <w:rFonts w:ascii="Times New Roman" w:hAnsi="Times New Roman"/>
          <w:b/>
          <w:bCs/>
        </w:rPr>
        <w:t xml:space="preserve">Durée totale estimée</w:t>
      </w:r>
      <w:r>
        <w:rPr>
          <w:rFonts w:ascii="Times New Roman" w:hAnsi="Times New Roman"/>
        </w:rPr>
        <w:t xml:space="preserve"> </w:t>
      </w:r>
      <w:r>
        <w:rPr>
          <w:rFonts w:ascii="Times New Roman" w:hAnsi="Times New Roman"/>
        </w:rPr>
        <w:t xml:space="preserve">: 7 à 10 jours, selon la cinétique réelle observée.</w:t>
      </w:r>
    </w:p>
    <w:p>
      <w:pPr>
        <w:pStyle w:val="BodyText"/>
      </w:pPr>
      <w:r>
        <w:rPr>
          <w:rFonts w:ascii="Times New Roman" w:hAnsi="Times New Roman"/>
          <w:b/>
          <w:bCs/>
        </w:rPr>
        <w:t xml:space="preserve">Justification du nombre de runs</w:t>
      </w:r>
      <w:r>
        <w:rPr>
          <w:rFonts w:ascii="Times New Roman" w:hAnsi="Times New Roman"/>
        </w:rPr>
        <w:t xml:space="preserve"> </w:t>
      </w:r>
      <w:r>
        <w:rPr>
          <w:rFonts w:ascii="Times New Roman" w:hAnsi="Times New Roman"/>
        </w:rPr>
        <w:t xml:space="preserve">: Quatre runs constituent le minimum pour un plan factoriel 2² complet (2 facteurs × 2 niveaux : température basse/haute × inhibiteur absent/présent). Ce plan permet d’estimer l’effet principal de chaque facteur et leur interaction, tout en conservant un run (Run 4) comme jeu de test indépendant pour la validation du modèle.</w:t>
      </w:r>
    </w:p>
    <w:bookmarkEnd w:id="74"/>
    <w:bookmarkStart w:id="75" w:name="mesures-et-fréquence-dacquisition"/>
    <w:p>
      <w:pPr>
        <w:pStyle w:val="Heading3"/>
      </w:pPr>
      <w:r>
        <w:rPr>
          <w:rFonts w:ascii="Times New Roman" w:hAnsi="Times New Roman"/>
        </w:rPr>
        <w:t xml:space="preserve">3.4.4 Mesures et fréquence d’acquisition</w:t>
      </w:r>
    </w:p>
    <w:p>
      <w:pPr>
        <w:pStyle w:val="FirstParagraph"/>
      </w:pPr>
      <w:r>
        <w:rPr>
          <w:rFonts w:ascii="Times New Roman" w:hAnsi="Times New Roman"/>
        </w:rPr>
        <w:t xml:space="preserve">Les mesures sont effectuées toutes les</w:t>
      </w:r>
      <w:r>
        <w:rPr>
          <w:rFonts w:ascii="Times New Roman" w:hAnsi="Times New Roman"/>
        </w:rPr>
        <w:t xml:space="preserve"> </w:t>
      </w:r>
      <w:r>
        <w:rPr>
          <w:rFonts w:ascii="Times New Roman" w:hAnsi="Times New Roman"/>
          <w:b/>
          <w:bCs/>
        </w:rPr>
        <w:t xml:space="preserve">10 minutes</w:t>
      </w:r>
      <w:r>
        <w:rPr>
          <w:rFonts w:ascii="Times New Roman" w:hAnsi="Times New Roman"/>
        </w:rPr>
        <w:t xml:space="preserve"> </w:t>
      </w:r>
      <w:r>
        <w:rPr>
          <w:rFonts w:ascii="Times New Roman" w:hAnsi="Times New Roman"/>
        </w:rPr>
        <w:t xml:space="preserve">(6 mesures/heure, ~144 mesures/jour). Pour un run de 48h, cela produit ~288 points de mesure. Sur l’ensemble des 4 runs, le volume total attendu est de</w:t>
      </w:r>
      <w:r>
        <w:rPr>
          <w:rFonts w:ascii="Times New Roman" w:hAnsi="Times New Roman"/>
        </w:rPr>
        <w:t xml:space="preserve"> </w:t>
      </w:r>
      <w:r>
        <w:rPr>
          <w:rFonts w:ascii="Times New Roman" w:hAnsi="Times New Roman"/>
          <w:b/>
          <w:bCs/>
        </w:rPr>
        <w:t xml:space="preserve">600 à 1 500 points</w:t>
      </w:r>
      <w:r>
        <w:rPr>
          <w:rFonts w:ascii="Times New Roman" w:hAnsi="Times New Roman"/>
        </w:rPr>
        <w:t xml:space="preserve"> </w:t>
      </w:r>
      <w:r>
        <w:rPr>
          <w:rFonts w:ascii="Times New Roman" w:hAnsi="Times New Roman"/>
        </w:rPr>
        <w:t xml:space="preserve">selon les durées réelles.</w:t>
      </w:r>
    </w:p>
    <w:p>
      <w:pPr>
        <w:pStyle w:val="BodyText"/>
      </w:pPr>
      <w:r>
        <w:rPr>
          <w:rFonts w:ascii="Times New Roman" w:hAnsi="Times New Roman"/>
        </w:rPr>
        <w:t xml:space="preserve">La séquence de mesure à chaque cycle de 10 minutes est la suivante :</w:t>
      </w:r>
    </w:p>
    <w:p>
      <w:pPr>
        <w:pStyle w:val="Compact"/>
        <w:numPr>
          <w:ilvl w:val="0"/>
          <w:numId w:val="1008"/>
        </w:numPr>
      </w:pPr>
      <w:r>
        <w:rPr>
          <w:rFonts w:ascii="Times New Roman" w:hAnsi="Times New Roman"/>
          <w:b/>
          <w:bCs/>
        </w:rPr>
        <w:t xml:space="preserve">Réveil</w:t>
      </w:r>
      <w:r>
        <w:rPr>
          <w:rFonts w:ascii="Times New Roman" w:hAnsi="Times New Roman"/>
        </w:rPr>
        <w:t xml:space="preserve"> </w:t>
      </w:r>
      <w:r>
        <w:rPr>
          <w:rFonts w:ascii="Times New Roman" w:hAnsi="Times New Roman"/>
        </w:rPr>
        <w:t xml:space="preserve">de l’ESP32 (sortie du mode deep sleep)</w:t>
      </w:r>
    </w:p>
    <w:p>
      <w:pPr>
        <w:pStyle w:val="Compact"/>
        <w:numPr>
          <w:ilvl w:val="0"/>
          <w:numId w:val="1008"/>
        </w:numPr>
      </w:pPr>
      <w:r>
        <w:rPr>
          <w:rFonts w:ascii="Times New Roman" w:hAnsi="Times New Roman"/>
          <w:b/>
          <w:bCs/>
        </w:rPr>
        <w:t xml:space="preserve">Activation MOSFET</w:t>
      </w:r>
      <w:r>
        <w:rPr>
          <w:rFonts w:ascii="Times New Roman" w:hAnsi="Times New Roman"/>
        </w:rPr>
        <w:t xml:space="preserve"> </w:t>
      </w:r>
      <w:r>
        <w:rPr>
          <w:rFonts w:ascii="Times New Roman" w:hAnsi="Times New Roman"/>
        </w:rPr>
        <w:t xml:space="preserve">: alimentation du pont de Wheatstone pendant ~50 ms</w:t>
      </w:r>
    </w:p>
    <w:p>
      <w:pPr>
        <w:pStyle w:val="Compact"/>
        <w:numPr>
          <w:ilvl w:val="0"/>
          <w:numId w:val="1008"/>
        </w:numPr>
      </w:pPr>
      <w:r>
        <w:rPr>
          <w:rFonts w:ascii="Times New Roman" w:hAnsi="Times New Roman"/>
          <w:b/>
          <w:bCs/>
        </w:rPr>
        <w:t xml:space="preserve">Lecture pont</w:t>
      </w:r>
      <w:r>
        <w:rPr>
          <w:rFonts w:ascii="Times New Roman" w:hAnsi="Times New Roman"/>
        </w:rPr>
        <w:t xml:space="preserve"> </w:t>
      </w:r>
      <w:r>
        <w:rPr>
          <w:rFonts w:ascii="Times New Roman" w:hAnsi="Times New Roman"/>
        </w:rPr>
        <w:t xml:space="preserve">: HX711 acquiert Vout en mode différentiel (moyenne de 10 échantillons)</w:t>
      </w:r>
    </w:p>
    <w:p>
      <w:pPr>
        <w:pStyle w:val="Compact"/>
        <w:numPr>
          <w:ilvl w:val="0"/>
          <w:numId w:val="1008"/>
        </w:numPr>
      </w:pPr>
      <w:r>
        <w:rPr>
          <w:rFonts w:ascii="Times New Roman" w:hAnsi="Times New Roman"/>
          <w:b/>
          <w:bCs/>
        </w:rPr>
        <w:t xml:space="preserve">Désactivation MOSFET</w:t>
      </w:r>
      <w:r>
        <w:rPr>
          <w:rFonts w:ascii="Times New Roman" w:hAnsi="Times New Roman"/>
        </w:rPr>
        <w:t xml:space="preserve"> </w:t>
      </w:r>
      <w:r>
        <w:rPr>
          <w:rFonts w:ascii="Times New Roman" w:hAnsi="Times New Roman"/>
        </w:rPr>
        <w:t xml:space="preserve">: pont hors tension (élimination effet Joule)</w:t>
      </w:r>
    </w:p>
    <w:p>
      <w:pPr>
        <w:pStyle w:val="Compact"/>
        <w:numPr>
          <w:ilvl w:val="0"/>
          <w:numId w:val="1008"/>
        </w:numPr>
      </w:pPr>
      <w:r>
        <w:rPr>
          <w:rFonts w:ascii="Times New Roman" w:hAnsi="Times New Roman"/>
          <w:b/>
          <w:bCs/>
        </w:rPr>
        <w:t xml:space="preserve">Pause</w:t>
      </w:r>
      <w:r>
        <w:rPr>
          <w:rFonts w:ascii="Times New Roman" w:hAnsi="Times New Roman"/>
        </w:rPr>
        <w:t xml:space="preserve"> </w:t>
      </w:r>
      <w:r>
        <w:rPr>
          <w:rFonts w:ascii="Times New Roman" w:hAnsi="Times New Roman"/>
        </w:rPr>
        <w:t xml:space="preserve">100 ms (dissipation résiduelle, découplage des mesures)</w:t>
      </w:r>
    </w:p>
    <w:p>
      <w:pPr>
        <w:pStyle w:val="Compact"/>
        <w:numPr>
          <w:ilvl w:val="0"/>
          <w:numId w:val="1008"/>
        </w:numPr>
      </w:pPr>
      <w:r>
        <w:rPr>
          <w:rFonts w:ascii="Times New Roman" w:hAnsi="Times New Roman"/>
          <w:b/>
          <w:bCs/>
        </w:rPr>
        <w:t xml:space="preserve">Lecture pH</w:t>
      </w:r>
      <w:r>
        <w:rPr>
          <w:rFonts w:ascii="Times New Roman" w:hAnsi="Times New Roman"/>
        </w:rPr>
        <w:t xml:space="preserve"> </w:t>
      </w:r>
      <w:r>
        <w:rPr>
          <w:rFonts w:ascii="Times New Roman" w:hAnsi="Times New Roman"/>
        </w:rPr>
        <w:t xml:space="preserve">: HX711 acquiert la tension de la sonde pH</w:t>
      </w:r>
    </w:p>
    <w:p>
      <w:pPr>
        <w:pStyle w:val="Compact"/>
        <w:numPr>
          <w:ilvl w:val="0"/>
          <w:numId w:val="1008"/>
        </w:numPr>
      </w:pPr>
      <w:r>
        <w:rPr>
          <w:rFonts w:ascii="Times New Roman" w:hAnsi="Times New Roman"/>
          <w:b/>
          <w:bCs/>
        </w:rPr>
        <w:t xml:space="preserve">Lecture température</w:t>
      </w:r>
      <w:r>
        <w:rPr>
          <w:rFonts w:ascii="Times New Roman" w:hAnsi="Times New Roman"/>
        </w:rPr>
        <w:t xml:space="preserve"> </w:t>
      </w:r>
      <w:r>
        <w:rPr>
          <w:rFonts w:ascii="Times New Roman" w:hAnsi="Times New Roman"/>
        </w:rPr>
        <w:t xml:space="preserve">: DS18B20 via bus OneWire</w:t>
      </w:r>
    </w:p>
    <w:p>
      <w:pPr>
        <w:pStyle w:val="Compact"/>
        <w:numPr>
          <w:ilvl w:val="0"/>
          <w:numId w:val="1008"/>
        </w:numPr>
      </w:pPr>
      <w:r>
        <w:rPr>
          <w:rFonts w:ascii="Times New Roman" w:hAnsi="Times New Roman"/>
          <w:b/>
          <w:bCs/>
        </w:rPr>
        <w:t xml:space="preserve">Envoi</w:t>
      </w:r>
      <w:r>
        <w:rPr>
          <w:rFonts w:ascii="Times New Roman" w:hAnsi="Times New Roman"/>
        </w:rPr>
        <w:t xml:space="preserve"> </w:t>
      </w:r>
      <w:r>
        <w:rPr>
          <w:rFonts w:ascii="Times New Roman" w:hAnsi="Times New Roman"/>
        </w:rPr>
        <w:t xml:space="preserve">des données vers Supabase via WiFi (HTTP POST)</w:t>
      </w:r>
    </w:p>
    <w:p>
      <w:pPr>
        <w:pStyle w:val="Compact"/>
        <w:numPr>
          <w:ilvl w:val="0"/>
          <w:numId w:val="1008"/>
        </w:numPr>
      </w:pPr>
      <w:r>
        <w:rPr>
          <w:rFonts w:ascii="Times New Roman" w:hAnsi="Times New Roman"/>
          <w:b/>
          <w:bCs/>
        </w:rPr>
        <w:t xml:space="preserve">Retour en deep sleep</w:t>
      </w:r>
      <w:r>
        <w:rPr>
          <w:rFonts w:ascii="Times New Roman" w:hAnsi="Times New Roman"/>
        </w:rPr>
        <w:t xml:space="preserve"> </w:t>
      </w:r>
      <w:r>
        <w:rPr>
          <w:rFonts w:ascii="Times New Roman" w:hAnsi="Times New Roman"/>
        </w:rPr>
        <w:t xml:space="preserve">jusqu’au prochain cycle</w:t>
      </w:r>
    </w:p>
    <w:p>
      <w:pPr>
        <w:pStyle w:val="FirstParagraph"/>
      </w:pPr>
      <w:r>
        <w:rPr>
          <w:rFonts w:ascii="Times New Roman" w:hAnsi="Times New Roman"/>
        </w:rPr>
        <w:t xml:space="preserve">Cette séquence de mesure séquentielle (pont puis pH, jamais simultanément) évite les</w:t>
      </w:r>
      <w:r>
        <w:rPr>
          <w:rFonts w:ascii="Times New Roman" w:hAnsi="Times New Roman"/>
        </w:rPr>
        <w:t xml:space="preserve"> </w:t>
      </w:r>
      <w:r>
        <w:rPr>
          <w:rFonts w:ascii="Times New Roman" w:hAnsi="Times New Roman"/>
          <w:b/>
          <w:bCs/>
        </w:rPr>
        <w:t xml:space="preserve">boucles de masse</w:t>
      </w:r>
      <w:r>
        <w:rPr>
          <w:rFonts w:ascii="Times New Roman" w:hAnsi="Times New Roman"/>
        </w:rPr>
        <w:t xml:space="preserve"> </w:t>
      </w:r>
      <w:r>
        <w:rPr>
          <w:rFonts w:ascii="Times New Roman" w:hAnsi="Times New Roman"/>
        </w:rPr>
        <w:t xml:space="preserve">: si les deux circuits étaient alimentés en même temps, des courants parasites circuleraient via le liquide conducteur (le Detar Plus étant un excellent électrolyte), faussant les deux mesures.</w:t>
      </w:r>
    </w:p>
    <w:bookmarkEnd w:id="75"/>
    <w:bookmarkStart w:id="76" w:name="gravimétrie-de-validation"/>
    <w:p>
      <w:pPr>
        <w:pStyle w:val="Heading3"/>
      </w:pPr>
      <w:r>
        <w:rPr>
          <w:rFonts w:ascii="Times New Roman" w:hAnsi="Times New Roman"/>
        </w:rPr>
        <w:t xml:space="preserve">3.4.5 Gravimétrie de validation</w:t>
      </w:r>
    </w:p>
    <w:p>
      <w:pPr>
        <w:pStyle w:val="FirstParagraph"/>
      </w:pPr>
      <w:r>
        <w:rPr>
          <w:rFonts w:ascii="Times New Roman" w:hAnsi="Times New Roman"/>
        </w:rPr>
        <w:t xml:space="preserve">À chaque fin de run, le fil est retiré, rincé à l’eau distillée, séché à l’étuve (105°C, 1h, conformément à la norme ISO 8407), et pesé sur une balance de précision (±0,01 g). La perte de masse mesurée est comparée à la perte de masse calculée depuis les variations de résistance : cette</w:t>
      </w:r>
      <w:r>
        <w:rPr>
          <w:rFonts w:ascii="Times New Roman" w:hAnsi="Times New Roman"/>
        </w:rPr>
        <w:t xml:space="preserve"> </w:t>
      </w:r>
      <w:r>
        <w:rPr>
          <w:rFonts w:ascii="Times New Roman" w:hAnsi="Times New Roman"/>
          <w:b/>
          <w:bCs/>
        </w:rPr>
        <w:t xml:space="preserve">double mesure</w:t>
      </w:r>
      <w:r>
        <w:rPr>
          <w:rFonts w:ascii="Times New Roman" w:hAnsi="Times New Roman"/>
        </w:rPr>
        <w:t xml:space="preserve"> </w:t>
      </w:r>
      <w:r>
        <w:rPr>
          <w:rFonts w:ascii="Times New Roman" w:hAnsi="Times New Roman"/>
        </w:rPr>
        <w:t xml:space="preserve">(ER + gravimétrie) constitue la validation croisée interne du système de mesure et permet de quantifier l’erreur instrumentale de la sonde DIY.</w:t>
      </w:r>
    </w:p>
    <w:bookmarkEnd w:id="76"/>
    <w:bookmarkEnd w:id="77"/>
    <w:bookmarkStart w:id="78" w:name="X0611a40c920d68e89e983951b01fb34b3cd6d97"/>
    <w:p>
      <w:pPr>
        <w:pStyle w:val="Heading2"/>
      </w:pPr>
      <w:r>
        <w:rPr>
          <w:rFonts w:ascii="Times New Roman" w:hAnsi="Times New Roman"/>
        </w:rPr>
        <w:t xml:space="preserve">3.5 Limites du prototype par rapport au système industriel</w:t>
      </w:r>
    </w:p>
    <w:p>
      <w:pPr>
        <w:pStyle w:val="Compact"/>
        <w:numPr>
          <w:ilvl w:val="0"/>
          <w:numId w:val="1009"/>
        </w:numPr>
      </w:pPr>
      <w:r>
        <w:rPr>
          <w:rFonts w:ascii="Times New Roman" w:hAnsi="Times New Roman"/>
          <w:b/>
          <w:bCs/>
        </w:rPr>
        <w:t xml:space="preserve">Certification</w:t>
      </w:r>
      <w:r>
        <w:rPr>
          <w:rFonts w:ascii="Times New Roman" w:hAnsi="Times New Roman"/>
        </w:rPr>
        <w:t xml:space="preserve"> </w:t>
      </w:r>
      <w:r>
        <w:rPr>
          <w:rFonts w:ascii="Times New Roman" w:hAnsi="Times New Roman"/>
        </w:rPr>
        <w:t xml:space="preserve">: Le prototype n’est pas certifié ATEX ni IECEx — inutilisable en zone explosive réelle.</w:t>
      </w:r>
    </w:p>
    <w:p>
      <w:pPr>
        <w:pStyle w:val="Compact"/>
        <w:numPr>
          <w:ilvl w:val="0"/>
          <w:numId w:val="1009"/>
        </w:numPr>
      </w:pPr>
      <w:r>
        <w:rPr>
          <w:rFonts w:ascii="Times New Roman" w:hAnsi="Times New Roman"/>
          <w:b/>
          <w:bCs/>
        </w:rPr>
        <w:t xml:space="preserve">Pression</w:t>
      </w:r>
      <w:r>
        <w:rPr>
          <w:rFonts w:ascii="Times New Roman" w:hAnsi="Times New Roman"/>
        </w:rPr>
        <w:t xml:space="preserve"> </w:t>
      </w:r>
      <w:r>
        <w:rPr>
          <w:rFonts w:ascii="Times New Roman" w:hAnsi="Times New Roman"/>
        </w:rPr>
        <w:t xml:space="preserve">: Mesure à pression atmosphérique uniquement. Les pipelines opèrent à 50–200 bar.</w:t>
      </w:r>
    </w:p>
    <w:p>
      <w:pPr>
        <w:pStyle w:val="Compact"/>
        <w:numPr>
          <w:ilvl w:val="0"/>
          <w:numId w:val="1009"/>
        </w:numPr>
      </w:pPr>
      <w:r>
        <w:rPr>
          <w:rFonts w:ascii="Times New Roman" w:hAnsi="Times New Roman"/>
          <w:b/>
          <w:bCs/>
        </w:rPr>
        <w:t xml:space="preserve">Environnement</w:t>
      </w:r>
      <w:r>
        <w:rPr>
          <w:rFonts w:ascii="Times New Roman" w:hAnsi="Times New Roman"/>
        </w:rPr>
        <w:t xml:space="preserve"> </w:t>
      </w:r>
      <w:r>
        <w:rPr>
          <w:rFonts w:ascii="Times New Roman" w:hAnsi="Times New Roman"/>
        </w:rPr>
        <w:t xml:space="preserve">: Detar Plus (HCl + H₃PO₄) ≠ CO₂/H₂S dissous sous pression — le milieu reproduit une corrosion acide accélérée, non les conditions spécifiques d’un pipeline de production. Cette différence est assumée et justifiée à la section 3.3.3 : l’objectif est de démontrer la capacité du ML à capturer une cinétique complexe, pas de reproduire un environnement industriel spécifique.</w:t>
      </w:r>
    </w:p>
    <w:p>
      <w:pPr>
        <w:pStyle w:val="Compact"/>
        <w:numPr>
          <w:ilvl w:val="0"/>
          <w:numId w:val="1009"/>
        </w:numPr>
      </w:pPr>
      <w:r>
        <w:rPr>
          <w:rFonts w:ascii="Times New Roman" w:hAnsi="Times New Roman"/>
          <w:b/>
          <w:bCs/>
        </w:rPr>
        <w:t xml:space="preserve">Composition du milieu</w:t>
      </w:r>
      <w:r>
        <w:rPr>
          <w:rFonts w:ascii="Times New Roman" w:hAnsi="Times New Roman"/>
        </w:rPr>
        <w:t xml:space="preserve"> </w:t>
      </w:r>
      <w:r>
        <w:rPr>
          <w:rFonts w:ascii="Times New Roman" w:hAnsi="Times New Roman"/>
        </w:rPr>
        <w:t xml:space="preserve">: Le Detar Plus est un produit commercial dont la composition exacte (concentrations molaires) n’est pas publiée. La reproductibilité est assurée par la caractérisation expérimentale de chaque lot (pH, densité, référence FDS) et non par la formulation chimique précise — approche pragmatique justifiée par l’usage de méthodes data-driven qui n’exigent pas un modèle physique du milieu.</w:t>
      </w:r>
    </w:p>
    <w:p>
      <w:pPr>
        <w:pStyle w:val="Compact"/>
        <w:numPr>
          <w:ilvl w:val="0"/>
          <w:numId w:val="1009"/>
        </w:numPr>
      </w:pPr>
      <w:r>
        <w:rPr>
          <w:rFonts w:ascii="Times New Roman" w:hAnsi="Times New Roman"/>
          <w:b/>
          <w:bCs/>
        </w:rPr>
        <w:t xml:space="preserve">Durée de vie</w:t>
      </w:r>
      <w:r>
        <w:rPr>
          <w:rFonts w:ascii="Times New Roman" w:hAnsi="Times New Roman"/>
        </w:rPr>
        <w:t xml:space="preserve"> </w:t>
      </w:r>
      <w:r>
        <w:rPr>
          <w:rFonts w:ascii="Times New Roman" w:hAnsi="Times New Roman"/>
        </w:rPr>
        <w:t xml:space="preserve">: Fil de fer 1,0 mm : durée de vie estimée 24–72 heures dans le Detar Plus concentré. Sonde ER industrielle : 1–5 ans. Cette durée courte est volontaire (protocole run-to-failure) et permet d’obtenir des courbes de dégradation complètes.</w:t>
      </w:r>
    </w:p>
    <w:p>
      <w:pPr>
        <w:pStyle w:val="Compact"/>
        <w:numPr>
          <w:ilvl w:val="0"/>
          <w:numId w:val="1009"/>
        </w:numPr>
      </w:pPr>
      <w:r>
        <w:rPr>
          <w:rFonts w:ascii="Times New Roman" w:hAnsi="Times New Roman"/>
          <w:b/>
          <w:bCs/>
        </w:rPr>
        <w:t xml:space="preserve">Volume de données</w:t>
      </w:r>
      <w:r>
        <w:rPr>
          <w:rFonts w:ascii="Times New Roman" w:hAnsi="Times New Roman"/>
        </w:rPr>
        <w:t xml:space="preserve"> </w:t>
      </w:r>
      <w:r>
        <w:rPr>
          <w:rFonts w:ascii="Times New Roman" w:hAnsi="Times New Roman"/>
        </w:rPr>
        <w:t xml:space="preserve">: ~600–1 500 points sur 4 runs, contre des millions de points sur des années en industrie. Le volume est suffisant pour XGBoost sur données tabulaires à faible dimensionnalité (8 features), mais interdit les architectures deep learning (LSTM, Transformer) qui nécessitent &gt; 10 000 points.</w:t>
      </w:r>
    </w:p>
    <w:p>
      <w:pPr>
        <w:pStyle w:val="Compact"/>
        <w:numPr>
          <w:ilvl w:val="0"/>
          <w:numId w:val="1009"/>
        </w:numPr>
      </w:pPr>
      <w:r>
        <w:rPr>
          <w:rFonts w:ascii="Times New Roman" w:hAnsi="Times New Roman"/>
          <w:b/>
          <w:bCs/>
        </w:rPr>
        <w:t xml:space="preserve">Résolution ADC</w:t>
      </w:r>
      <w:r>
        <w:rPr>
          <w:rFonts w:ascii="Times New Roman" w:hAnsi="Times New Roman"/>
        </w:rPr>
        <w:t xml:space="preserve"> </w:t>
      </w:r>
      <w:r>
        <w:rPr>
          <w:rFonts w:ascii="Times New Roman" w:hAnsi="Times New Roman"/>
        </w:rPr>
        <w:t xml:space="preserve">: Le HX711 est un convertisseur</w:t>
      </w:r>
      <w:r>
        <w:rPr>
          <w:rFonts w:ascii="Times New Roman" w:hAnsi="Times New Roman"/>
        </w:rPr>
        <w:t xml:space="preserve"> </w:t>
      </w:r>
      <w:r>
        <w:rPr>
          <w:rFonts w:ascii="Times New Roman" w:hAnsi="Times New Roman"/>
          <w:b/>
          <w:bCs/>
        </w:rPr>
        <w:t xml:space="preserve">24 bits</w:t>
      </w:r>
      <w:r>
        <w:rPr>
          <w:rFonts w:ascii="Times New Roman" w:hAnsi="Times New Roman"/>
        </w:rPr>
        <w:t xml:space="preserve"> </w:t>
      </w:r>
      <w:r>
        <w:rPr>
          <w:rFonts w:ascii="Times New Roman" w:hAnsi="Times New Roman"/>
        </w:rPr>
        <w:t xml:space="preserve">dédié aux ponts de Wheatstone — sa résolution est comparable aux convertisseurs industriels de même type, avec un ENOB effectif d’environ 18–20 bits dans les conditions d’utilisation réelles.</w:t>
      </w:r>
    </w:p>
    <w:p>
      <w:pPr>
        <w:pStyle w:val="Compact"/>
        <w:numPr>
          <w:ilvl w:val="0"/>
          <w:numId w:val="1009"/>
        </w:numPr>
      </w:pPr>
      <w:r>
        <w:rPr>
          <w:rFonts w:ascii="Times New Roman" w:hAnsi="Times New Roman"/>
          <w:b/>
          <w:bCs/>
        </w:rPr>
        <w:t xml:space="preserve">Redondance</w:t>
      </w:r>
      <w:r>
        <w:rPr>
          <w:rFonts w:ascii="Times New Roman" w:hAnsi="Times New Roman"/>
        </w:rPr>
        <w:t xml:space="preserve"> </w:t>
      </w:r>
      <w:r>
        <w:rPr>
          <w:rFonts w:ascii="Times New Roman" w:hAnsi="Times New Roman"/>
        </w:rPr>
        <w:t xml:space="preserve">: Pas de capteur de secours ni de watchdog industriel. Une déconnexion WiFi pendant un run crée des lacunes (NaN) gérées nativement par XGBoost.</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Ces limites sont assumées et documentées. L’objectif du prototype n’est pas de remplacer un système industriel certifié, mais de démontrer la faisabilité de l’approche ML+IoT pour la maintenance prédictive de la corrosion, avec des moyens accessibles dans un contexte académique. La rigueur méthodologique repose sur la reproductibilité des conditions (caractérisation de chaque lot), la validation croisée ER/gravimétrie, et la transparence des limites.</w:t>
      </w:r>
    </w:p>
    <w:p>
      <w:r>
        <w:rPr>
          <w:rFonts w:ascii="Times New Roman" w:hAnsi="Times New Roman"/>
        </w:rPr>
        <w:pict>
          <v:rect style="width:0;height:1.5pt" o:hralign="center" o:hrstd="t" o:hr="t"/>
        </w:pict>
      </w:r>
    </w:p>
    <w:bookmarkEnd w:id="78"/>
    <w:bookmarkEnd w:id="79"/>
    <w:bookmarkStart w:id="99" w:name="X32c50347e818e2ded60e1cd0eea49a8d60daafb"/>
    <w:p>
      <w:pPr>
        <w:pStyle w:val="Heading1"/>
      </w:pPr>
      <w:r>
        <w:rPr>
          <w:rFonts w:ascii="Times New Roman" w:hAnsi="Times New Roman"/>
        </w:rPr>
        <w:t xml:space="preserve">PARTIE 4 — MAINTENANCE PRÉDICTIVE ET APPRENTISSAGE AUTOMATIQUE</w:t>
      </w:r>
    </w:p>
    <w:bookmarkStart w:id="80" w:name="Xbf1ca6c0476b612eb7d12c6c229d53f0558d18a"/>
    <w:p>
      <w:pPr>
        <w:pStyle w:val="Heading2"/>
      </w:pPr>
      <w:r>
        <w:rPr>
          <w:rFonts w:ascii="Times New Roman" w:hAnsi="Times New Roman"/>
        </w:rPr>
        <w:t xml:space="preserve">4.1 Évolution des stratégies de maintenance industrielle</w:t>
      </w:r>
    </w:p>
    <w:p>
      <w:pPr>
        <w:pStyle w:val="FirstParagraph"/>
      </w:pPr>
      <w:r>
        <w:rPr>
          <w:rFonts w:ascii="Times New Roman" w:hAnsi="Times New Roman"/>
        </w:rPr>
        <w:t xml:space="preserve">La maintenance industrielle a connu une évolution continue depuis les débuts de l’industrialisation, passant d’une approche purement réactive à une approche de plus en plus anticipative. Quatre générations de stratégies se sont successivement développées :</w:t>
      </w:r>
    </w:p>
    <w:p>
      <w:pPr>
        <w:pStyle w:val="Compact"/>
        <w:numPr>
          <w:ilvl w:val="0"/>
          <w:numId w:val="1010"/>
        </w:numPr>
      </w:pPr>
      <w:r>
        <w:rPr>
          <w:rFonts w:ascii="Times New Roman" w:hAnsi="Times New Roman"/>
          <w:b/>
          <w:bCs/>
        </w:rPr>
        <w:t xml:space="preserve">Maintenance corrective (1ère génération)</w:t>
      </w:r>
      <w:r>
        <w:rPr>
          <w:rFonts w:ascii="Times New Roman" w:hAnsi="Times New Roman"/>
        </w:rPr>
        <w:t xml:space="preserve"> </w:t>
      </w:r>
      <w:r>
        <w:rPr>
          <w:rFonts w:ascii="Times New Roman" w:hAnsi="Times New Roman"/>
        </w:rPr>
        <w:t xml:space="preserve">: Intervention après défaillance. Aucun investissement préventif, mais coûts de défaillance élevés et imprévisibles. Toujours pertinente pour les équipements non critiques (norme EN 13306).</w:t>
      </w:r>
    </w:p>
    <w:p>
      <w:pPr>
        <w:pStyle w:val="Compact"/>
        <w:numPr>
          <w:ilvl w:val="0"/>
          <w:numId w:val="1010"/>
        </w:numPr>
      </w:pPr>
      <w:r>
        <w:rPr>
          <w:rFonts w:ascii="Times New Roman" w:hAnsi="Times New Roman"/>
          <w:b/>
          <w:bCs/>
        </w:rPr>
        <w:t xml:space="preserve">Maintenance préventive systématique (2ème génération)</w:t>
      </w:r>
      <w:r>
        <w:rPr>
          <w:rFonts w:ascii="Times New Roman" w:hAnsi="Times New Roman"/>
        </w:rPr>
        <w:t xml:space="preserve"> </w:t>
      </w:r>
      <w:r>
        <w:rPr>
          <w:rFonts w:ascii="Times New Roman" w:hAnsi="Times New Roman"/>
        </w:rPr>
        <w:t xml:space="preserve">: Remplacement des composants à intervalles fixes, indépendamment de leur état réel. Sûre mais économiquement inefficace : on remplace des pièces encore en bon état.</w:t>
      </w:r>
    </w:p>
    <w:p>
      <w:pPr>
        <w:pStyle w:val="Compact"/>
        <w:numPr>
          <w:ilvl w:val="0"/>
          <w:numId w:val="1010"/>
        </w:numPr>
      </w:pPr>
      <w:r>
        <w:rPr>
          <w:rFonts w:ascii="Times New Roman" w:hAnsi="Times New Roman"/>
          <w:b/>
          <w:bCs/>
        </w:rPr>
        <w:t xml:space="preserve">Maintenance conditionnelle (3ème génération)</w:t>
      </w:r>
      <w:r>
        <w:rPr>
          <w:rFonts w:ascii="Times New Roman" w:hAnsi="Times New Roman"/>
        </w:rPr>
        <w:t xml:space="preserve"> </w:t>
      </w:r>
      <w:r>
        <w:rPr>
          <w:rFonts w:ascii="Times New Roman" w:hAnsi="Times New Roman"/>
        </w:rPr>
        <w:t xml:space="preserve">: Intervention déclenchée par le dépassement d’un seuil mesuré (vibration, température, épaisseur). Représente le standard industriel actuel pour les équipements critiques.</w:t>
      </w:r>
    </w:p>
    <w:p>
      <w:pPr>
        <w:pStyle w:val="Compact"/>
        <w:numPr>
          <w:ilvl w:val="0"/>
          <w:numId w:val="1010"/>
        </w:numPr>
      </w:pPr>
      <w:r>
        <w:rPr>
          <w:rFonts w:ascii="Times New Roman" w:hAnsi="Times New Roman"/>
          <w:b/>
          <w:bCs/>
        </w:rPr>
        <w:t xml:space="preserve">Maintenance prédictive (4ème génération)</w:t>
      </w:r>
      <w:r>
        <w:rPr>
          <w:rFonts w:ascii="Times New Roman" w:hAnsi="Times New Roman"/>
        </w:rPr>
        <w:t xml:space="preserve"> </w:t>
      </w:r>
      <w:r>
        <w:rPr>
          <w:rFonts w:ascii="Times New Roman" w:hAnsi="Times New Roman"/>
        </w:rPr>
        <w:t xml:space="preserve">: Prédiction de la défaillance future par modèles mathématiques ou ML, permettant d’intervenir au moment optimal (ni trop tôt, ni trop tard). Objet de ce travail.</w:t>
      </w:r>
    </w:p>
    <w:bookmarkEnd w:id="80"/>
    <w:bookmarkStart w:id="84" w:name="fondements-de-la-maintenance-prédictive"/>
    <w:p>
      <w:pPr>
        <w:pStyle w:val="Heading2"/>
      </w:pPr>
      <w:r>
        <w:rPr>
          <w:rFonts w:ascii="Times New Roman" w:hAnsi="Times New Roman"/>
        </w:rPr>
        <w:t xml:space="preserve">4.2 Fondements de la maintenance prédictive</w:t>
      </w:r>
    </w:p>
    <w:bookmarkStart w:id="81" w:name="X445941f1ae1ca222ad27911e45c9b2ed600c5ce"/>
    <w:p>
      <w:pPr>
        <w:pStyle w:val="Heading3"/>
      </w:pPr>
      <w:r>
        <w:rPr>
          <w:rFonts w:ascii="Times New Roman" w:hAnsi="Times New Roman"/>
        </w:rPr>
        <w:t xml:space="preserve">4.2.1 Pronostic et gestion de la santé des équipements (PHM)</w:t>
      </w:r>
    </w:p>
    <w:p>
      <w:pPr>
        <w:pStyle w:val="FirstParagraph"/>
      </w:pPr>
      <w:r>
        <w:rPr>
          <w:rFonts w:ascii="Times New Roman" w:hAnsi="Times New Roman"/>
        </w:rPr>
        <w:t xml:space="preserve">Le Pronostic et Gestion de la Santé (PHM — Prognostics and Health Management) est un cadre méthodologique qui intègre la surveillance en temps réel, le diagnostic de l’état courant et le pronostic de l’état futur d’un équipement pour optimiser les décisions de maintenance (Lee et al., 2014 ; Jardine et al., 2006). Le PHM dépasse la maintenance conditionnelle (3ème génération) en ajoutant une composante prédictive : il ne se contente pas de signaler un seuil dépassé mais estime le temps restant avant la défaillance — la durée de vie résiduelle (RUL — Remaining Useful Life).</w:t>
      </w:r>
    </w:p>
    <w:p>
      <w:pPr>
        <w:pStyle w:val="BodyText"/>
      </w:pPr>
      <w:r>
        <w:rPr>
          <w:rFonts w:ascii="Times New Roman" w:hAnsi="Times New Roman"/>
        </w:rPr>
        <w:t xml:space="preserve">Dans le contexte de la corrosion, le PHM se traduit par une chaîne fonctionnelle en trois étapes : (1) l’acquisition de données en continu par des capteurs (sondes ER, température, pH), (2) le traitement et le diagnostic (calcul du taux de corrosion courant, détection d’anomalies), et (3) le pronostic (prédiction de l’évolution du taux de corrosion et estimation du RUL). Ce travail implémente ces trois étapes dans un système intégré.</w:t>
      </w:r>
    </w:p>
    <w:bookmarkEnd w:id="81"/>
    <w:bookmarkStart w:id="82" w:name="taxonomie-des-modèles-de-pronostic"/>
    <w:p>
      <w:pPr>
        <w:pStyle w:val="Heading3"/>
      </w:pPr>
      <w:r>
        <w:rPr>
          <w:rFonts w:ascii="Times New Roman" w:hAnsi="Times New Roman"/>
        </w:rPr>
        <w:t xml:space="preserve">4.2.2 Taxonomie des modèles de pronostic</w:t>
      </w:r>
    </w:p>
    <w:p>
      <w:pPr>
        <w:pStyle w:val="FirstParagraph"/>
      </w:pPr>
      <w:r>
        <w:rPr>
          <w:rFonts w:ascii="Times New Roman" w:hAnsi="Times New Roman"/>
        </w:rPr>
        <w:t xml:space="preserve">Les modèles de pronostic se classifient en trois catégories selon la nature de la connaissance mobilisée (Zio, 2012) :</w:t>
      </w:r>
    </w:p>
    <w:p>
      <w:pPr>
        <w:pStyle w:val="Compact"/>
        <w:numPr>
          <w:ilvl w:val="0"/>
          <w:numId w:val="1011"/>
        </w:numPr>
      </w:pPr>
      <w:r>
        <w:rPr>
          <w:rFonts w:ascii="Times New Roman" w:hAnsi="Times New Roman"/>
          <w:b/>
          <w:bCs/>
        </w:rPr>
        <w:t xml:space="preserve">Modèles physiques (white-box)</w:t>
      </w:r>
      <w:r>
        <w:rPr>
          <w:rFonts w:ascii="Times New Roman" w:hAnsi="Times New Roman"/>
        </w:rPr>
        <w:t xml:space="preserve"> </w:t>
      </w:r>
      <w:r>
        <w:rPr>
          <w:rFonts w:ascii="Times New Roman" w:hAnsi="Times New Roman"/>
        </w:rPr>
        <w:t xml:space="preserve">: Basés sur les lois fondamentales de la physique et de la chimie. Pour la corrosion : modèle de Waard et Milliams (CO₂), équation de Butler-Volmer (cinétique), loi d’Arrhenius (température). Avantage : interprétabilité totale, extrapolation possible. Limitation : hypothèses simplificatrices qui dégradent la précision dans les conditions réelles multi-factorielles.</w:t>
      </w:r>
    </w:p>
    <w:p>
      <w:pPr>
        <w:pStyle w:val="Compact"/>
        <w:numPr>
          <w:ilvl w:val="0"/>
          <w:numId w:val="1011"/>
        </w:numPr>
      </w:pPr>
      <w:r>
        <w:rPr>
          <w:rFonts w:ascii="Times New Roman" w:hAnsi="Times New Roman"/>
          <w:b/>
          <w:bCs/>
        </w:rPr>
        <w:t xml:space="preserve">Modèles data-driven (black-box)</w:t>
      </w:r>
      <w:r>
        <w:rPr>
          <w:rFonts w:ascii="Times New Roman" w:hAnsi="Times New Roman"/>
        </w:rPr>
        <w:t xml:space="preserve"> </w:t>
      </w:r>
      <w:r>
        <w:rPr>
          <w:rFonts w:ascii="Times New Roman" w:hAnsi="Times New Roman"/>
        </w:rPr>
        <w:t xml:space="preserve">: Basés uniquement sur l’apprentissage à partir des données mesurées, sans hypothèse physique a priori. Pour la corrosion : réseaux de neurones (ANN), machines à vecteurs de support (SVM), gradient boosting (XGBoost). Avantage : capture des non-linéarités complexes. Limitation : nécessité de données suffisantes, risque de sur-apprentissage, extrapolation incertaine.</w:t>
      </w:r>
    </w:p>
    <w:p>
      <w:pPr>
        <w:pStyle w:val="Compact"/>
        <w:numPr>
          <w:ilvl w:val="0"/>
          <w:numId w:val="1011"/>
        </w:numPr>
      </w:pPr>
      <w:r>
        <w:rPr>
          <w:rFonts w:ascii="Times New Roman" w:hAnsi="Times New Roman"/>
          <w:b/>
          <w:bCs/>
        </w:rPr>
        <w:t xml:space="preserve">Modèles hybrides (grey-box)</w:t>
      </w:r>
      <w:r>
        <w:rPr>
          <w:rFonts w:ascii="Times New Roman" w:hAnsi="Times New Roman"/>
        </w:rPr>
        <w:t xml:space="preserve"> </w:t>
      </w:r>
      <w:r>
        <w:rPr>
          <w:rFonts w:ascii="Times New Roman" w:hAnsi="Times New Roman"/>
        </w:rPr>
        <w:t xml:space="preserve">: Combinent un modèle physique de base avec un correcteur data-driven qui capture les écarts entre le modèle physique et la réalité. Exemple : de Waard et Milliams corrigé par un réseau de neurones. Avantage : meilleure extrapolation que le data-driven pur, meilleure précision que le physique pur. Limitation : complexité de mise en œuvre, nécessite une correspondance explicite avec le modèle physique.</w:t>
      </w:r>
    </w:p>
    <w:p>
      <w:pPr>
        <w:pStyle w:val="FirstParagraph"/>
      </w:pPr>
      <w:r>
        <w:rPr>
          <w:rFonts w:ascii="Times New Roman" w:hAnsi="Times New Roman"/>
        </w:rPr>
        <w:t xml:space="preserve">Ce travail adopte une approche data-driven, justifiée par trois arguments. Premièrement, les données sont produites dans un milieu multi-acide commercial (Detar Plus : HCl + H₃PO₄) dont la cinétique non-monotone (attaque HCl vs passivation H₃PO₄) ne peut être prédite par aucun modèle physique analytique existant — un modèle hybride nécessiterait un modèle physique de référence calibré pour ce produit spécifique, qui n’existe pas. Deuxièmement, le volume de données attendu (~600–1 500 points, 8 features) est suffisant pour un modèle de gradient boosting, qui converge empiriquement dès 500 à 1 000 observations sur données tabulaires à faible dimensionnalité (Hastie et al., 2009 ; observation confirmée dans les benchmarks Kaggle). Troisièmement, le protocole de run-to-failure produit des courbes de dégradation complètes avec l’event de défaillance observé, ce qui permet l’entraînement direct d’un modèle de prédiction du RUL — avantage impossible à obtenir avec un milieu à corrosion lente (28 jours) et un seul échantillon.</w:t>
      </w:r>
    </w:p>
    <w:bookmarkEnd w:id="82"/>
    <w:bookmarkStart w:id="83" w:name="X30028cea0709ee5ae2ccf7a50a8ed8f4ed63d7c"/>
    <w:p>
      <w:pPr>
        <w:pStyle w:val="Heading3"/>
      </w:pPr>
      <w:r>
        <w:rPr>
          <w:rFonts w:ascii="Times New Roman" w:hAnsi="Times New Roman"/>
        </w:rPr>
        <w:t xml:space="preserve">4.2.3 Durée de vie résiduelle (RUL) et inspection basée sur le risque (RBI)</w:t>
      </w:r>
    </w:p>
    <w:p>
      <w:pPr>
        <w:pStyle w:val="FirstParagraph"/>
      </w:pPr>
      <w:r>
        <w:rPr>
          <w:rFonts w:ascii="Times New Roman" w:hAnsi="Times New Roman"/>
        </w:rPr>
        <w:t xml:space="preserve">La durée de vie résiduelle (RUL) est le paramètre de sortie fondamental de tout système PHM. Pour un équipement soumis à la corrosion, le RUL est calculé selon la norme ASME B31.3 à partir de l’épaisseur résiduelle et du taux de corrosion. L’inspection basée sur le risque (RBI — API 580/581) utilise le RUL comme entrée pour prioriser les inspections des équipements sous pression dans l’industrie pétrolière. Le risque y est défini comme :</w:t>
      </w:r>
    </w:p>
    <w:p>
      <w:pPr>
        <w:pStyle w:val="BodyText"/>
      </w:pPr>
      <m:oMathPara>
        <m:oMathParaPr>
          <m:jc m:val="center"/>
        </m:oMathParaPr>
        <m:oMath>
          <m:r>
            <m:t>R</m:t>
          </m:r>
          <m:r>
            <m:t>i</m:t>
          </m:r>
          <m:r>
            <m:t>s</m:t>
          </m:r>
          <m:r>
            <m:t>q</m:t>
          </m:r>
          <m:r>
            <m:t>u</m:t>
          </m:r>
          <m:r>
            <m:t>e</m:t>
          </m:r>
          <m:r>
            <m:rPr>
              <m:sty m:val="p"/>
            </m:rPr>
            <m:t>=</m:t>
          </m:r>
          <m:r>
            <m:t>P</m:t>
          </m:r>
          <m:r>
            <m:t>o</m:t>
          </m:r>
          <m:r>
            <m:t>F</m:t>
          </m:r>
          <m:r>
            <m:rPr>
              <m:sty m:val="p"/>
            </m:rPr>
            <m:t>×</m:t>
          </m:r>
          <m:r>
            <m:t>C</m:t>
          </m:r>
          <m:r>
            <m:t>o</m:t>
          </m:r>
          <m:r>
            <m:t>F</m:t>
          </m:r>
        </m:oMath>
      </m:oMathPara>
    </w:p>
    <w:p>
      <w:pPr>
        <w:pStyle w:val="FirstParagraph"/>
      </w:pPr>
      <w:r>
        <w:rPr>
          <w:rFonts w:ascii="Times New Roman" w:hAnsi="Times New Roman"/>
        </w:rPr>
        <w:t xml:space="preserve">La durée de vie résiduelle est calculée par :</w:t>
      </w:r>
    </w:p>
    <w:p>
      <w:pPr>
        <w:pStyle w:val="BodyText"/>
      </w:pPr>
      <m:oMathPara>
        <m:oMathParaPr>
          <m:jc m:val="center"/>
        </m:oMathParaPr>
        <m:oMath>
          <m:r>
            <m:t>R</m:t>
          </m:r>
          <m:r>
            <m:t>U</m:t>
          </m:r>
          <m:r>
            <m:t>L</m:t>
          </m:r>
          <m:r>
            <m:t> </m:t>
          </m:r>
          <m:r>
            <m:rPr>
              <m:sty m:val="p"/>
            </m:rPr>
            <m:t>(</m:t>
          </m:r>
          <m:r>
            <m:t>a</m:t>
          </m:r>
          <m:r>
            <m:t>n</m:t>
          </m:r>
          <m:r>
            <m:t>s</m:t>
          </m:r>
          <m:r>
            <m:rPr>
              <m:sty m:val="p"/>
            </m:rPr>
            <m:t>)</m:t>
          </m:r>
          <m:r>
            <m:rPr>
              <m:sty m:val="p"/>
            </m:rPr>
            <m:t>=</m:t>
          </m:r>
          <m:f>
            <m:fPr>
              <m:type m:val="bar"/>
            </m:fPr>
            <m:num>
              <m:sSub>
                <m:e>
                  <m:r>
                    <m:t>e</m:t>
                  </m:r>
                </m:e>
                <m:sub>
                  <m:r>
                    <m:t>m</m:t>
                  </m:r>
                  <m:r>
                    <m:t>e</m:t>
                  </m:r>
                  <m:r>
                    <m:t>s</m:t>
                  </m:r>
                  <m:r>
                    <m:t>u</m:t>
                  </m:r>
                  <m:r>
                    <m:t>r</m:t>
                  </m:r>
                  <m:r>
                    <m:t>é</m:t>
                  </m:r>
                </m:sub>
              </m:sSub>
              <m:r>
                <m:rPr>
                  <m:sty m:val="p"/>
                </m:rPr>
                <m:t>−</m:t>
              </m:r>
              <m:sSub>
                <m:e>
                  <m:r>
                    <m:t>e</m:t>
                  </m:r>
                </m:e>
                <m:sub>
                  <m:r>
                    <m:t>m</m:t>
                  </m:r>
                  <m:r>
                    <m:t>i</m:t>
                  </m:r>
                  <m:r>
                    <m:t>n</m:t>
                  </m:r>
                </m:sub>
              </m:sSub>
            </m:num>
            <m:den>
              <m:r>
                <m:t>C</m:t>
              </m:r>
              <m:r>
                <m:t>R</m:t>
              </m:r>
            </m:den>
          </m:f>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e_mesuré</w:t>
      </w:r>
      <w:r>
        <w:rPr>
          <w:rFonts w:ascii="Times New Roman" w:hAnsi="Times New Roman"/>
        </w:rPr>
        <w:t xml:space="preserve"> </w:t>
      </w:r>
      <w:r>
        <w:rPr>
          <w:rFonts w:ascii="Times New Roman" w:hAnsi="Times New Roman"/>
        </w:rPr>
        <w:t xml:space="preserve">= épaisseur de paroi mesurée (mm)</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e_min</w:t>
      </w:r>
      <w:r>
        <w:rPr>
          <w:rFonts w:ascii="Times New Roman" w:hAnsi="Times New Roman"/>
        </w:rPr>
        <w:t xml:space="preserve"> </w:t>
      </w:r>
      <w:r>
        <w:rPr>
          <w:rFonts w:ascii="Times New Roman" w:hAnsi="Times New Roman"/>
        </w:rPr>
        <w:t xml:space="preserve">= épaisseur minimale admissible selon ASME B31.3 (mm)</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CR</w:t>
      </w:r>
      <w:r>
        <w:rPr>
          <w:rFonts w:ascii="Times New Roman" w:hAnsi="Times New Roman"/>
        </w:rPr>
        <w:t xml:space="preserve"> </w:t>
      </w:r>
      <w:r>
        <w:rPr>
          <w:rFonts w:ascii="Times New Roman" w:hAnsi="Times New Roman"/>
        </w:rPr>
        <w:t xml:space="preserve">= taux de corrosion (mm/an)</w:t>
      </w:r>
    </w:p>
    <w:p>
      <w:pPr>
        <w:pStyle w:val="BodyText"/>
      </w:pPr>
      <w:r>
        <w:rPr>
          <w:rFonts w:ascii="Times New Roman" w:hAnsi="Times New Roman"/>
        </w:rPr>
        <w:t xml:space="preserve">Traditionnellement, le CR utilisé dans le calcul du RUL est une valeur historique (moyenne des mesures passées). La contribution de ce travail à la méthodologie RBI est de remplacer ce CR historique par un CR prédit par XGBoost (valeur prospective), permettant un RUL anticipatif qui intègre l’évolution probable des conditions opératoires — un RUL prospectif plutôt que rétrospectif.</w:t>
      </w:r>
    </w:p>
    <w:bookmarkEnd w:id="83"/>
    <w:bookmarkEnd w:id="84"/>
    <w:bookmarkStart w:id="88" w:name="X25c15a025c02bae5dc4af3ca74b094cd0b364c1"/>
    <w:p>
      <w:pPr>
        <w:pStyle w:val="Heading2"/>
      </w:pPr>
      <w:r>
        <w:rPr>
          <w:rFonts w:ascii="Times New Roman" w:hAnsi="Times New Roman"/>
        </w:rPr>
        <w:t xml:space="preserve">4.3 Fondements de l’apprentissage automatique supervisé</w:t>
      </w:r>
    </w:p>
    <w:bookmarkStart w:id="85" w:name="Xe139d48b885add8294de26a9c376406829aca6b"/>
    <w:p>
      <w:pPr>
        <w:pStyle w:val="Heading3"/>
      </w:pPr>
      <w:r>
        <w:rPr>
          <w:rFonts w:ascii="Times New Roman" w:hAnsi="Times New Roman"/>
        </w:rPr>
        <w:t xml:space="preserve">4.3.1 Régression supervisée et fonction de perte</w:t>
      </w:r>
    </w:p>
    <w:p>
      <w:pPr>
        <w:pStyle w:val="FirstParagraph"/>
      </w:pPr>
      <w:r>
        <w:rPr>
          <w:rFonts w:ascii="Times New Roman" w:hAnsi="Times New Roman"/>
        </w:rPr>
        <w:t xml:space="preserve">L’apprentissage automatique supervisé consiste à apprendre, à partir d’un jeu de données étiquetées (paires entrée-sortie connues), une fonction f qui, étant donné un vecteur d’entrée x (les features), prédit une sortie ŷ aussi proche que possible de la valeur réelle y. Lorsque la sortie est une variable continue — comme le taux de corrosion en mm/an — on parle de régression. Lorsqu’elle est catégorielle (par exemple : corrosion faible/moyenne/sévère), on parle de classification. Ce travail relève de la régression.</w:t>
      </w:r>
    </w:p>
    <w:p>
      <w:pPr>
        <w:pStyle w:val="BodyText"/>
      </w:pPr>
      <w:r>
        <w:rPr>
          <w:rFonts w:ascii="Times New Roman" w:hAnsi="Times New Roman"/>
        </w:rPr>
        <w:t xml:space="preserve">La qualité de la prédiction est mesurée par une fonction de perte L(y, ŷ). Les deux fonctions les plus courantes en régression sont l’erreur quadratique moyenne MSE = (1/n) Σ(yᵢ − ŷᵢ)², qui pénalise fortement les grandes erreurs (effet du carré), et l’erreur absolue moyenne MAE = (1/n) Σ|yᵢ − ŷᵢ|, plus robuste aux valeurs aberrantes et directement interprétable dans les unités de la variable cible (mm/an). Le coefficient de détermination R² = 1 − Σ(yᵢ − ŷᵢ)² / Σ(yᵢ − ȳ)² complète ces métriques en quantifiant la part de variance expliquée par le modèle. Un R² de 0,92 signifie que 92% de la variabilité du taux de corrosion est capturée. Dans ce travail, le triplet (MAE, RMSE, R²) sera systématiquement rapporté.</w:t>
      </w:r>
    </w:p>
    <w:bookmarkEnd w:id="85"/>
    <w:bookmarkStart w:id="86" w:name="Xefce8ba2d42623afd5ff021bf1c16021e104aa4"/>
    <w:p>
      <w:pPr>
        <w:pStyle w:val="Heading3"/>
      </w:pPr>
      <w:r>
        <w:rPr>
          <w:rFonts w:ascii="Times New Roman" w:hAnsi="Times New Roman"/>
        </w:rPr>
        <w:t xml:space="preserve">4.3.2 Compromis biais-variance et sur-apprentissage</w:t>
      </w:r>
    </w:p>
    <w:p>
      <w:pPr>
        <w:pStyle w:val="FirstParagraph"/>
      </w:pPr>
      <w:r>
        <w:rPr>
          <w:rFonts w:ascii="Times New Roman" w:hAnsi="Times New Roman"/>
        </w:rPr>
        <w:t xml:space="preserve">Le défi fondamental de l’apprentissage supervisé est le compromis biais-variance (Hastie et al., 2009). L’erreur totale de prédiction se décompose en trois termes : le biais (écart systématique dû à un modèle trop simple), la variance (sensibilité aux fluctuations de l’échantillon d’entraînement, due à un modèle trop complexe) et le bruit irréductible (variabilité intrinsèque des mesures).</w:t>
      </w:r>
    </w:p>
    <w:p>
      <w:pPr>
        <w:pStyle w:val="BodyText"/>
      </w:pPr>
      <w:r>
        <w:rPr>
          <w:rFonts w:ascii="Times New Roman" w:hAnsi="Times New Roman"/>
        </w:rPr>
        <w:t xml:space="preserve">Le sur-apprentissage (overfitting) survient lorsqu’un modèle mémorise le bruit des données d’entraînement plutôt que la relation sous-jacente. Il se manifeste par une performance excellente sur les données d’entraînement mais médiocre sur les données nouvelles. Dans le contexte de ce prototype, le bruit de mesure provient des fluctuations électroniques de l’HX711, des micro-variations de température ambiante et de l’évaporation partielle de la solution. La régularisation — pénalisation de la complexité du modèle — est le mécanisme principal pour contrôler le sur-apprentissage, point développé en détail dans la section consacrée à XGBoost (4.5.4).</w:t>
      </w:r>
    </w:p>
    <w:bookmarkEnd w:id="86"/>
    <w:bookmarkStart w:id="87" w:name="X91dd1af46316113bd5209cc1f6475f92f4af359"/>
    <w:p>
      <w:pPr>
        <w:pStyle w:val="Heading3"/>
      </w:pPr>
      <w:r>
        <w:rPr>
          <w:rFonts w:ascii="Times New Roman" w:hAnsi="Times New Roman"/>
        </w:rPr>
        <w:t xml:space="preserve">4.3.3 Méthodes d’ensemble : du bagging au boosting</w:t>
      </w:r>
    </w:p>
    <w:p>
      <w:pPr>
        <w:pStyle w:val="FirstParagraph"/>
      </w:pPr>
      <w:r>
        <w:rPr>
          <w:rFonts w:ascii="Times New Roman" w:hAnsi="Times New Roman"/>
        </w:rPr>
        <w:t xml:space="preserve">Les méthodes d’ensemble améliorent les performances en combinant les prédictions de plusieurs modèles de base, typiquement des arbres de décision. Deux paradigmes fondamentaux structurent ce domaine.</w:t>
      </w:r>
    </w:p>
    <w:p>
      <w:pPr>
        <w:pStyle w:val="BodyText"/>
      </w:pPr>
      <w:r>
        <w:rPr>
          <w:rFonts w:ascii="Times New Roman" w:hAnsi="Times New Roman"/>
        </w:rPr>
        <w:t xml:space="preserve">Le bagging (Bootstrap Aggregating, Breiman, 1996) entraîne plusieurs arbres en parallèle sur des sous-échantillons aléatoires des données, puis moyenne leurs prédictions. La forêt aléatoire (Random Forest, Breiman, 2001) étend le bagging en ajoutant une sélection aléatoire des features à chaque nœud, ce qui décorrèle les arbres et réduit la variance globale. Le bagging réduit principalement la variance sans affecter significativement le biais.</w:t>
      </w:r>
    </w:p>
    <w:p>
      <w:pPr>
        <w:pStyle w:val="BodyText"/>
      </w:pPr>
      <w:r>
        <w:rPr>
          <w:rFonts w:ascii="Times New Roman" w:hAnsi="Times New Roman"/>
        </w:rPr>
        <w:t xml:space="preserve">Le boosting (Freund et Schapire, 1997 ; Friedman, 2001) entraîne les arbres en séquence : chaque nouvel arbre se concentre spécifiquement sur les erreurs commises par les précédents. Cette construction séquentielle réduit simultanément le biais et la variance, ce qui explique la supériorité systématique du boosting sur le bagging pour les données tabulaires structurées — fait établi par de nombreux benchmarks (Grinsztajn et al., 2022). Le gradient boosting (Friedman, 2001) formalise cette construction itérative comme une descente de gradient dans l’espace fonctionnel, cadre théorique développé en détail à la section 4.5.3.</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Le choix entre Random Forest et XGBoost pour ce travail n’est pas arbitraire : la Random Forest est robuste mais ne minimise pas activement le biais résiduel. XGBoost, par sa construction séquentielle corrigeant les erreurs, est mieux adapté à la prédiction précise d’une variable continue (CR en mm/an) à partir de features fortement auto-corrélées temporellement.</w:t>
      </w:r>
    </w:p>
    <w:bookmarkEnd w:id="87"/>
    <w:bookmarkEnd w:id="88"/>
    <w:bookmarkStart w:id="89" w:name="X756ea7b79cc7eb4fb4541281c051f04e6b93bc2"/>
    <w:p>
      <w:pPr>
        <w:pStyle w:val="Heading2"/>
      </w:pPr>
      <w:r>
        <w:rPr>
          <w:rFonts w:ascii="Times New Roman" w:hAnsi="Times New Roman"/>
        </w:rPr>
        <w:t xml:space="preserve">4.4 État de l’art — ML appliqué à la corrosion (2015–2024)</w:t>
      </w:r>
    </w:p>
    <w:p>
      <w:pPr>
        <w:pStyle w:val="FirstParagraph"/>
      </w:pPr>
      <w:r>
        <w:rPr>
          <w:rFonts w:ascii="Times New Roman" w:hAnsi="Times New Roman"/>
        </w:rPr>
        <w:t xml:space="preserve">L’application du machine learning à la prédiction de la corrosion est un domaine de recherche en croissance rapide. Une revue de la littérature des dix dernières années permet d’identifier les approches dominantes et leurs performances comparatives.</w:t>
      </w:r>
    </w:p>
    <w:p>
      <w:pPr>
        <w:pStyle w:val="BodyText"/>
      </w:pPr>
      <w:r>
        <w:rPr>
          <w:rFonts w:ascii="Times New Roman" w:hAnsi="Times New Roman"/>
        </w:rPr>
        <w:t xml:space="preserve">Les premières applications ML à la corrosion ont utilisé les réseaux de neurones artificiels (ANN) pour modéliser la relation non-linéaire entre les paramètres physico-chimiques et le taux de corrosion (Caleyo et al., 2009 ; Ossai et al., 2015). Ces modèles ont démontré une supériorité par rapport aux modèles physiques purs (de Waard et Milliams) en présence de données hétérogènes, mais souffrent d’un manque d’interprétabilité — problème critique pour les ingénieurs de corrosion qui doivent justifier leurs décisions d’inspection.</w:t>
      </w:r>
    </w:p>
    <w:p>
      <w:pPr>
        <w:pStyle w:val="BodyText"/>
      </w:pPr>
      <w:r>
        <w:rPr>
          <w:rFonts w:ascii="Times New Roman" w:hAnsi="Times New Roman"/>
        </w:rPr>
        <w:t xml:space="preserve">Les forêts aléatoires (Random Forest) et les machines à vecteurs de support (SVM) ont ensuite été appliquées avec succès à la classification du risque de corrosion et à la prédiction des défaillances de pipelines (Xie et Tian, 2018 ; Almutairi et al., 2020). Ces méthodes offrent une meilleure robustesse face au bruit de mesure, mais leurs performances sur données tabulaires sont généralement inférieures au gradient boosting.</w:t>
      </w:r>
    </w:p>
    <w:p>
      <w:pPr>
        <w:pStyle w:val="BodyText"/>
      </w:pPr>
      <w:r>
        <w:rPr>
          <w:rFonts w:ascii="Times New Roman" w:hAnsi="Times New Roman"/>
        </w:rPr>
        <w:t xml:space="preserve">Les modèles LSTM (Long Short-Term Memory) ont été proposés pour exploiter la structure temporelle des séries de mesures de corrosion (Pidaparti et al., 2021). Bien que théoriquement adaptés aux données séquentielles, ils nécessitent un volume de données important (&gt;10 000 points) et présentent une sensibilité élevée aux hyperparamètres, ce qui limite leur applicabilité dans des contextes à données restreintes comme ce prototype.</w:t>
      </w:r>
    </w:p>
    <w:p>
      <w:pPr>
        <w:pStyle w:val="BodyText"/>
      </w:pPr>
      <w:r>
        <w:rPr>
          <w:rFonts w:ascii="Times New Roman" w:hAnsi="Times New Roman"/>
        </w:rPr>
        <w:t xml:space="preserve">Le gradient boosting, et particulièrement XGBoost (Chen et Guestrin, 2016), s’est imposé comme la méthode de référence pour la prédiction sur données tabulaires industrielles dans de nombreux benchmarks (Kaggle, études comparatives). Son application à la prédiction de corrosion a été validée par plusieurs études récentes (Li et al., 2022 ; Soomro et al., 2023) qui rapportent des performances supérieures aux ANN et RF sur des jeux de données de taille limitée (&lt;5 000 points).</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ascii="Times New Roman" w:hAnsi="Times New Roman"/>
                <w:b/>
                <w:sz w:val="20"/>
              </w:rPr>
              <w:t xml:space="preserve">Auteurs (année)</w:t>
            </w:r>
          </w:p>
        </w:tc>
        <w:tc>
          <w:tcPr/>
          <w:p>
            <w:pPr>
              <w:pStyle w:val="Compact"/>
              <w:jc w:val="left"/>
            </w:pPr>
            <w:r>
              <w:rPr>
                <w:rFonts w:ascii="Times New Roman" w:hAnsi="Times New Roman"/>
                <w:b/>
                <w:sz w:val="20"/>
              </w:rPr>
              <w:t xml:space="preserve">Méthode</w:t>
            </w:r>
          </w:p>
        </w:tc>
        <w:tc>
          <w:tcPr/>
          <w:p>
            <w:pPr>
              <w:pStyle w:val="Compact"/>
              <w:jc w:val="left"/>
            </w:pPr>
            <w:r>
              <w:rPr>
                <w:rFonts w:ascii="Times New Roman" w:hAnsi="Times New Roman"/>
                <w:b/>
                <w:sz w:val="20"/>
              </w:rPr>
              <w:t xml:space="preserve">Données</w:t>
            </w:r>
          </w:p>
        </w:tc>
        <w:tc>
          <w:tcPr/>
          <w:p>
            <w:pPr>
              <w:pStyle w:val="Compact"/>
              <w:jc w:val="left"/>
            </w:pPr>
            <w:r>
              <w:rPr>
                <w:rFonts w:ascii="Times New Roman" w:hAnsi="Times New Roman"/>
                <w:b/>
                <w:sz w:val="20"/>
              </w:rPr>
              <w:t xml:space="preserve">Cible</w:t>
            </w:r>
          </w:p>
        </w:tc>
        <w:tc>
          <w:tcPr/>
          <w:p>
            <w:pPr>
              <w:pStyle w:val="Compact"/>
              <w:jc w:val="left"/>
            </w:pPr>
            <w:r>
              <w:rPr>
                <w:rFonts w:ascii="Times New Roman" w:hAnsi="Times New Roman"/>
                <w:b/>
                <w:sz w:val="20"/>
              </w:rPr>
              <w:t xml:space="preserve">Performance</w:t>
            </w:r>
          </w:p>
        </w:tc>
      </w:tr>
      <w:tr>
        <w:tc>
          <w:tcPr/>
          <w:p>
            <w:pPr>
              <w:pStyle w:val="Compact"/>
              <w:jc w:val="left"/>
            </w:pPr>
            <w:r>
              <w:rPr>
                <w:rFonts w:ascii="Times New Roman" w:hAnsi="Times New Roman"/>
                <w:sz w:val="20"/>
              </w:rPr>
              <w:t xml:space="preserve">Ossai et al., 2015</w:t>
            </w:r>
          </w:p>
        </w:tc>
        <w:tc>
          <w:tcPr/>
          <w:p>
            <w:pPr>
              <w:pStyle w:val="Compact"/>
              <w:jc w:val="left"/>
            </w:pPr>
            <w:r>
              <w:rPr>
                <w:rFonts w:ascii="Times New Roman" w:hAnsi="Times New Roman"/>
                <w:sz w:val="20"/>
              </w:rPr>
              <w:t xml:space="preserve">ANN (MLP)</w:t>
            </w:r>
          </w:p>
        </w:tc>
        <w:tc>
          <w:tcPr/>
          <w:p>
            <w:pPr>
              <w:pStyle w:val="Compact"/>
              <w:jc w:val="left"/>
            </w:pPr>
            <w:r>
              <w:rPr>
                <w:rFonts w:ascii="Times New Roman" w:hAnsi="Times New Roman"/>
                <w:sz w:val="20"/>
              </w:rPr>
              <w:t xml:space="preserve">Pipeline inspection (ILI)</w:t>
            </w:r>
          </w:p>
        </w:tc>
        <w:tc>
          <w:tcPr/>
          <w:p>
            <w:pPr>
              <w:pStyle w:val="Compact"/>
              <w:jc w:val="left"/>
            </w:pPr>
            <w:r>
              <w:rPr>
                <w:rFonts w:ascii="Times New Roman" w:hAnsi="Times New Roman"/>
                <w:sz w:val="20"/>
              </w:rPr>
              <w:t xml:space="preserve">Profondeur piqûres</w:t>
            </w:r>
          </w:p>
        </w:tc>
        <w:tc>
          <w:tcPr/>
          <w:p>
            <w:pPr>
              <w:pStyle w:val="Compact"/>
              <w:jc w:val="left"/>
            </w:pPr>
            <w:r>
              <w:rPr>
                <w:rFonts w:ascii="Times New Roman" w:hAnsi="Times New Roman"/>
                <w:sz w:val="20"/>
              </w:rPr>
              <w:t xml:space="preserve">R² = 0,84</w:t>
            </w:r>
          </w:p>
        </w:tc>
      </w:tr>
      <w:tr>
        <w:tc>
          <w:tcPr/>
          <w:p>
            <w:pPr>
              <w:pStyle w:val="Compact"/>
              <w:jc w:val="left"/>
            </w:pPr>
            <w:r>
              <w:rPr>
                <w:rFonts w:ascii="Times New Roman" w:hAnsi="Times New Roman"/>
                <w:sz w:val="20"/>
              </w:rPr>
              <w:t xml:space="preserve">Xie et Tian, 2018</w:t>
            </w:r>
          </w:p>
        </w:tc>
        <w:tc>
          <w:tcPr/>
          <w:p>
            <w:pPr>
              <w:pStyle w:val="Compact"/>
              <w:jc w:val="left"/>
            </w:pPr>
            <w:r>
              <w:rPr>
                <w:rFonts w:ascii="Times New Roman" w:hAnsi="Times New Roman"/>
                <w:sz w:val="20"/>
              </w:rPr>
              <w:t xml:space="preserve">RF + SVM</w:t>
            </w:r>
          </w:p>
        </w:tc>
        <w:tc>
          <w:tcPr/>
          <w:p>
            <w:pPr>
              <w:pStyle w:val="Compact"/>
              <w:jc w:val="left"/>
            </w:pPr>
            <w:r>
              <w:rPr>
                <w:rFonts w:ascii="Times New Roman" w:hAnsi="Times New Roman"/>
                <w:sz w:val="20"/>
              </w:rPr>
              <w:t xml:space="preserve">PHMSA pipeline incidents</w:t>
            </w:r>
          </w:p>
        </w:tc>
        <w:tc>
          <w:tcPr/>
          <w:p>
            <w:pPr>
              <w:pStyle w:val="Compact"/>
              <w:jc w:val="left"/>
            </w:pPr>
            <w:r>
              <w:rPr>
                <w:rFonts w:ascii="Times New Roman" w:hAnsi="Times New Roman"/>
                <w:sz w:val="20"/>
              </w:rPr>
              <w:t xml:space="preserve">Classification risque</w:t>
            </w:r>
          </w:p>
        </w:tc>
        <w:tc>
          <w:tcPr/>
          <w:p>
            <w:pPr>
              <w:pStyle w:val="Compact"/>
              <w:jc w:val="left"/>
            </w:pPr>
            <w:r>
              <w:rPr>
                <w:rFonts w:ascii="Times New Roman" w:hAnsi="Times New Roman"/>
                <w:sz w:val="20"/>
              </w:rPr>
              <w:t xml:space="preserve">Accuracy 89%</w:t>
            </w:r>
          </w:p>
        </w:tc>
      </w:tr>
      <w:tr>
        <w:tc>
          <w:tcPr/>
          <w:p>
            <w:pPr>
              <w:pStyle w:val="Compact"/>
              <w:jc w:val="left"/>
            </w:pPr>
            <w:r>
              <w:rPr>
                <w:rFonts w:ascii="Times New Roman" w:hAnsi="Times New Roman"/>
                <w:sz w:val="20"/>
              </w:rPr>
              <w:t xml:space="preserve">Almutairi et al., 2020</w:t>
            </w:r>
          </w:p>
        </w:tc>
        <w:tc>
          <w:tcPr/>
          <w:p>
            <w:pPr>
              <w:pStyle w:val="Compact"/>
              <w:jc w:val="left"/>
            </w:pPr>
            <w:r>
              <w:rPr>
                <w:rFonts w:ascii="Times New Roman" w:hAnsi="Times New Roman"/>
                <w:sz w:val="20"/>
              </w:rPr>
              <w:t xml:space="preserve">RF, SVM, ANN</w:t>
            </w:r>
          </w:p>
        </w:tc>
        <w:tc>
          <w:tcPr/>
          <w:p>
            <w:pPr>
              <w:pStyle w:val="Compact"/>
              <w:jc w:val="left"/>
            </w:pPr>
            <w:r>
              <w:rPr>
                <w:rFonts w:ascii="Times New Roman" w:hAnsi="Times New Roman"/>
                <w:sz w:val="20"/>
              </w:rPr>
              <w:t xml:space="preserve">Données terrain Aramco</w:t>
            </w:r>
          </w:p>
        </w:tc>
        <w:tc>
          <w:tcPr/>
          <w:p>
            <w:pPr>
              <w:pStyle w:val="Compact"/>
              <w:jc w:val="left"/>
            </w:pPr>
            <w:r>
              <w:rPr>
                <w:rFonts w:ascii="Times New Roman" w:hAnsi="Times New Roman"/>
                <w:sz w:val="20"/>
              </w:rPr>
              <w:t xml:space="preserve">CR (mm/an)</w:t>
            </w:r>
          </w:p>
        </w:tc>
        <w:tc>
          <w:tcPr/>
          <w:p>
            <w:pPr>
              <w:pStyle w:val="Compact"/>
              <w:jc w:val="left"/>
            </w:pPr>
            <w:r>
              <w:rPr>
                <w:rFonts w:ascii="Times New Roman" w:hAnsi="Times New Roman"/>
                <w:sz w:val="20"/>
              </w:rPr>
              <w:t xml:space="preserve">R² = 0,88 (RF)</w:t>
            </w:r>
          </w:p>
        </w:tc>
      </w:tr>
      <w:tr>
        <w:tc>
          <w:tcPr/>
          <w:p>
            <w:pPr>
              <w:pStyle w:val="Compact"/>
              <w:jc w:val="left"/>
            </w:pPr>
            <w:r>
              <w:rPr>
                <w:rFonts w:ascii="Times New Roman" w:hAnsi="Times New Roman"/>
                <w:sz w:val="20"/>
              </w:rPr>
              <w:t xml:space="preserve">Pidaparti et al., 2021</w:t>
            </w:r>
          </w:p>
        </w:tc>
        <w:tc>
          <w:tcPr/>
          <w:p>
            <w:pPr>
              <w:pStyle w:val="Compact"/>
              <w:jc w:val="left"/>
            </w:pPr>
            <w:r>
              <w:rPr>
                <w:rFonts w:ascii="Times New Roman" w:hAnsi="Times New Roman"/>
                <w:sz w:val="20"/>
              </w:rPr>
              <w:t xml:space="preserve">LSTM</w:t>
            </w:r>
          </w:p>
        </w:tc>
        <w:tc>
          <w:tcPr/>
          <w:p>
            <w:pPr>
              <w:pStyle w:val="Compact"/>
              <w:jc w:val="left"/>
            </w:pPr>
            <w:r>
              <w:rPr>
                <w:rFonts w:ascii="Times New Roman" w:hAnsi="Times New Roman"/>
                <w:sz w:val="20"/>
              </w:rPr>
              <w:t xml:space="preserve">Séries temporelles (labo)</w:t>
            </w:r>
          </w:p>
        </w:tc>
        <w:tc>
          <w:tcPr/>
          <w:p>
            <w:pPr>
              <w:pStyle w:val="Compact"/>
              <w:jc w:val="left"/>
            </w:pPr>
            <w:r>
              <w:rPr>
                <w:rFonts w:ascii="Times New Roman" w:hAnsi="Times New Roman"/>
                <w:sz w:val="20"/>
              </w:rPr>
              <w:t xml:space="preserve">CR (mm/an)</w:t>
            </w:r>
          </w:p>
        </w:tc>
        <w:tc>
          <w:tcPr/>
          <w:p>
            <w:pPr>
              <w:pStyle w:val="Compact"/>
              <w:jc w:val="left"/>
            </w:pPr>
            <w:r>
              <w:rPr>
                <w:rFonts w:ascii="Times New Roman" w:hAnsi="Times New Roman"/>
                <w:sz w:val="20"/>
              </w:rPr>
              <w:t xml:space="preserve">MAE = 0,08 mm/an</w:t>
            </w:r>
          </w:p>
        </w:tc>
      </w:tr>
      <w:tr>
        <w:tc>
          <w:tcPr/>
          <w:p>
            <w:pPr>
              <w:pStyle w:val="Compact"/>
              <w:jc w:val="left"/>
            </w:pPr>
            <w:r>
              <w:rPr>
                <w:rFonts w:ascii="Times New Roman" w:hAnsi="Times New Roman"/>
                <w:sz w:val="20"/>
              </w:rPr>
              <w:t xml:space="preserve">Li et al., 2022</w:t>
            </w:r>
          </w:p>
        </w:tc>
        <w:tc>
          <w:tcPr/>
          <w:p>
            <w:pPr>
              <w:pStyle w:val="Compact"/>
              <w:jc w:val="left"/>
            </w:pPr>
            <w:r>
              <w:rPr>
                <w:rFonts w:ascii="Times New Roman" w:hAnsi="Times New Roman"/>
                <w:sz w:val="20"/>
              </w:rPr>
              <w:t xml:space="preserve">XGBoost</w:t>
            </w:r>
          </w:p>
        </w:tc>
        <w:tc>
          <w:tcPr/>
          <w:p>
            <w:pPr>
              <w:pStyle w:val="Compact"/>
              <w:jc w:val="left"/>
            </w:pPr>
            <w:r>
              <w:rPr>
                <w:rFonts w:ascii="Times New Roman" w:hAnsi="Times New Roman"/>
                <w:sz w:val="20"/>
              </w:rPr>
              <w:t xml:space="preserve">Pipeline Gas (2 800 pts)</w:t>
            </w:r>
          </w:p>
        </w:tc>
        <w:tc>
          <w:tcPr/>
          <w:p>
            <w:pPr>
              <w:pStyle w:val="Compact"/>
              <w:jc w:val="left"/>
            </w:pPr>
            <w:r>
              <w:rPr>
                <w:rFonts w:ascii="Times New Roman" w:hAnsi="Times New Roman"/>
                <w:sz w:val="20"/>
              </w:rPr>
              <w:t xml:space="preserve">CR (mm/an)</w:t>
            </w:r>
          </w:p>
        </w:tc>
        <w:tc>
          <w:tcPr/>
          <w:p>
            <w:pPr>
              <w:pStyle w:val="Compact"/>
              <w:jc w:val="left"/>
            </w:pPr>
            <w:r>
              <w:rPr>
                <w:rFonts w:ascii="Times New Roman" w:hAnsi="Times New Roman"/>
                <w:sz w:val="20"/>
              </w:rPr>
              <w:t xml:space="preserve">R² = 0,93</w:t>
            </w:r>
          </w:p>
        </w:tc>
      </w:tr>
      <w:tr>
        <w:tc>
          <w:tcPr/>
          <w:p>
            <w:pPr>
              <w:pStyle w:val="Compact"/>
              <w:jc w:val="left"/>
            </w:pPr>
            <w:r>
              <w:rPr>
                <w:rFonts w:ascii="Times New Roman" w:hAnsi="Times New Roman"/>
                <w:sz w:val="20"/>
              </w:rPr>
              <w:t xml:space="preserve">Soomro et al., 2023</w:t>
            </w:r>
          </w:p>
        </w:tc>
        <w:tc>
          <w:tcPr/>
          <w:p>
            <w:pPr>
              <w:pStyle w:val="Compact"/>
              <w:jc w:val="left"/>
            </w:pPr>
            <w:r>
              <w:rPr>
                <w:rFonts w:ascii="Times New Roman" w:hAnsi="Times New Roman"/>
                <w:sz w:val="20"/>
              </w:rPr>
              <w:t xml:space="preserve">XGBoost + SHAP</w:t>
            </w:r>
          </w:p>
        </w:tc>
        <w:tc>
          <w:tcPr/>
          <w:p>
            <w:pPr>
              <w:pStyle w:val="Compact"/>
              <w:jc w:val="left"/>
            </w:pPr>
            <w:r>
              <w:rPr>
                <w:rFonts w:ascii="Times New Roman" w:hAnsi="Times New Roman"/>
                <w:sz w:val="20"/>
              </w:rPr>
              <w:t xml:space="preserve">Offshore (1 500 pts)</w:t>
            </w:r>
          </w:p>
        </w:tc>
        <w:tc>
          <w:tcPr/>
          <w:p>
            <w:pPr>
              <w:pStyle w:val="Compact"/>
              <w:jc w:val="left"/>
            </w:pPr>
            <w:r>
              <w:rPr>
                <w:rFonts w:ascii="Times New Roman" w:hAnsi="Times New Roman"/>
                <w:sz w:val="20"/>
              </w:rPr>
              <w:t xml:space="preserve">CR (mm/an)</w:t>
            </w:r>
          </w:p>
        </w:tc>
        <w:tc>
          <w:tcPr/>
          <w:p>
            <w:pPr>
              <w:pStyle w:val="Compact"/>
              <w:jc w:val="left"/>
            </w:pPr>
            <w:r>
              <w:rPr>
                <w:rFonts w:ascii="Times New Roman" w:hAnsi="Times New Roman"/>
                <w:sz w:val="20"/>
              </w:rPr>
              <w:t xml:space="preserve">R² = 0,92, MAE = 0,04</w:t>
            </w:r>
          </w:p>
        </w:tc>
      </w:tr>
      <w:tr>
        <w:tc>
          <w:tcPr/>
          <w:p>
            <w:pPr>
              <w:pStyle w:val="Compact"/>
              <w:jc w:val="left"/>
            </w:pPr>
            <w:r>
              <w:rPr>
                <w:rFonts w:ascii="Times New Roman" w:hAnsi="Times New Roman"/>
                <w:sz w:val="20"/>
              </w:rPr>
              <w:t xml:space="preserve">Ce travail (2026)</w:t>
            </w:r>
          </w:p>
        </w:tc>
        <w:tc>
          <w:tcPr/>
          <w:p>
            <w:pPr>
              <w:pStyle w:val="Compact"/>
              <w:jc w:val="left"/>
            </w:pPr>
            <w:r>
              <w:rPr>
                <w:rFonts w:ascii="Times New Roman" w:hAnsi="Times New Roman"/>
                <w:sz w:val="20"/>
              </w:rPr>
              <w:t xml:space="preserve">XGBoost</w:t>
            </w:r>
          </w:p>
        </w:tc>
        <w:tc>
          <w:tcPr/>
          <w:p>
            <w:pPr>
              <w:pStyle w:val="Compact"/>
              <w:jc w:val="left"/>
            </w:pPr>
            <w:r>
              <w:rPr>
                <w:rFonts w:ascii="Times New Roman" w:hAnsi="Times New Roman"/>
                <w:sz w:val="20"/>
              </w:rPr>
              <w:t xml:space="preserve">Labo DIY (4 000 pts)</w:t>
            </w:r>
          </w:p>
        </w:tc>
        <w:tc>
          <w:tcPr/>
          <w:p>
            <w:pPr>
              <w:pStyle w:val="Compact"/>
              <w:jc w:val="left"/>
            </w:pPr>
            <w:r>
              <w:rPr>
                <w:rFonts w:ascii="Times New Roman" w:hAnsi="Times New Roman"/>
                <w:sz w:val="20"/>
              </w:rPr>
              <w:t xml:space="preserve">CR à 48h (mm/an)</w:t>
            </w:r>
          </w:p>
        </w:tc>
        <w:tc>
          <w:tcPr/>
          <w:p>
            <w:pPr>
              <w:pStyle w:val="Compact"/>
              <w:jc w:val="left"/>
            </w:pPr>
            <w:r>
              <w:rPr>
                <w:rFonts w:ascii="Times New Roman" w:hAnsi="Times New Roman"/>
                <w:sz w:val="20"/>
              </w:rPr>
              <w:t xml:space="preserve">À mesurer</w:t>
            </w:r>
          </w:p>
        </w:tc>
      </w:tr>
    </w:tbl>
    <w:p>
      <w:pPr>
        <w:pStyle w:val="BodyText"/>
      </w:pPr>
      <w:r>
        <w:rPr>
          <w:rFonts w:ascii="Times New Roman" w:hAnsi="Times New Roman"/>
        </w:rPr>
        <w:t xml:space="preserve">Ce tableau met en évidence trois tendances : (1) la progression des performances avec l’évolution des méthodes (ANN → RF → XGBoost), (2) la supériorité systématique du gradient boosting sur les données tabulaires de taille limitée, et (3) l’absence quasi-totale de travaux combinant acquisition IoT low-cost et prédiction ML dans une boucle fermée intégrée — gap que ce travail vise à combler.</w:t>
      </w:r>
    </w:p>
    <w:bookmarkEnd w:id="89"/>
    <w:bookmarkStart w:id="94" w:name="Xaa2fcbf01ffdff4cfc28f3c0f5eca4511e10bfe"/>
    <w:p>
      <w:pPr>
        <w:pStyle w:val="Heading2"/>
      </w:pPr>
      <w:r>
        <w:rPr>
          <w:rFonts w:ascii="Times New Roman" w:hAnsi="Times New Roman"/>
        </w:rPr>
        <w:t xml:space="preserve">4.5 XGBoost — Fondements et mécanisme de décision</w:t>
      </w:r>
    </w:p>
    <w:bookmarkStart w:id="90" w:name="larbre-de-décision-brique-élémentaire"/>
    <w:p>
      <w:pPr>
        <w:pStyle w:val="Heading3"/>
      </w:pPr>
      <w:r>
        <w:rPr>
          <w:rFonts w:ascii="Times New Roman" w:hAnsi="Times New Roman"/>
        </w:rPr>
        <w:t xml:space="preserve">4.5.1 L’arbre de décision : brique élémentaire</w:t>
      </w:r>
    </w:p>
    <w:p>
      <w:pPr>
        <w:pStyle w:val="FirstParagraph"/>
      </w:pPr>
      <w:r>
        <w:rPr>
          <w:rFonts w:ascii="Times New Roman" w:hAnsi="Times New Roman"/>
        </w:rPr>
        <w:t xml:space="preserve">Tout algorithme de gradient boosting repose sur un modèle de base : l’arbre de décision. Un arbre de décision est une structure hiérarchique de règles binaires appliquées successivement aux variables d’entrée (features) pour aboutir à une prédiction. Chaque nœud interne teste une condition sur une feature (par exemple : delta_R_1h &gt; 0,004 ?) et oriente l’observation vers la branche gauche (condition vraie) ou droite (condition fausse). Les feuilles terminales contiennent la valeur prédite, calculée comme la moyenne des observations d’entraînement qui ont atteint cette feuille.</w:t>
      </w:r>
    </w:p>
    <w:p>
      <w:pPr>
        <w:pStyle w:val="BodyText"/>
      </w:pPr>
      <w:r>
        <w:rPr>
          <w:rFonts w:ascii="Times New Roman" w:hAnsi="Times New Roman"/>
        </w:rPr>
        <w:t xml:space="preserve">L’algorithme d’apprentissage d’un arbre cherche, à chaque nœud, le seuil de séparation qui minimise la variance des résidus dans chaque sous-groupe résultant (critère de réduction de variance pour la régression). Ce processus est répété récursivement jusqu’à atteindre une profondeur maximale (max_depth) ou un nombre minimal d’observations par feuille (min_child_weight).</w:t>
      </w:r>
    </w:p>
    <w:p>
      <w:pPr>
        <w:pStyle w:val="BodyText"/>
      </w:pPr>
      <w:r>
        <w:rPr>
          <w:rFonts w:ascii="Times New Roman" w:hAnsi="Times New Roman"/>
        </w:rPr>
        <w:t xml:space="preserve">La limitation fondamentale d’un arbre unique réside dans son compromis biais-variance : un arbre peu profond présente un biais élevé (sous-apprentissage — il ne capture pas les nuances des données) ; un arbre très profond présente une variance élevée (sur-apprentissage — il mémorise le bruit de mesure). Le boosting résout ce dilemme en combinant un grand nombre d’arbres peu profonds.</w:t>
      </w:r>
    </w:p>
    <w:bookmarkEnd w:id="90"/>
    <w:bookmarkStart w:id="91" w:name="X793263f4950abf2fe45802b78cb6228d6a197f6"/>
    <w:p>
      <w:pPr>
        <w:pStyle w:val="Heading3"/>
      </w:pPr>
      <w:r>
        <w:rPr>
          <w:rFonts w:ascii="Times New Roman" w:hAnsi="Times New Roman"/>
        </w:rPr>
        <w:t xml:space="preserve">4.5.2 Le boosting : correction itérative des erreurs</w:t>
      </w:r>
    </w:p>
    <w:p>
      <w:pPr>
        <w:pStyle w:val="FirstParagraph"/>
      </w:pPr>
      <w:r>
        <w:rPr>
          <w:rFonts w:ascii="Times New Roman" w:hAnsi="Times New Roman"/>
        </w:rPr>
        <w:t xml:space="preserve">Le boosting est une méthode d’apprentissage ensembliste qui construit séquentiellement une série d’apprenants faibles (arbres peu profonds), chaque apprenant ciblant spécifiquement les erreurs commises par l’ensemble des apprenants précédents. Formellement, la prédiction finale est une somme pondérée de K arbres :</w:t>
      </w:r>
    </w:p>
    <w:p>
      <w:pPr>
        <w:pStyle w:val="BodyText"/>
      </w:pPr>
      <m:oMathPara>
        <m:oMathParaPr>
          <m:jc m:val="center"/>
        </m:oMathParaPr>
        <m:oMath>
          <m:acc>
            <m:accPr>
              <m:chr m:val="̂"/>
            </m:accPr>
            <m:e>
              <m:r>
                <m:t>y</m:t>
              </m:r>
            </m:e>
          </m:acc>
          <m:r>
            <m:rPr>
              <m:sty m:val="p"/>
            </m:rPr>
            <m:t>=</m:t>
          </m:r>
          <m:nary>
            <m:naryPr>
              <m:chr m:val="∑"/>
              <m:limLoc m:val="undOvr"/>
              <m:subHide m:val="off"/>
              <m:supHide m:val="off"/>
            </m:naryPr>
            <m:sub>
              <m:r>
                <m:t>k</m:t>
              </m:r>
              <m:r>
                <m:rPr>
                  <m:sty m:val="p"/>
                </m:rPr>
                <m:t>=</m:t>
              </m:r>
              <m:r>
                <m:t>1</m:t>
              </m:r>
            </m:sub>
            <m:sup>
              <m:r>
                <m:t>K</m:t>
              </m:r>
            </m:sup>
            <m:e>
              <m:r>
                <m:t>η</m:t>
              </m:r>
            </m:e>
          </m:nary>
          <m:r>
            <m:rPr>
              <m:sty m:val="p"/>
            </m:rPr>
            <m:t>⋅</m:t>
          </m:r>
          <m:sSub>
            <m:e>
              <m:r>
                <m:t>f</m:t>
              </m:r>
            </m:e>
            <m:sub>
              <m:r>
                <m:t>k</m:t>
              </m:r>
            </m:sub>
          </m:sSub>
          <m:r>
            <m:rPr>
              <m:sty m:val="p"/>
            </m:rPr>
            <m:t>(</m:t>
          </m:r>
          <m:r>
            <m:t>x</m:t>
          </m:r>
          <m:r>
            <m:rPr>
              <m:sty m:val="p"/>
            </m:rPr>
            <m:t>)</m:t>
          </m:r>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ŷ</w:t>
      </w:r>
      <w:r>
        <w:rPr>
          <w:rFonts w:ascii="Times New Roman" w:hAnsi="Times New Roman"/>
        </w:rPr>
        <w:t xml:space="preserve"> </w:t>
      </w:r>
      <w:r>
        <w:rPr>
          <w:rFonts w:ascii="Times New Roman" w:hAnsi="Times New Roman"/>
        </w:rPr>
        <w:t xml:space="preserve">= prédiction finale (taux de corrosion en mm/an)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fk(x)</w:t>
      </w:r>
      <w:r>
        <w:rPr>
          <w:rFonts w:ascii="Times New Roman" w:hAnsi="Times New Roman"/>
        </w:rPr>
        <w:t xml:space="preserve"> </w:t>
      </w:r>
      <w:r>
        <w:rPr>
          <w:rFonts w:ascii="Times New Roman" w:hAnsi="Times New Roman"/>
        </w:rPr>
        <w:t xml:space="preserve">= prédiction du k-ième arbre pour l’observation x</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η</w:t>
      </w:r>
      <w:r>
        <w:rPr>
          <w:rFonts w:ascii="Times New Roman" w:hAnsi="Times New Roman"/>
        </w:rPr>
        <w:t xml:space="preserve"> </w:t>
      </w:r>
      <w:r>
        <w:rPr>
          <w:rFonts w:ascii="Times New Roman" w:hAnsi="Times New Roman"/>
        </w:rPr>
        <w:t xml:space="preserve">= learning rate — contrôle la contribution de chaque arbre (typiquement 0,05–0,3)</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K</w:t>
      </w:r>
      <w:r>
        <w:rPr>
          <w:rFonts w:ascii="Times New Roman" w:hAnsi="Times New Roman"/>
        </w:rPr>
        <w:t xml:space="preserve"> </w:t>
      </w:r>
      <w:r>
        <w:rPr>
          <w:rFonts w:ascii="Times New Roman" w:hAnsi="Times New Roman"/>
        </w:rPr>
        <w:t xml:space="preserve">= nombre total d’arbres (n_estimators, typiquement 100–500)</w:t>
      </w:r>
    </w:p>
    <w:p>
      <w:pPr>
        <w:pStyle w:val="BodyText"/>
      </w:pPr>
      <w:r>
        <w:rPr>
          <w:rFonts w:ascii="Times New Roman" w:hAnsi="Times New Roman"/>
        </w:rPr>
        <w:t xml:space="preserve">Le processus d’entraînement procède comme suit. À l’initialisation, la prédiction courante ŷ⁽⁰⁾ est fixée à la moyenne de la variable cible sur l’ensemble d’entraînement. À chaque itération k, le résidu rᵢ = yᵢ − ŷᵢ⁽ᵏ⁻¹⁾ est calculé pour chaque observation. Un nouvel arbre fk est entraîné à prédire ces résidus. La prédiction est ensuite mise à jour : ŷᵢ⁽ᵏ⁾ = ŷᵢ⁽ᵏ⁻¹⁾ + η · fk(xᵢ). L’arbre k ne prédit donc pas le taux de corrosion directement — il prédit l’écart entre la réalité et ce que les arbres précédents ont déjà estimé.</w:t>
      </w:r>
    </w:p>
    <w:p>
      <w:pPr>
        <w:pStyle w:val="BodyText"/>
      </w:pPr>
      <w:r>
        <w:rPr>
          <w:rFonts w:ascii="Times New Roman" w:hAnsi="Times New Roman"/>
        </w:rPr>
        <w:t xml:space="preserve">À titre d’illustration sur les données de corrosion : supposons que la prédiction initiale soit ŷ⁽⁰⁾ = 0,16 mm/an (moyenne de la phase de référence). Pour une observation réelle CR = 0,31 mm/an (phase corrosion intense), le résidu est r = +0,15. L’Arbre 1 apprend que lorsque delta_R_1h est élevé et la température dépasse 48°C, le résidu est fortement positif. Il contribue +0,12. L’Arbre 2 capture le résidu résiduel +0,03, et ainsi de suite jusqu’à convergence.</w:t>
      </w:r>
    </w:p>
    <w:bookmarkEnd w:id="91"/>
    <w:bookmarkStart w:id="92" w:name="du-boosting-au-gradient-boosting"/>
    <w:p>
      <w:pPr>
        <w:pStyle w:val="Heading3"/>
      </w:pPr>
      <w:r>
        <w:rPr>
          <w:rFonts w:ascii="Times New Roman" w:hAnsi="Times New Roman"/>
        </w:rPr>
        <w:t xml:space="preserve">4.5.3 Du boosting au gradient boosting</w:t>
      </w:r>
    </w:p>
    <w:p>
      <w:pPr>
        <w:pStyle w:val="FirstParagraph"/>
      </w:pPr>
      <w:r>
        <w:rPr>
          <w:rFonts w:ascii="Times New Roman" w:hAnsi="Times New Roman"/>
        </w:rPr>
        <w:t xml:space="preserve">Friedman (2001) a généralisé le boosting en formulant chaque itération comme une étape de descente de gradient dans l’espace fonctionnel. L’idée centrale est que le résidu rᵢ = yᵢ − ŷᵢ est mathématiquement équivalent au gradient négatif de la fonction de perte MSE par rapport à la prédiction courante :</w:t>
      </w:r>
    </w:p>
    <w:p>
      <w:pPr>
        <w:pStyle w:val="BodyText"/>
      </w:pPr>
      <m:oMathPara>
        <m:oMathParaPr>
          <m:jc m:val="center"/>
        </m:oMathParaPr>
        <m:oMath>
          <m:sSub>
            <m:e>
              <m:r>
                <m:t>r</m:t>
              </m:r>
            </m:e>
            <m:sub>
              <m:r>
                <m:t>i</m:t>
              </m:r>
            </m:sub>
          </m:sSub>
          <m:r>
            <m:rPr>
              <m:sty m:val="p"/>
            </m:rPr>
            <m:t>=</m:t>
          </m:r>
          <m:r>
            <m:rPr>
              <m:sty m:val="p"/>
            </m:rPr>
            <m:t>−</m:t>
          </m:r>
          <m:f>
            <m:fPr>
              <m:type m:val="bar"/>
            </m:fPr>
            <m:num>
              <m:r>
                <m:rPr>
                  <m:sty m:val="p"/>
                </m:rPr>
                <m:t>∂</m:t>
              </m:r>
              <m:r>
                <m:t>L</m:t>
              </m:r>
              <m:r>
                <m:rPr>
                  <m:sty m:val="p"/>
                </m:rPr>
                <m:t>(</m:t>
              </m:r>
              <m:sSub>
                <m:e>
                  <m:r>
                    <m:t>y</m:t>
                  </m:r>
                </m:e>
                <m:sub>
                  <m:r>
                    <m:t>i</m:t>
                  </m:r>
                </m:sub>
              </m:sSub>
              <m:r>
                <m:rPr>
                  <m:sty m:val="p"/>
                </m:rPr>
                <m:t>,</m:t>
              </m:r>
              <m:sSub>
                <m:e>
                  <m:acc>
                    <m:accPr>
                      <m:chr m:val="̂"/>
                    </m:accPr>
                    <m:e>
                      <m:r>
                        <m:t>y</m:t>
                      </m:r>
                    </m:e>
                  </m:acc>
                </m:e>
                <m:sub>
                  <m:r>
                    <m:t>i</m:t>
                  </m:r>
                </m:sub>
              </m:sSub>
              <m:r>
                <m:rPr>
                  <m:sty m:val="p"/>
                </m:rPr>
                <m:t>)</m:t>
              </m:r>
            </m:num>
            <m:den>
              <m:r>
                <m:rPr>
                  <m:sty m:val="p"/>
                </m:rPr>
                <m:t>∂</m:t>
              </m:r>
              <m:sSub>
                <m:e>
                  <m:acc>
                    <m:accPr>
                      <m:chr m:val="̂"/>
                    </m:accPr>
                    <m:e>
                      <m:r>
                        <m:t>y</m:t>
                      </m:r>
                    </m:e>
                  </m:acc>
                </m:e>
                <m:sub>
                  <m:r>
                    <m:t>i</m:t>
                  </m:r>
                </m:sub>
              </m:sSub>
            </m:den>
          </m:f>
          <m:r>
            <m:rPr>
              <m:sty m:val="p"/>
            </m:rPr>
            <m:t>=</m:t>
          </m:r>
          <m:sSub>
            <m:e>
              <m:r>
                <m:t>y</m:t>
              </m:r>
            </m:e>
            <m:sub>
              <m:r>
                <m:t>i</m:t>
              </m:r>
            </m:sub>
          </m:sSub>
          <m:r>
            <m:rPr>
              <m:sty m:val="p"/>
            </m:rPr>
            <m:t>−</m:t>
          </m:r>
          <m:sSub>
            <m:e>
              <m:acc>
                <m:accPr>
                  <m:chr m:val="̂"/>
                </m:accPr>
                <m:e>
                  <m:r>
                    <m:t>y</m:t>
                  </m:r>
                </m:e>
              </m:acc>
            </m:e>
            <m:sub>
              <m:r>
                <m:t>i</m:t>
              </m:r>
            </m:sub>
          </m:sSub>
          <m:r>
            <m:t> </m:t>
          </m:r>
          <m:r>
            <m:rPr>
              <m:nor/>
              <m:sty m:val="p"/>
            </m:rPr>
            <m:t>(pour L = MSE)</m:t>
          </m:r>
        </m:oMath>
      </m:oMathPara>
    </w:p>
    <w:p>
      <w:pPr>
        <w:pStyle w:val="FirstParagraph"/>
      </w:pPr>
      <w:r>
        <w:rPr>
          <w:rFonts w:ascii="Times New Roman" w:hAnsi="Times New Roman"/>
        </w:rPr>
        <w:t xml:space="preserve">Cette reformulation est décisive car elle permet de substituer la MSE par toute fonction de perte différentiable (MAE, Huber, quantile), chaque choix modifiant la sensibilité du modèle aux valeurs extrêmes. En pratique pour la prédiction du taux de corrosion, la MSE est préférée car elle pénalise davantage les grandes erreurs — une sous-estimation sévère du taux de corrosion étant plus dangereuse qu’une légère surestimation.</w:t>
      </w:r>
    </w:p>
    <w:bookmarkEnd w:id="92"/>
    <w:bookmarkStart w:id="93" w:name="apports-spécifiques-de-xgboost"/>
    <w:p>
      <w:pPr>
        <w:pStyle w:val="Heading3"/>
      </w:pPr>
      <w:r>
        <w:rPr>
          <w:rFonts w:ascii="Times New Roman" w:hAnsi="Times New Roman"/>
        </w:rPr>
        <w:t xml:space="preserve">4.5.4 Apports spécifiques de XGBoost</w:t>
      </w:r>
    </w:p>
    <w:p>
      <w:pPr>
        <w:pStyle w:val="FirstParagraph"/>
      </w:pPr>
      <w:r>
        <w:rPr>
          <w:rFonts w:ascii="Times New Roman" w:hAnsi="Times New Roman"/>
        </w:rPr>
        <w:t xml:space="preserve">XGBoost (Chen et Guestrin, 2016) améliore le gradient boosting classique sur trois points fondamentaux qui le rendent particulièrement robuste dans les contextes industriels à données limitées et bruitées.</w:t>
      </w:r>
    </w:p>
    <w:p>
      <w:pPr>
        <w:pStyle w:val="BodyText"/>
      </w:pPr>
      <w:r>
        <w:rPr>
          <w:rFonts w:ascii="Times New Roman" w:hAnsi="Times New Roman"/>
        </w:rPr>
        <w:t xml:space="preserve">Premièrement, la fonction objectif intègre un terme de régularisation explicite qui pénalise la complexité de chaque arbre :</w:t>
      </w:r>
    </w:p>
    <w:p>
      <w:pPr>
        <w:pStyle w:val="BodyText"/>
      </w:pPr>
      <m:oMathPara>
        <m:oMathParaPr>
          <m:jc m:val="center"/>
        </m:oMathParaPr>
        <m:oMath>
          <m:r>
            <m:t>O</m:t>
          </m:r>
          <m:r>
            <m:t>b</m:t>
          </m:r>
          <m:r>
            <m:t>j</m:t>
          </m:r>
          <m:r>
            <m:rPr>
              <m:sty m:val="p"/>
            </m:rPr>
            <m:t>=</m:t>
          </m:r>
          <m:nary>
            <m:naryPr>
              <m:chr m:val="∑"/>
              <m:limLoc m:val="undOvr"/>
              <m:subHide m:val="off"/>
              <m:supHide m:val="off"/>
            </m:naryPr>
            <m:sub>
              <m:r>
                <m:t>i</m:t>
              </m:r>
            </m:sub>
            <m:sup>
              <m:r>
                <m:t>n</m:t>
              </m:r>
            </m:sup>
            <m:e>
              <m:r>
                <m:t>L</m:t>
              </m:r>
            </m:e>
          </m:nary>
          <m:r>
            <m:rPr>
              <m:sty m:val="p"/>
            </m:rPr>
            <m:t>(</m:t>
          </m:r>
          <m:sSub>
            <m:e>
              <m:r>
                <m:t>y</m:t>
              </m:r>
            </m:e>
            <m:sub>
              <m:r>
                <m:t>i</m:t>
              </m:r>
            </m:sub>
          </m:sSub>
          <m:r>
            <m:rPr>
              <m:sty m:val="p"/>
            </m:rPr>
            <m:t>,</m:t>
          </m:r>
          <m:sSub>
            <m:e>
              <m:acc>
                <m:accPr>
                  <m:chr m:val="̂"/>
                </m:accPr>
                <m:e>
                  <m:r>
                    <m:t>y</m:t>
                  </m:r>
                </m:e>
              </m:acc>
            </m:e>
            <m:sub>
              <m:r>
                <m:t>i</m:t>
              </m:r>
            </m:sub>
          </m:sSub>
          <m:r>
            <m:rPr>
              <m:sty m:val="p"/>
            </m:rPr>
            <m:t>)</m:t>
          </m:r>
          <m:r>
            <m:rPr>
              <m:sty m:val="p"/>
            </m:rPr>
            <m:t>+</m:t>
          </m:r>
          <m:nary>
            <m:naryPr>
              <m:chr m:val="∑"/>
              <m:limLoc m:val="undOvr"/>
              <m:subHide m:val="off"/>
              <m:supHide m:val="off"/>
            </m:naryPr>
            <m:sub>
              <m:r>
                <m:t>k</m:t>
              </m:r>
            </m:sub>
            <m:sup>
              <m:r>
                <m:t>K</m:t>
              </m:r>
            </m:sup>
            <m:e>
              <m:r>
                <m:rPr>
                  <m:sty m:val="p"/>
                </m:rPr>
                <m:t>Ω</m:t>
              </m:r>
            </m:e>
          </m:nary>
          <m:r>
            <m:rPr>
              <m:sty m:val="p"/>
            </m:rPr>
            <m:t>(</m:t>
          </m:r>
          <m:sSub>
            <m:e>
              <m:r>
                <m:t>f</m:t>
              </m:r>
            </m:e>
            <m:sub>
              <m:r>
                <m:t>k</m:t>
              </m:r>
            </m:sub>
          </m:sSub>
          <m:r>
            <m:rPr>
              <m:sty m:val="p"/>
            </m:rPr>
            <m:t>)</m:t>
          </m:r>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L(yi, ŷi)</w:t>
      </w:r>
      <w:r>
        <w:rPr>
          <w:rFonts w:ascii="Times New Roman" w:hAnsi="Times New Roman"/>
        </w:rPr>
        <w:t xml:space="preserve"> </w:t>
      </w:r>
      <w:r>
        <w:rPr>
          <w:rFonts w:ascii="Times New Roman" w:hAnsi="Times New Roman"/>
        </w:rPr>
        <w:t xml:space="preserve">= fonction de perte — MSE : (yi − ŷi)²</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Ω(fk)</w:t>
      </w:r>
      <w:r>
        <w:rPr>
          <w:rFonts w:ascii="Times New Roman" w:hAnsi="Times New Roman"/>
        </w:rPr>
        <w:t xml:space="preserve"> </w:t>
      </w:r>
      <w:r>
        <w:rPr>
          <w:rFonts w:ascii="Times New Roman" w:hAnsi="Times New Roman"/>
        </w:rPr>
        <w:t xml:space="preserve">= régularisation : γT + ½λ||w||² (T = nb feuilles, w = poids feuilles)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γ</w:t>
      </w:r>
      <w:r>
        <w:rPr>
          <w:rFonts w:ascii="Times New Roman" w:hAnsi="Times New Roman"/>
        </w:rPr>
        <w:t xml:space="preserve"> </w:t>
      </w:r>
      <w:r>
        <w:rPr>
          <w:rFonts w:ascii="Times New Roman" w:hAnsi="Times New Roman"/>
        </w:rPr>
        <w:t xml:space="preserve">= pénalise le nombre de feuilles — contrôle la complexité structurelle</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λ</w:t>
      </w:r>
      <w:r>
        <w:rPr>
          <w:rFonts w:ascii="Times New Roman" w:hAnsi="Times New Roman"/>
        </w:rPr>
        <w:t xml:space="preserve"> </w:t>
      </w:r>
      <w:r>
        <w:rPr>
          <w:rFonts w:ascii="Times New Roman" w:hAnsi="Times New Roman"/>
        </w:rPr>
        <w:t xml:space="preserve">= régularisation L2 sur les poids — réduit la sensibilité au bruit</w:t>
      </w:r>
    </w:p>
    <w:p>
      <w:pPr>
        <w:pStyle w:val="BodyText"/>
      </w:pPr>
      <w:r>
        <w:rPr>
          <w:rFonts w:ascii="Times New Roman" w:hAnsi="Times New Roman"/>
        </w:rPr>
        <w:t xml:space="preserve">Le paramètre γ pénalise le nombre de feuilles de chaque arbre : un arbre avec beaucoup de feuilles n’est retenu que si le gain en précision justifie sa complexité. Le paramètre λ applique une régularisation L2 sur les poids des feuilles, évitant que le modèle s’ajuste aux fluctuations parasites du signal de résistance (bruit électronique de l’HX711, variations de connectivité).</w:t>
      </w:r>
    </w:p>
    <w:p>
      <w:pPr>
        <w:pStyle w:val="BodyText"/>
      </w:pPr>
      <w:r>
        <w:rPr>
          <w:rFonts w:ascii="Times New Roman" w:hAnsi="Times New Roman"/>
        </w:rPr>
        <w:t xml:space="preserve">Deuxièmement, XGBoost implémente un élagage post-construction (pruning) basé sur un gain seuil. Contrairement au gradient boosting classique qui arrête la croissance de l’arbre dès qu’une division est jugée mauvaise, XGBoost construit l’arbre jusqu’à la profondeur maximale puis élague les branches dont le gain net est inférieur à γ. Cette stratégie globale évite de rejeter des divisions localement mauvaises mais globalement bénéfiques.</w:t>
      </w:r>
    </w:p>
    <w:p>
      <w:pPr>
        <w:pStyle w:val="BodyText"/>
      </w:pPr>
      <w:r>
        <w:rPr>
          <w:rFonts w:ascii="Times New Roman" w:hAnsi="Times New Roman"/>
        </w:rPr>
        <w:t xml:space="preserve">Troisièmement, XGBoost gère nativement les valeurs manquantes en apprenant automatiquement, à chaque nœud, dans quelle branche orienter les observations présentant une valeur NaN. Dans le contexte de ce prototype, des interruptions de connectivité WiFi de l’ESP8266 peuvent créer des lacunes dans les séries temporelles. XGBoost apprend que ces lacunes correspondent généralement à un contexte particulier (perte de signal en phase de forte corrosion, par exemple) et traite les NaN de manière cohérente plutôt que de rejeter ces observations.</w:t>
      </w:r>
    </w:p>
    <w:p>
      <w:pPr>
        <w:pStyle w:val="BodyText"/>
      </w:pPr>
      <w:r>
        <w:rPr>
          <w:rFonts w:ascii="Times New Roman" w:hAnsi="Times New Roman"/>
        </w:rPr>
        <w:t xml:space="preserve">Ces trois mécanismes combinés confèrent à XGBoost une robustesse particulière dans les contextes à données limitées (&lt;5 000 points) et bruitées, caractéristiques typiques des expérimentations en laboratoire. Chen et Guestrin (2016) ont validé ces propriétés sur 29 benchmarks de compétitions de machine learning, établissant XGBoost comme la méthode de référence pour les données tabulaires industrielles. Cette supériorité a été confirmée dans le domaine de la corrosion par Li et al. (2022) et Soomro et al. (2023), qui rapportent des R² supérieurs à 0,92 sur des jeux de données de moins de 3 000 points, nettement supérieurs aux ANN (R² ~ 0,85) et aux forêts aléatoires (R² ~ 0,88) dans les mêmes conditions.</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Dans ce travail, XGBoost est utilisé pour trois tâches complémentaires : (1) prédire le taux de corrosion instantané CR (mm/an) — régression continue, (2) estimer la durée de vie résiduelle RUL (heures) — régression sur données de run-to-failure, et (3) recommander la dose d’AC PROTECT 106 (imidazoline) via un moteur de règles post-modèle (CR &lt; 1 mm/an → aucune action ; 1–5 → 1 g/L ; 5–15 → 2 g/L ; &gt; 15 → 5 g/L + alerte). Les seuils de CR sont adaptés au milieu Detar Plus (corrosion rapide) et non aux seuils pipeline classiques.</w:t>
      </w:r>
    </w:p>
    <w:bookmarkEnd w:id="93"/>
    <w:bookmarkEnd w:id="94"/>
    <w:bookmarkStart w:id="95" w:name="X0ee78488b4dbf2bafebc1fe73a3ecd806ce3c03"/>
    <w:p>
      <w:pPr>
        <w:pStyle w:val="Heading2"/>
      </w:pPr>
      <w:r>
        <w:rPr>
          <w:rFonts w:ascii="Times New Roman" w:hAnsi="Times New Roman"/>
        </w:rPr>
        <w:t xml:space="preserve">4.6 Feature engineering pour séries temporelles de corrosion</w:t>
      </w:r>
    </w:p>
    <w:p>
      <w:pPr>
        <w:pStyle w:val="FirstParagraph"/>
      </w:pPr>
      <w:r>
        <w:rPr>
          <w:rFonts w:ascii="Times New Roman" w:hAnsi="Times New Roman"/>
        </w:rPr>
        <w:t xml:space="preserve">La mesure brute de résistance toutes les 10 minutes présente une autocorrélation temporelle : deux mesures consécutives sont proches car la corrosion, même rapide dans le Detar Plus, est un processus continu. Le feature engineering transforme ces données brutes en features porteuses d’information sur la</w:t>
      </w:r>
      <w:r>
        <w:rPr>
          <w:rFonts w:ascii="Times New Roman" w:hAnsi="Times New Roman"/>
        </w:rPr>
        <w:t xml:space="preserve"> </w:t>
      </w:r>
      <w:r>
        <w:rPr>
          <w:rFonts w:ascii="Times New Roman" w:hAnsi="Times New Roman"/>
          <w:b/>
          <w:bCs/>
        </w:rPr>
        <w:t xml:space="preserve">dynamique</w:t>
      </w:r>
      <w:r>
        <w:rPr>
          <w:rFonts w:ascii="Times New Roman" w:hAnsi="Times New Roman"/>
        </w:rPr>
        <w:t xml:space="preserve"> </w:t>
      </w:r>
      <w:r>
        <w:rPr>
          <w:rFonts w:ascii="Times New Roman" w:hAnsi="Times New Roman"/>
        </w:rPr>
        <w:t xml:space="preserve">et la</w:t>
      </w:r>
      <w:r>
        <w:rPr>
          <w:rFonts w:ascii="Times New Roman" w:hAnsi="Times New Roman"/>
        </w:rPr>
        <w:t xml:space="preserve"> </w:t>
      </w:r>
      <w:r>
        <w:rPr>
          <w:rFonts w:ascii="Times New Roman" w:hAnsi="Times New Roman"/>
          <w:b/>
          <w:bCs/>
        </w:rPr>
        <w:t xml:space="preserve">tendance</w:t>
      </w:r>
      <w:r>
        <w:rPr>
          <w:rFonts w:ascii="Times New Roman" w:hAnsi="Times New Roman"/>
        </w:rPr>
        <w:t xml:space="preserve"> </w:t>
      </w:r>
      <w:r>
        <w:rPr>
          <w:rFonts w:ascii="Times New Roman" w:hAnsi="Times New Roman"/>
        </w:rPr>
        <w:t xml:space="preserve">du phénomène, à plusieurs échelles temporelles :</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b/>
                <w:sz w:val="20"/>
              </w:rPr>
              <w:t xml:space="preserve">Feature</w:t>
            </w:r>
          </w:p>
        </w:tc>
        <w:tc>
          <w:tcPr/>
          <w:p>
            <w:pPr>
              <w:pStyle w:val="Compact"/>
              <w:jc w:val="left"/>
            </w:pPr>
            <w:r>
              <w:rPr>
                <w:rFonts w:ascii="Times New Roman" w:hAnsi="Times New Roman"/>
                <w:b/>
                <w:sz w:val="20"/>
              </w:rPr>
              <w:t xml:space="preserve">Calcul</w:t>
            </w:r>
          </w:p>
        </w:tc>
        <w:tc>
          <w:tcPr/>
          <w:p>
            <w:pPr>
              <w:pStyle w:val="Compact"/>
              <w:jc w:val="left"/>
            </w:pPr>
            <w:r>
              <w:rPr>
                <w:rFonts w:ascii="Times New Roman" w:hAnsi="Times New Roman"/>
                <w:b/>
                <w:sz w:val="20"/>
              </w:rPr>
              <w:t xml:space="preserve">Information portée</w:t>
            </w:r>
          </w:p>
        </w:tc>
      </w:tr>
      <w:tr>
        <w:tc>
          <w:tcPr/>
          <w:p>
            <w:pPr>
              <w:pStyle w:val="Compact"/>
              <w:jc w:val="left"/>
            </w:pPr>
            <w:r>
              <w:rPr>
                <w:rFonts w:ascii="Times New Roman" w:hAnsi="Times New Roman"/>
                <w:sz w:val="20"/>
              </w:rPr>
              <w:t xml:space="preserve">R_brute</w:t>
            </w:r>
          </w:p>
        </w:tc>
        <w:tc>
          <w:tcPr/>
          <w:p>
            <w:pPr>
              <w:pStyle w:val="Compact"/>
              <w:jc w:val="left"/>
            </w:pPr>
            <w:r>
              <w:rPr>
                <w:rFonts w:ascii="Times New Roman" w:hAnsi="Times New Roman"/>
                <w:sz w:val="20"/>
              </w:rPr>
              <w:t xml:space="preserve">Résistance mesurée (Ω)</w:t>
            </w:r>
          </w:p>
        </w:tc>
        <w:tc>
          <w:tcPr/>
          <w:p>
            <w:pPr>
              <w:pStyle w:val="Compact"/>
              <w:jc w:val="left"/>
            </w:pPr>
            <w:r>
              <w:rPr>
                <w:rFonts w:ascii="Times New Roman" w:hAnsi="Times New Roman"/>
                <w:sz w:val="20"/>
              </w:rPr>
              <w:t xml:space="preserve">État instantané de dégradation du fil</w:t>
            </w:r>
          </w:p>
        </w:tc>
      </w:tr>
      <w:tr>
        <w:tc>
          <w:tcPr/>
          <w:p>
            <w:pPr>
              <w:pStyle w:val="Compact"/>
              <w:jc w:val="left"/>
            </w:pPr>
            <w:r>
              <w:rPr>
                <w:rFonts w:ascii="Times New Roman" w:hAnsi="Times New Roman"/>
                <w:sz w:val="20"/>
              </w:rPr>
              <w:t xml:space="preserve">delta_R_1h</w:t>
            </w:r>
          </w:p>
        </w:tc>
        <w:tc>
          <w:tcPr/>
          <w:p>
            <w:pPr>
              <w:pStyle w:val="Compact"/>
              <w:jc w:val="left"/>
            </w:pPr>
            <w:r>
              <w:rPr>
                <w:rFonts w:ascii="Times New Roman" w:hAnsi="Times New Roman"/>
                <w:sz w:val="20"/>
              </w:rPr>
              <w:t xml:space="preserve">R(t) − R(t−6)</w:t>
            </w:r>
          </w:p>
        </w:tc>
        <w:tc>
          <w:tcPr/>
          <w:p>
            <w:pPr>
              <w:pStyle w:val="Compact"/>
              <w:jc w:val="left"/>
            </w:pPr>
            <w:r>
              <w:rPr>
                <w:rFonts w:ascii="Times New Roman" w:hAnsi="Times New Roman"/>
                <w:sz w:val="20"/>
              </w:rPr>
              <w:t xml:space="preserve">Vitesse de corrosion sur la dernière heure</w:t>
            </w:r>
          </w:p>
        </w:tc>
      </w:tr>
      <w:tr>
        <w:tc>
          <w:tcPr/>
          <w:p>
            <w:pPr>
              <w:pStyle w:val="Compact"/>
              <w:jc w:val="left"/>
            </w:pPr>
            <w:r>
              <w:rPr>
                <w:rFonts w:ascii="Times New Roman" w:hAnsi="Times New Roman"/>
                <w:sz w:val="20"/>
              </w:rPr>
              <w:t xml:space="preserve">delta_R_6h</w:t>
            </w:r>
          </w:p>
        </w:tc>
        <w:tc>
          <w:tcPr/>
          <w:p>
            <w:pPr>
              <w:pStyle w:val="Compact"/>
              <w:jc w:val="left"/>
            </w:pPr>
            <w:r>
              <w:rPr>
                <w:rFonts w:ascii="Times New Roman" w:hAnsi="Times New Roman"/>
                <w:sz w:val="20"/>
              </w:rPr>
              <w:t xml:space="preserve">R(t) − R(t−36)</w:t>
            </w:r>
          </w:p>
        </w:tc>
        <w:tc>
          <w:tcPr/>
          <w:p>
            <w:pPr>
              <w:pStyle w:val="Compact"/>
              <w:jc w:val="left"/>
            </w:pPr>
            <w:r>
              <w:rPr>
                <w:rFonts w:ascii="Times New Roman" w:hAnsi="Times New Roman"/>
                <w:sz w:val="20"/>
              </w:rPr>
              <w:t xml:space="preserve">Tendance à moyen terme (6 heures)</w:t>
            </w:r>
          </w:p>
        </w:tc>
      </w:tr>
      <w:tr>
        <w:tc>
          <w:tcPr/>
          <w:p>
            <w:pPr>
              <w:pStyle w:val="Compact"/>
              <w:jc w:val="left"/>
            </w:pPr>
            <w:r>
              <w:rPr>
                <w:rFonts w:ascii="Times New Roman" w:hAnsi="Times New Roman"/>
                <w:sz w:val="20"/>
              </w:rPr>
              <w:t xml:space="preserve">vitesse_CR</w:t>
            </w:r>
          </w:p>
        </w:tc>
        <w:tc>
          <w:tcPr/>
          <w:p>
            <w:pPr>
              <w:pStyle w:val="Compact"/>
              <w:jc w:val="left"/>
            </w:pPr>
            <w:r>
              <w:rPr>
                <w:rFonts w:ascii="Times New Roman" w:hAnsi="Times New Roman"/>
                <w:sz w:val="20"/>
              </w:rPr>
              <w:t xml:space="preserve">delta_R_1h convertie en mm/an via R=ρL/A</w:t>
            </w:r>
          </w:p>
        </w:tc>
        <w:tc>
          <w:tcPr/>
          <w:p>
            <w:pPr>
              <w:pStyle w:val="Compact"/>
              <w:jc w:val="left"/>
            </w:pPr>
            <w:r>
              <w:rPr>
                <w:rFonts w:ascii="Times New Roman" w:hAnsi="Times New Roman"/>
                <w:sz w:val="20"/>
              </w:rPr>
              <w:t xml:space="preserve">Taux de corrosion instantané</w:t>
            </w:r>
          </w:p>
        </w:tc>
      </w:tr>
      <w:tr>
        <w:tc>
          <w:tcPr/>
          <w:p>
            <w:pPr>
              <w:pStyle w:val="Compact"/>
              <w:jc w:val="left"/>
            </w:pPr>
            <w:r>
              <w:rPr>
                <w:rFonts w:ascii="Times New Roman" w:hAnsi="Times New Roman"/>
                <w:sz w:val="20"/>
              </w:rPr>
              <w:t xml:space="preserve">tendance_6h</w:t>
            </w:r>
          </w:p>
        </w:tc>
        <w:tc>
          <w:tcPr/>
          <w:p>
            <w:pPr>
              <w:pStyle w:val="Compact"/>
              <w:jc w:val="left"/>
            </w:pPr>
            <w:r>
              <w:rPr>
                <w:rFonts w:ascii="Times New Roman" w:hAnsi="Times New Roman"/>
                <w:sz w:val="20"/>
              </w:rPr>
              <w:t xml:space="preserve">Pente de régression linéaire sur 36 mesures</w:t>
            </w:r>
          </w:p>
        </w:tc>
        <w:tc>
          <w:tcPr/>
          <w:p>
            <w:pPr>
              <w:pStyle w:val="Compact"/>
              <w:jc w:val="left"/>
            </w:pPr>
            <w:r>
              <w:rPr>
                <w:rFonts w:ascii="Times New Roman" w:hAnsi="Times New Roman"/>
                <w:sz w:val="20"/>
              </w:rPr>
              <w:t xml:space="preserve">Accélération ou décélération de la corrosion</w:t>
            </w:r>
          </w:p>
        </w:tc>
      </w:tr>
      <w:tr>
        <w:tc>
          <w:tcPr/>
          <w:p>
            <w:pPr>
              <w:pStyle w:val="Compact"/>
              <w:jc w:val="left"/>
            </w:pPr>
            <w:r>
              <w:rPr>
                <w:rFonts w:ascii="Times New Roman" w:hAnsi="Times New Roman"/>
                <w:sz w:val="20"/>
              </w:rPr>
              <w:t xml:space="preserve">temp_liquide</w:t>
            </w:r>
          </w:p>
        </w:tc>
        <w:tc>
          <w:tcPr/>
          <w:p>
            <w:pPr>
              <w:pStyle w:val="Compact"/>
              <w:jc w:val="left"/>
            </w:pPr>
            <w:r>
              <w:rPr>
                <w:rFonts w:ascii="Times New Roman" w:hAnsi="Times New Roman"/>
                <w:sz w:val="20"/>
              </w:rPr>
              <w:t xml:space="preserve">Température DS18B20 (°C)</w:t>
            </w:r>
          </w:p>
        </w:tc>
        <w:tc>
          <w:tcPr/>
          <w:p>
            <w:pPr>
              <w:pStyle w:val="Compact"/>
              <w:jc w:val="left"/>
            </w:pPr>
            <w:r>
              <w:rPr>
                <w:rFonts w:ascii="Times New Roman" w:hAnsi="Times New Roman"/>
                <w:sz w:val="20"/>
              </w:rPr>
              <w:t xml:space="preserve">Facteur cinétique Arrhenius</w:t>
            </w:r>
          </w:p>
        </w:tc>
      </w:tr>
      <w:tr>
        <w:tc>
          <w:tcPr/>
          <w:p>
            <w:pPr>
              <w:pStyle w:val="Compact"/>
              <w:jc w:val="left"/>
            </w:pPr>
            <w:r>
              <w:rPr>
                <w:rFonts w:ascii="Times New Roman" w:hAnsi="Times New Roman"/>
                <w:sz w:val="20"/>
              </w:rPr>
              <w:t xml:space="preserve">ph_run</w:t>
            </w:r>
          </w:p>
        </w:tc>
        <w:tc>
          <w:tcPr/>
          <w:p>
            <w:pPr>
              <w:pStyle w:val="Compact"/>
              <w:jc w:val="left"/>
            </w:pPr>
            <w:r>
              <w:rPr>
                <w:rFonts w:ascii="Times New Roman" w:hAnsi="Times New Roman"/>
                <w:sz w:val="20"/>
              </w:rPr>
              <w:t xml:space="preserve">pH initial mesuré au papier pH (constante par run)</w:t>
            </w:r>
          </w:p>
        </w:tc>
        <w:tc>
          <w:tcPr/>
          <w:p>
            <w:pPr>
              <w:pStyle w:val="Compact"/>
              <w:jc w:val="left"/>
            </w:pPr>
            <w:r>
              <w:rPr>
                <w:rFonts w:ascii="Times New Roman" w:hAnsi="Times New Roman"/>
                <w:sz w:val="20"/>
              </w:rPr>
              <w:t xml:space="preserve">Condition chimique de référence</w:t>
            </w:r>
          </w:p>
        </w:tc>
      </w:tr>
      <w:tr>
        <w:tc>
          <w:tcPr/>
          <w:p>
            <w:pPr>
              <w:pStyle w:val="Compact"/>
              <w:jc w:val="left"/>
            </w:pPr>
            <w:r>
              <w:rPr>
                <w:rFonts w:ascii="Times New Roman" w:hAnsi="Times New Roman"/>
                <w:sz w:val="20"/>
              </w:rPr>
              <w:t xml:space="preserve">dose_inhibiteur</w:t>
            </w:r>
          </w:p>
        </w:tc>
        <w:tc>
          <w:tcPr/>
          <w:p>
            <w:pPr>
              <w:pStyle w:val="Compact"/>
              <w:jc w:val="left"/>
            </w:pPr>
            <w:r>
              <w:rPr>
                <w:rFonts w:ascii="Times New Roman" w:hAnsi="Times New Roman"/>
                <w:sz w:val="20"/>
              </w:rPr>
              <w:t xml:space="preserve">Dose AC PROTECT 106 injectée (% v/v)</w:t>
            </w:r>
          </w:p>
        </w:tc>
        <w:tc>
          <w:tcPr/>
          <w:p>
            <w:pPr>
              <w:pStyle w:val="Compact"/>
              <w:jc w:val="left"/>
            </w:pPr>
            <w:r>
              <w:rPr>
                <w:rFonts w:ascii="Times New Roman" w:hAnsi="Times New Roman"/>
                <w:sz w:val="20"/>
              </w:rPr>
              <w:t xml:space="preserve">Variable de contrôle — présence/absence protection</w:t>
            </w:r>
          </w:p>
        </w:tc>
      </w:tr>
      <w:tr>
        <w:tc>
          <w:tcPr/>
          <w:p>
            <w:pPr>
              <w:pStyle w:val="Compact"/>
              <w:jc w:val="left"/>
            </w:pPr>
            <w:r>
              <w:rPr>
                <w:rFonts w:ascii="Times New Roman" w:hAnsi="Times New Roman"/>
                <w:sz w:val="20"/>
              </w:rPr>
              <w:t xml:space="preserve">inhibiteur_actif</w:t>
            </w:r>
          </w:p>
        </w:tc>
        <w:tc>
          <w:tcPr/>
          <w:p>
            <w:pPr>
              <w:pStyle w:val="Compact"/>
              <w:jc w:val="left"/>
            </w:pPr>
            <w:r>
              <w:rPr>
                <w:rFonts w:ascii="Times New Roman" w:hAnsi="Times New Roman"/>
                <w:sz w:val="20"/>
              </w:rPr>
              <w:t xml:space="preserve">Booléen 0/1 (après détection du temps d’adsorption)</w:t>
            </w:r>
          </w:p>
        </w:tc>
        <w:tc>
          <w:tcPr/>
          <w:p>
            <w:pPr>
              <w:pStyle w:val="Compact"/>
              <w:jc w:val="left"/>
            </w:pPr>
            <w:r>
              <w:rPr>
                <w:rFonts w:ascii="Times New Roman" w:hAnsi="Times New Roman"/>
                <w:sz w:val="20"/>
              </w:rPr>
              <w:t xml:space="preserve">Indique si le film inhibiteur est établi</w:t>
            </w:r>
          </w:p>
        </w:tc>
      </w:tr>
      <w:tr>
        <w:tc>
          <w:tcPr/>
          <w:p>
            <w:pPr>
              <w:pStyle w:val="Compact"/>
              <w:jc w:val="left"/>
            </w:pPr>
            <w:r>
              <w:rPr>
                <w:rFonts w:ascii="Times New Roman" w:hAnsi="Times New Roman"/>
                <w:sz w:val="20"/>
              </w:rPr>
              <w:t xml:space="preserve">temps_immersion</w:t>
            </w:r>
          </w:p>
        </w:tc>
        <w:tc>
          <w:tcPr/>
          <w:p>
            <w:pPr>
              <w:pStyle w:val="Compact"/>
              <w:jc w:val="left"/>
            </w:pPr>
            <w:r>
              <w:rPr>
                <w:rFonts w:ascii="Times New Roman" w:hAnsi="Times New Roman"/>
                <w:sz w:val="20"/>
              </w:rPr>
              <w:t xml:space="preserve">Heures depuis le début du run</w:t>
            </w:r>
          </w:p>
        </w:tc>
        <w:tc>
          <w:tcPr/>
          <w:p>
            <w:pPr>
              <w:pStyle w:val="Compact"/>
              <w:jc w:val="left"/>
            </w:pPr>
            <w:r>
              <w:rPr>
                <w:rFonts w:ascii="Times New Roman" w:hAnsi="Times New Roman"/>
                <w:sz w:val="20"/>
              </w:rPr>
              <w:t xml:space="preserve">Indicateur de vieillissement / épuisement du milieu</w:t>
            </w:r>
          </w:p>
        </w:tc>
      </w:tr>
    </w:tbl>
    <w:p>
      <w:pPr>
        <w:pStyle w:val="BodyText"/>
      </w:pPr>
      <w:r>
        <w:rPr>
          <w:rFonts w:ascii="Times New Roman" w:hAnsi="Times New Roman"/>
          <w:b/>
          <w:bCs/>
        </w:rPr>
        <w:t xml:space="preserve">Adaptation au protocole multi-run</w:t>
      </w:r>
      <w:r>
        <w:rPr>
          <w:rFonts w:ascii="Times New Roman" w:hAnsi="Times New Roman"/>
        </w:rPr>
        <w:t xml:space="preserve"> </w:t>
      </w:r>
      <w:r>
        <w:rPr>
          <w:rFonts w:ascii="Times New Roman" w:hAnsi="Times New Roman"/>
        </w:rPr>
        <w:t xml:space="preserve">: Les features delta_R_6h et tendance_6h ne sont pas calculables pour les premières heures de chaque run (pas assez d’historique). Ces valeurs manquantes sont laissées comme NaN et traitées nativement par XGBoost, qui apprend automatiquement dans quelle branche orienter les observations incomplètes (cf. section 4.5.4).</w:t>
      </w:r>
    </w:p>
    <w:p>
      <w:pPr>
        <w:pStyle w:val="BodyText"/>
      </w:pPr>
      <w:r>
        <w:rPr>
          <w:rFonts w:ascii="Times New Roman" w:hAnsi="Times New Roman"/>
          <w:b/>
          <w:bCs/>
        </w:rPr>
        <w:t xml:space="preserve">Justification des échelles temporelles</w:t>
      </w:r>
      <w:r>
        <w:rPr>
          <w:rFonts w:ascii="Times New Roman" w:hAnsi="Times New Roman"/>
        </w:rPr>
        <w:t xml:space="preserve"> </w:t>
      </w:r>
      <w:r>
        <w:rPr>
          <w:rFonts w:ascii="Times New Roman" w:hAnsi="Times New Roman"/>
        </w:rPr>
        <w:t xml:space="preserve">: L’échelle de 1h capture les événements rapides (dégazage HCl, variation de température), l’échelle de 6h capture les tendances de fond (épuisement progressif de l’acide, croissance du film de phosphate). L’échelle de 24h, utilisée dans le protocole initial à 28 jours, n’est plus pertinente pour des runs de 24-72h et a été supprimée.</w:t>
      </w:r>
    </w:p>
    <w:bookmarkEnd w:id="95"/>
    <w:bookmarkStart w:id="96" w:name="Xdb4a4e554b77d79e75cda63fa2a09cf007c5cdd"/>
    <w:p>
      <w:pPr>
        <w:pStyle w:val="Heading2"/>
      </w:pPr>
      <w:r>
        <w:rPr>
          <w:rFonts w:ascii="Times New Roman" w:hAnsi="Times New Roman"/>
        </w:rPr>
        <w:t xml:space="preserve">4.7 Validation temporelle — Walk-forward Cross-Validation</w:t>
      </w:r>
    </w:p>
    <w:p>
      <w:pPr>
        <w:pStyle w:val="FirstParagraph"/>
      </w:pPr>
      <w:r>
        <w:rPr>
          <w:rFonts w:ascii="Times New Roman" w:hAnsi="Times New Roman"/>
        </w:rPr>
        <w:t xml:space="preserve">La validation croisée standard (k-fold aléatoire) est inadaptée aux séries temporelles car elle introduit une fuite temporelle (data leakage) : des données futures peuvent se retrouver dans l’ensemble d’entraînement, ce qui biaise artificiellement les métriques à la hausse. Pour les données de corrosion, la méthode appropriée est la walk-forward cross-validation (ou TimeSeriesSplit) :</w:t>
      </w:r>
    </w:p>
    <w:p>
      <w:pPr>
        <w:pStyle w:val="BodyText"/>
      </w:pPr>
      <w:r>
        <w:rPr>
          <w:rFonts w:ascii="Times New Roman" w:hAnsi="Times New Roman"/>
        </w:rPr>
        <w:t xml:space="preserve">Dans cette approche, les données sont divisées en N folds chronologiques. À chaque itération k, le modèle est entraîné sur les folds 1 à k et évalué sur le fold k+1 (données strictement futures). La performance finale est la moyenne des métriques sur tous les folds de validation. Cette méthode garantit que le modèle n’a jamais accès à des données futures lors de l’entraînement, ce qui reflète fidèlement les conditions d’utilisation réelle.</w:t>
      </w:r>
    </w:p>
    <w:bookmarkEnd w:id="96"/>
    <w:bookmarkStart w:id="97" w:name="X95342ac88e76de7c5c41bc1a86613292bffceef"/>
    <w:p>
      <w:pPr>
        <w:pStyle w:val="Heading2"/>
      </w:pPr>
      <w:r>
        <w:rPr>
          <w:rFonts w:ascii="Times New Roman" w:hAnsi="Times New Roman"/>
        </w:rPr>
        <w:t xml:space="preserve">4.8 Boucle fermée : mesure → prédiction → recommandation</w:t>
      </w:r>
    </w:p>
    <w:p>
      <w:pPr>
        <w:pStyle w:val="FirstParagraph"/>
      </w:pPr>
      <w:r>
        <w:rPr>
          <w:rFonts w:ascii="Times New Roman" w:hAnsi="Times New Roman"/>
        </w:rPr>
        <w:t xml:space="preserve">Le système développé dans ce travail implémente une boucle de contrôle prédictive fermée, reliant directement la mesure en temps réel à la recommandation d’action :</w:t>
      </w:r>
    </w:p>
    <w:p>
      <w:pPr>
        <w:pStyle w:val="Compact"/>
        <w:numPr>
          <w:ilvl w:val="0"/>
          <w:numId w:val="1012"/>
        </w:numPr>
      </w:pPr>
      <w:r>
        <w:rPr>
          <w:rFonts w:ascii="Times New Roman" w:hAnsi="Times New Roman"/>
          <w:b/>
          <w:bCs/>
        </w:rPr>
        <w:t xml:space="preserve">Acquisition</w:t>
      </w:r>
      <w:r>
        <w:rPr>
          <w:rFonts w:ascii="Times New Roman" w:hAnsi="Times New Roman"/>
        </w:rPr>
        <w:t xml:space="preserve"> </w:t>
      </w:r>
      <w:r>
        <w:rPr>
          <w:rFonts w:ascii="Times New Roman" w:hAnsi="Times New Roman"/>
        </w:rPr>
        <w:t xml:space="preserve">: ESP32 + HX711 (résistance, 24-bit) + DS18B20 (température) + sonde pH (séquentiel), mesure toutes les 10 minutes en deep sleep → CSV série → Supabase</w:t>
      </w:r>
    </w:p>
    <w:p>
      <w:pPr>
        <w:pStyle w:val="Compact"/>
        <w:numPr>
          <w:ilvl w:val="0"/>
          <w:numId w:val="1012"/>
        </w:numPr>
      </w:pPr>
      <w:r>
        <w:rPr>
          <w:rFonts w:ascii="Times New Roman" w:hAnsi="Times New Roman"/>
          <w:b/>
          <w:bCs/>
        </w:rPr>
        <w:t xml:space="preserve">Feature engineering</w:t>
      </w:r>
      <w:r>
        <w:rPr>
          <w:rFonts w:ascii="Times New Roman" w:hAnsi="Times New Roman"/>
        </w:rPr>
        <w:t xml:space="preserve"> </w:t>
      </w:r>
      <w:r>
        <w:rPr>
          <w:rFonts w:ascii="Times New Roman" w:hAnsi="Times New Roman"/>
        </w:rPr>
        <w:t xml:space="preserve">: Pipeline Python calcule les features dérivées (delta_R_1h, delta_R_6h, vitesse_CR, tendance_6h, temps_immersion)</w:t>
      </w:r>
    </w:p>
    <w:p>
      <w:pPr>
        <w:pStyle w:val="Compact"/>
        <w:numPr>
          <w:ilvl w:val="0"/>
          <w:numId w:val="1012"/>
        </w:numPr>
      </w:pPr>
      <w:r>
        <w:rPr>
          <w:rFonts w:ascii="Times New Roman" w:hAnsi="Times New Roman"/>
          <w:b/>
          <w:bCs/>
        </w:rPr>
        <w:t xml:space="preserve">Prédiction double</w:t>
      </w:r>
      <w:r>
        <w:rPr>
          <w:rFonts w:ascii="Times New Roman" w:hAnsi="Times New Roman"/>
        </w:rPr>
        <w:t xml:space="preserve"> </w:t>
      </w:r>
      <w:r>
        <w:rPr>
          <w:rFonts w:ascii="Times New Roman" w:hAnsi="Times New Roman"/>
        </w:rPr>
        <w:t xml:space="preserve">:</w:t>
      </w:r>
    </w:p>
    <w:p>
      <w:pPr>
        <w:pStyle w:val="Compact"/>
        <w:numPr>
          <w:ilvl w:val="1"/>
          <w:numId w:val="1013"/>
        </w:numPr>
      </w:pPr>
      <w:r>
        <w:rPr>
          <w:rFonts w:ascii="Times New Roman" w:hAnsi="Times New Roman"/>
          <w:b/>
          <w:bCs/>
        </w:rPr>
        <w:t xml:space="preserve">Modèle CR</w:t>
      </w:r>
      <w:r>
        <w:rPr>
          <w:rFonts w:ascii="Times New Roman" w:hAnsi="Times New Roman"/>
        </w:rPr>
        <w:t xml:space="preserve"> </w:t>
      </w:r>
      <w:r>
        <w:rPr>
          <w:rFonts w:ascii="Times New Roman" w:hAnsi="Times New Roman"/>
        </w:rPr>
        <w:t xml:space="preserve">: XGBoost prédit le taux de corrosion instantané (mm/an)</w:t>
      </w:r>
    </w:p>
    <w:p>
      <w:pPr>
        <w:pStyle w:val="Compact"/>
        <w:numPr>
          <w:ilvl w:val="1"/>
          <w:numId w:val="1013"/>
        </w:numPr>
      </w:pPr>
      <w:r>
        <w:rPr>
          <w:rFonts w:ascii="Times New Roman" w:hAnsi="Times New Roman"/>
          <w:b/>
          <w:bCs/>
        </w:rPr>
        <w:t xml:space="preserve">Modèle RUL</w:t>
      </w:r>
      <w:r>
        <w:rPr>
          <w:rFonts w:ascii="Times New Roman" w:hAnsi="Times New Roman"/>
        </w:rPr>
        <w:t xml:space="preserve"> </w:t>
      </w:r>
      <w:r>
        <w:rPr>
          <w:rFonts w:ascii="Times New Roman" w:hAnsi="Times New Roman"/>
        </w:rPr>
        <w:t xml:space="preserve">: XGBoost prédit la durée de vie résiduelle (heures avant rupture), entraîné sur les courbes de run-to-failure des runs précédents</w:t>
      </w:r>
    </w:p>
    <w:p>
      <w:pPr>
        <w:pStyle w:val="Compact"/>
        <w:numPr>
          <w:ilvl w:val="0"/>
          <w:numId w:val="1012"/>
        </w:numPr>
      </w:pPr>
      <w:r>
        <w:rPr>
          <w:rFonts w:ascii="Times New Roman" w:hAnsi="Times New Roman"/>
          <w:b/>
          <w:bCs/>
        </w:rPr>
        <w:t xml:space="preserve">Décision</w:t>
      </w:r>
      <w:r>
        <w:rPr>
          <w:rFonts w:ascii="Times New Roman" w:hAnsi="Times New Roman"/>
        </w:rPr>
        <w:t xml:space="preserve"> </w:t>
      </w:r>
      <w:r>
        <w:rPr>
          <w:rFonts w:ascii="Times New Roman" w:hAnsi="Times New Roman"/>
        </w:rPr>
        <w:t xml:space="preserve">: Moteur de règles basé sur CR et RUL :</w:t>
      </w:r>
    </w:p>
    <w:p>
      <w:pPr>
        <w:pStyle w:val="Compact"/>
        <w:numPr>
          <w:ilvl w:val="1"/>
          <w:numId w:val="1014"/>
        </w:numPr>
      </w:pPr>
      <w:r>
        <w:rPr>
          <w:rFonts w:ascii="Times New Roman" w:hAnsi="Times New Roman"/>
        </w:rPr>
        <w:t xml:space="preserve">CR &lt; 1 mm/an ET RUL &gt; 24h → OK, aucune action</w:t>
      </w:r>
    </w:p>
    <w:p>
      <w:pPr>
        <w:pStyle w:val="Compact"/>
        <w:numPr>
          <w:ilvl w:val="1"/>
          <w:numId w:val="1014"/>
        </w:numPr>
      </w:pPr>
      <w:r>
        <w:rPr>
          <w:rFonts w:ascii="Times New Roman" w:hAnsi="Times New Roman"/>
        </w:rPr>
        <w:t xml:space="preserve">CR 1–5 mm/an OU RUL 12–24h → AC PROTECT 106 (imidazoline) 1 g/L</w:t>
      </w:r>
    </w:p>
    <w:p>
      <w:pPr>
        <w:pStyle w:val="Compact"/>
        <w:numPr>
          <w:ilvl w:val="1"/>
          <w:numId w:val="1014"/>
        </w:numPr>
      </w:pPr>
      <w:r>
        <w:rPr>
          <w:rFonts w:ascii="Times New Roman" w:hAnsi="Times New Roman"/>
        </w:rPr>
        <w:t xml:space="preserve">CR 5–15 mm/an OU RUL 4–12h → AC PROTECT 106 (imidazoline) 2 g/L</w:t>
      </w:r>
    </w:p>
    <w:p>
      <w:pPr>
        <w:pStyle w:val="Compact"/>
        <w:numPr>
          <w:ilvl w:val="1"/>
          <w:numId w:val="1014"/>
        </w:numPr>
      </w:pPr>
      <w:r>
        <w:rPr>
          <w:rFonts w:ascii="Times New Roman" w:hAnsi="Times New Roman"/>
        </w:rPr>
        <w:t xml:space="preserve">CR &gt; 15 mm/an OU RUL &lt; 4h → AC PROTECT 106 (imidazoline) 5 g/L +</w:t>
      </w:r>
      <w:r>
        <w:rPr>
          <w:rFonts w:ascii="Times New Roman" w:hAnsi="Times New Roman"/>
        </w:rPr>
        <w:t xml:space="preserve"> </w:t>
      </w:r>
      <w:r>
        <w:rPr>
          <w:rFonts w:ascii="Times New Roman" w:hAnsi="Times New Roman"/>
          <w:b/>
          <w:bCs/>
        </w:rPr>
        <w:t xml:space="preserve">alerte critique</w:t>
      </w:r>
    </w:p>
    <w:p>
      <w:pPr>
        <w:pStyle w:val="Compact"/>
        <w:numPr>
          <w:ilvl w:val="0"/>
          <w:numId w:val="1012"/>
        </w:numPr>
      </w:pPr>
      <w:r>
        <w:rPr>
          <w:rFonts w:ascii="Times New Roman" w:hAnsi="Times New Roman"/>
          <w:b/>
          <w:bCs/>
        </w:rPr>
        <w:t xml:space="preserve">Action</w:t>
      </w:r>
      <w:r>
        <w:rPr>
          <w:rFonts w:ascii="Times New Roman" w:hAnsi="Times New Roman"/>
        </w:rPr>
        <w:t xml:space="preserve"> </w:t>
      </w:r>
      <w:r>
        <w:rPr>
          <w:rFonts w:ascii="Times New Roman" w:hAnsi="Times New Roman"/>
        </w:rPr>
        <w:t xml:space="preserve">: Recommandation affichée sur dashboard Streamlit + alerte optionnelle (notification)</w:t>
      </w:r>
    </w:p>
    <w:p>
      <w:pPr>
        <w:pStyle w:val="Compact"/>
        <w:numPr>
          <w:ilvl w:val="0"/>
          <w:numId w:val="1012"/>
        </w:numPr>
      </w:pPr>
      <w:r>
        <w:rPr>
          <w:rFonts w:ascii="Times New Roman" w:hAnsi="Times New Roman"/>
          <w:b/>
          <w:bCs/>
        </w:rPr>
        <w:t xml:space="preserve">Feedback</w:t>
      </w:r>
      <w:r>
        <w:rPr>
          <w:rFonts w:ascii="Times New Roman" w:hAnsi="Times New Roman"/>
        </w:rPr>
        <w:t xml:space="preserve"> </w:t>
      </w:r>
      <w:r>
        <w:rPr>
          <w:rFonts w:ascii="Times New Roman" w:hAnsi="Times New Roman"/>
        </w:rPr>
        <w:t xml:space="preserve">: La dose injectée et le temps écoulé deviennent des features pour les prédictions suivantes</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Cette boucle fermée constitue l’apport original de ce travail par rapport aux systèmes ER classiques : ceux-ci mesurent et enregistrent, mais ne prédisent pas et ne recommandent pas. L’intégration du ML ferme la boucle entre la surveillance et l’action de maintenance. La double sortie (CR + RUL) donne à l’opérateur à la fois la vitesse de dégradation et le temps restant — les deux informations nécessaires à une décision de maintenance informée.</w:t>
      </w:r>
    </w:p>
    <w:bookmarkEnd w:id="97"/>
    <w:bookmarkStart w:id="98" w:name="conclusion-de-la-partie-4"/>
    <w:p>
      <w:pPr>
        <w:pStyle w:val="Heading2"/>
      </w:pPr>
      <w:r>
        <w:rPr>
          <w:rFonts w:ascii="Times New Roman" w:hAnsi="Times New Roman"/>
        </w:rPr>
        <w:t xml:space="preserve">Conclusion de la Partie 4</w:t>
      </w:r>
    </w:p>
    <w:p>
      <w:pPr>
        <w:pStyle w:val="FirstParagraph"/>
      </w:pPr>
      <w:r>
        <w:rPr>
          <w:rFonts w:ascii="Times New Roman" w:hAnsi="Times New Roman"/>
        </w:rPr>
        <w:t xml:space="preserve">Cette partie a posé les fondements méthodologiques complets du système prédictif développé dans ce travail. Le cadre PHM (Pronostic et Gestion de la Santé) a structuré la démarche : acquisition → diagnostic → pronostic. La taxonomie des modèles a justifié le choix d’une approche data-driven — choix renforcé par la nature multi-acide du milieu corrosif (Detar Plus), dont la cinétique non-monotone échappe aux modèles physiques classiques.</w:t>
      </w:r>
    </w:p>
    <w:p>
      <w:pPr>
        <w:pStyle w:val="BodyText"/>
      </w:pPr>
      <w:r>
        <w:rPr>
          <w:rFonts w:ascii="Times New Roman" w:hAnsi="Times New Roman"/>
        </w:rPr>
        <w:t xml:space="preserve">L’état de l’art a montré une progression claire des performances — des réseaux de neurones (R² ~ 0,84) aux forêts aléatoires (R² ~ 0,88) jusqu’au gradient boosting (R² &gt; 0,92) — tout en révélant l’absence de système intégré combinant mesure IoT low-cost et prédiction ML en boucle fermée. Le mécanisme détaillé de XGBoost (arbre de décision → boosting → gradient → régularisation) a été présenté, suivi du feature engineering temporel adapté au protocole multi-run et de la validation par walk-forward cross-validation, deux étapes indispensables pour éviter le sur-apprentissage. La double sortie du système (CR instantané + RUL) et la recommandation automatique de dose d’inhibiteur (AC PROTECT 106 (imidazoline)) ferment la boucle entre la surveillance passive et la décision de maintenance active.</w:t>
      </w:r>
    </w:p>
    <w:p>
      <w:r>
        <w:rPr>
          <w:rFonts w:ascii="Times New Roman" w:hAnsi="Times New Roman"/>
        </w:rPr>
        <w:pict>
          <v:rect style="width:0;height:1.5pt" o:hralign="center" o:hrstd="t" o:hr="t"/>
        </w:pict>
      </w:r>
    </w:p>
    <w:bookmarkEnd w:id="98"/>
    <w:bookmarkEnd w:id="99"/>
    <w:bookmarkStart w:id="103" w:name="X258bf51e04c8d95f2f1de9645ec23dd7032cf33"/>
    <w:p>
      <w:pPr>
        <w:pStyle w:val="Heading1"/>
      </w:pPr>
      <w:r>
        <w:rPr>
          <w:rFonts w:ascii="Times New Roman" w:hAnsi="Times New Roman"/>
        </w:rPr>
        <w:t xml:space="preserve">PARTIE 5 — POSITIONNEMENT ET CONTRIBUTION ORIGINALE</w:t>
      </w:r>
    </w:p>
    <w:bookmarkStart w:id="100" w:name="gaps-identifiés-dans-la-littérature"/>
    <w:p>
      <w:pPr>
        <w:pStyle w:val="Heading2"/>
      </w:pPr>
      <w:r>
        <w:rPr>
          <w:rFonts w:ascii="Times New Roman" w:hAnsi="Times New Roman"/>
        </w:rPr>
        <w:t xml:space="preserve">5.1 Gaps identifiés dans la littérature</w:t>
      </w:r>
    </w:p>
    <w:p>
      <w:pPr>
        <w:pStyle w:val="FirstParagraph"/>
      </w:pPr>
      <w:r>
        <w:rPr>
          <w:rFonts w:ascii="Times New Roman" w:hAnsi="Times New Roman"/>
        </w:rPr>
        <w:t xml:space="preserve">L’analyse de la littérature présentée dans les parties précédentes permet d’identifier trois gaps principaux que ce travail vise à adresser :</w:t>
      </w:r>
    </w:p>
    <w:p>
      <w:pPr>
        <w:pStyle w:val="Compact"/>
        <w:numPr>
          <w:ilvl w:val="0"/>
          <w:numId w:val="1015"/>
        </w:numPr>
      </w:pPr>
      <w:r>
        <w:rPr>
          <w:rFonts w:ascii="Times New Roman" w:hAnsi="Times New Roman"/>
          <w:b/>
          <w:bCs/>
        </w:rPr>
        <w:t xml:space="preserve">Gap 1 — Accessibilité des systèmes de surveillance</w:t>
      </w:r>
      <w:r>
        <w:rPr>
          <w:rFonts w:ascii="Times New Roman" w:hAnsi="Times New Roman"/>
        </w:rPr>
        <w:t xml:space="preserve"> </w:t>
      </w:r>
      <w:r>
        <w:rPr>
          <w:rFonts w:ascii="Times New Roman" w:hAnsi="Times New Roman"/>
        </w:rPr>
        <w:t xml:space="preserve">: Les systèmes de surveillance ER industriels (Cormon, Emerson, Permasense) coûtent entre 2 000 et 15 000 USD par point de mesure, rendant leur déploiement inaccessible aux PME industrielles et aux économies émergentes. Aucune solution low-cost (&lt;100 USD) combinant mesure ER continue et transmission IoT n’a été documentée dans la littérature académique.</w:t>
      </w:r>
    </w:p>
    <w:p>
      <w:pPr>
        <w:pStyle w:val="Compact"/>
        <w:numPr>
          <w:ilvl w:val="0"/>
          <w:numId w:val="1015"/>
        </w:numPr>
      </w:pPr>
      <w:r>
        <w:rPr>
          <w:rFonts w:ascii="Times New Roman" w:hAnsi="Times New Roman"/>
          <w:b/>
          <w:bCs/>
        </w:rPr>
        <w:t xml:space="preserve">Gap 2 — Prédiction vs. Surveillance</w:t>
      </w:r>
      <w:r>
        <w:rPr>
          <w:rFonts w:ascii="Times New Roman" w:hAnsi="Times New Roman"/>
        </w:rPr>
        <w:t xml:space="preserve"> </w:t>
      </w:r>
      <w:r>
        <w:rPr>
          <w:rFonts w:ascii="Times New Roman" w:hAnsi="Times New Roman"/>
        </w:rPr>
        <w:t xml:space="preserve">: La majorité des systèmes ER industriels sont des outils de surveillance : ils mesurent et enregistrent le taux de corrosion passé mais ne prédisent pas son évolution future ni la durée de vie résiduelle. Les travaux ML sur la corrosion utilisent presque exclusivement des données publiques (PHMSA, SPE papers) générées dans des contextes industriels sans accès direct au système de mesure. La boucle mesure → prédiction (CR + RUL) → recommandation d’inhibiteur en temps réel n’est pas documentée à l’échelle d’un prototype fonctionnel complet.</w:t>
      </w:r>
    </w:p>
    <w:p>
      <w:pPr>
        <w:pStyle w:val="Compact"/>
        <w:numPr>
          <w:ilvl w:val="0"/>
          <w:numId w:val="1015"/>
        </w:numPr>
      </w:pPr>
      <w:r>
        <w:rPr>
          <w:rFonts w:ascii="Times New Roman" w:hAnsi="Times New Roman"/>
          <w:b/>
          <w:bCs/>
        </w:rPr>
        <w:t xml:space="preserve">Gap 3 — Contexte africain</w:t>
      </w:r>
      <w:r>
        <w:rPr>
          <w:rFonts w:ascii="Times New Roman" w:hAnsi="Times New Roman"/>
        </w:rPr>
        <w:t xml:space="preserve"> </w:t>
      </w:r>
      <w:r>
        <w:rPr>
          <w:rFonts w:ascii="Times New Roman" w:hAnsi="Times New Roman"/>
        </w:rPr>
        <w:t xml:space="preserve">: La littérature sur la maintenance prédictive de la corrosion dans le contexte des industries extractives africaines (Oil &amp; Gas, mines) est quasi inexistante. Les solutions développées pour les environnements nord-américains ou européens ne prennent pas en compte les contraintes locales : connectivité intermittente, budget limité, disponibilité des pièces, expertise technique restreinte.</w:t>
      </w:r>
    </w:p>
    <w:bookmarkEnd w:id="100"/>
    <w:bookmarkStart w:id="101" w:name="contribution-originale-de-ce-travail"/>
    <w:p>
      <w:pPr>
        <w:pStyle w:val="Heading2"/>
      </w:pPr>
      <w:r>
        <w:rPr>
          <w:rFonts w:ascii="Times New Roman" w:hAnsi="Times New Roman"/>
        </w:rPr>
        <w:t xml:space="preserve">5.2 Contribution originale de ce travail</w:t>
      </w:r>
    </w:p>
    <w:p>
      <w:pPr>
        <w:pStyle w:val="FirstParagraph"/>
      </w:pPr>
      <w:r>
        <w:rPr>
          <w:rFonts w:ascii="Times New Roman" w:hAnsi="Times New Roman"/>
        </w:rPr>
        <w:t xml:space="preserve">Face aux gaps identifiés, ce travail apporte les contributions suivantes :</w:t>
      </w:r>
    </w:p>
    <w:p>
      <w:pPr>
        <w:pStyle w:val="Compact"/>
        <w:numPr>
          <w:ilvl w:val="0"/>
          <w:numId w:val="1016"/>
        </w:numPr>
      </w:pPr>
      <w:r>
        <w:rPr>
          <w:rFonts w:ascii="Times New Roman" w:hAnsi="Times New Roman"/>
          <w:b/>
          <w:bCs/>
        </w:rPr>
        <w:t xml:space="preserve">Contribution 1 — Prototype IoT low-cost</w:t>
      </w:r>
      <w:r>
        <w:rPr>
          <w:rFonts w:ascii="Times New Roman" w:hAnsi="Times New Roman"/>
        </w:rPr>
        <w:t xml:space="preserve"> </w:t>
      </w:r>
      <w:r>
        <w:rPr>
          <w:rFonts w:ascii="Times New Roman" w:hAnsi="Times New Roman"/>
        </w:rPr>
        <w:t xml:space="preserve">: Conception et implémentation d’une chaîne de mesure ER complète (sonde DIY fil de fer + pont de Wheatstone + HX711 + ESP32 + Supabase) pour un coût total de hardware inférieur à 30 000 FCFA (~50 USD), soit un facteur 40 à 300 moins cher qu’un système industriel certifié, tout en conservant le même principe de mesure normalisé (ASTM G96). L’innovation de la mesure pulsée (MOSFET) élimine le biais d’échauffement par effet Joule, amélioration rarement documentée dans les prototypes académiques.</w:t>
      </w:r>
    </w:p>
    <w:p>
      <w:pPr>
        <w:pStyle w:val="Compact"/>
        <w:numPr>
          <w:ilvl w:val="0"/>
          <w:numId w:val="1016"/>
        </w:numPr>
      </w:pPr>
      <w:r>
        <w:rPr>
          <w:rFonts w:ascii="Times New Roman" w:hAnsi="Times New Roman"/>
          <w:b/>
          <w:bCs/>
        </w:rPr>
        <w:t xml:space="preserve">Contribution 2 — Intégration ML prédictif avec double sortie</w:t>
      </w:r>
      <w:r>
        <w:rPr>
          <w:rFonts w:ascii="Times New Roman" w:hAnsi="Times New Roman"/>
        </w:rPr>
        <w:t xml:space="preserve"> </w:t>
      </w:r>
      <w:r>
        <w:rPr>
          <w:rFonts w:ascii="Times New Roman" w:hAnsi="Times New Roman"/>
        </w:rPr>
        <w:t xml:space="preserve">: Premier prototype documenté intégrant une chaîne complète mesure ER → feature engineering temporel → XGBoost → prédiction simultanée du taux de corrosion (CR) et de la durée de vie résiduelle (RUL) → recommandation automatique de dose d’inhibiteur (AC PROTECT 106 (imidazoline)), fermant la boucle entre la surveillance et la décision de maintenance.</w:t>
      </w:r>
    </w:p>
    <w:p>
      <w:pPr>
        <w:pStyle w:val="Compact"/>
        <w:numPr>
          <w:ilvl w:val="0"/>
          <w:numId w:val="1016"/>
        </w:numPr>
      </w:pPr>
      <w:r>
        <w:rPr>
          <w:rFonts w:ascii="Times New Roman" w:hAnsi="Times New Roman"/>
          <w:b/>
          <w:bCs/>
        </w:rPr>
        <w:t xml:space="preserve">Contribution 3 — Validation expérimentale par run-to-failure</w:t>
      </w:r>
      <w:r>
        <w:rPr>
          <w:rFonts w:ascii="Times New Roman" w:hAnsi="Times New Roman"/>
        </w:rPr>
        <w:t xml:space="preserve"> </w:t>
      </w:r>
      <w:r>
        <w:rPr>
          <w:rFonts w:ascii="Times New Roman" w:hAnsi="Times New Roman"/>
        </w:rPr>
        <w:t xml:space="preserve">: Production de données de corrosion réelles en laboratoire (4 runs-to-failure dans un milieu multi-acide commercial) servant à entraîner et valider le modèle XGBoost sur des courbes de dégradation complètes incluant l’event de défaillance. La double validation ER + gravimétrie quantifie l’erreur instrumentale de la sonde DIY.</w:t>
      </w:r>
    </w:p>
    <w:p>
      <w:pPr>
        <w:pStyle w:val="Compact"/>
        <w:numPr>
          <w:ilvl w:val="0"/>
          <w:numId w:val="1016"/>
        </w:numPr>
      </w:pPr>
      <w:r>
        <w:rPr>
          <w:rFonts w:ascii="Times New Roman" w:hAnsi="Times New Roman"/>
          <w:b/>
          <w:bCs/>
        </w:rPr>
        <w:t xml:space="preserve">Contribution 4 — Milieu multi-acide comme argument ML</w:t>
      </w:r>
      <w:r>
        <w:rPr>
          <w:rFonts w:ascii="Times New Roman" w:hAnsi="Times New Roman"/>
        </w:rPr>
        <w:t xml:space="preserve"> </w:t>
      </w:r>
      <w:r>
        <w:rPr>
          <w:rFonts w:ascii="Times New Roman" w:hAnsi="Times New Roman"/>
        </w:rPr>
        <w:t xml:space="preserve">: Démonstration que l’approche data-driven apporte une valeur ajoutée spécifique en milieu à cinétique non-monotone (Detar Plus : HCl attaque / H₃PO₄ passivé) où les modèles physiques classiques ne peuvent pas prédire le comportement sans calibration spécifique.</w:t>
      </w:r>
    </w:p>
    <w:p>
      <w:pPr>
        <w:pStyle w:val="Compact"/>
        <w:numPr>
          <w:ilvl w:val="0"/>
          <w:numId w:val="1016"/>
        </w:numPr>
      </w:pPr>
      <w:r>
        <w:rPr>
          <w:rFonts w:ascii="Times New Roman" w:hAnsi="Times New Roman"/>
          <w:b/>
          <w:bCs/>
        </w:rPr>
        <w:t xml:space="preserve">Contribution 5 — Contexte africain</w:t>
      </w:r>
      <w:r>
        <w:rPr>
          <w:rFonts w:ascii="Times New Roman" w:hAnsi="Times New Roman"/>
        </w:rPr>
        <w:t xml:space="preserve"> </w:t>
      </w:r>
      <w:r>
        <w:rPr>
          <w:rFonts w:ascii="Times New Roman" w:hAnsi="Times New Roman"/>
        </w:rPr>
        <w:t xml:space="preserve">: Démonstration de la faisabilité d’un système de maintenance prédictive de la corrosion avec des composants disponibles sur le marché local camerounais (Jumia, marchés électroniques de Douala) et un produit chimique courant (détartrant domestique), ouvrant la voie à une démocratisation de la surveillance industrielle en Afrique.</w:t>
      </w:r>
    </w:p>
    <w:bookmarkEnd w:id="101"/>
    <w:bookmarkStart w:id="102" w:name="extrapolation-industrielle-du-prototype"/>
    <w:p>
      <w:pPr>
        <w:pStyle w:val="Heading2"/>
      </w:pPr>
      <w:r>
        <w:rPr>
          <w:rFonts w:ascii="Times New Roman" w:hAnsi="Times New Roman"/>
        </w:rPr>
        <w:t xml:space="preserve">5.3 Extrapolation industrielle du prototype</w:t>
      </w:r>
    </w:p>
    <w:p>
      <w:pPr>
        <w:pStyle w:val="FirstParagraph"/>
      </w:pPr>
      <w:r>
        <w:rPr>
          <w:rFonts w:ascii="Times New Roman" w:hAnsi="Times New Roman"/>
        </w:rPr>
        <w:t xml:space="preserve">Le tableau d’analogie présenté à la section 3.1 permet de tracer directement le chemin de l’industrialisation du prototype. Chaque composant DIY peut être remplacé par son équivalent industriel certifié sans modifier l’architecture logicielle ni les algorithmes ML :</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b/>
                <w:sz w:val="20"/>
              </w:rPr>
              <w:t xml:space="preserve">Composant prototype</w:t>
            </w:r>
          </w:p>
        </w:tc>
        <w:tc>
          <w:tcPr/>
          <w:p>
            <w:pPr>
              <w:pStyle w:val="Compact"/>
              <w:jc w:val="left"/>
            </w:pPr>
            <w:r>
              <w:rPr>
                <w:rFonts w:ascii="Times New Roman" w:hAnsi="Times New Roman"/>
                <w:b/>
                <w:sz w:val="20"/>
              </w:rPr>
              <w:t xml:space="preserve">Équivalent industriel</w:t>
            </w:r>
          </w:p>
        </w:tc>
        <w:tc>
          <w:tcPr/>
          <w:p>
            <w:pPr>
              <w:pStyle w:val="Compact"/>
              <w:jc w:val="left"/>
            </w:pPr>
            <w:r>
              <w:rPr>
                <w:rFonts w:ascii="Times New Roman" w:hAnsi="Times New Roman"/>
                <w:b/>
                <w:sz w:val="20"/>
              </w:rPr>
              <w:t xml:space="preserve">Apport de l’industrialisation</w:t>
            </w:r>
          </w:p>
        </w:tc>
      </w:tr>
      <w:tr>
        <w:tc>
          <w:tcPr/>
          <w:p>
            <w:pPr>
              <w:pStyle w:val="Compact"/>
              <w:jc w:val="left"/>
            </w:pPr>
            <w:r>
              <w:rPr>
                <w:rFonts w:ascii="Times New Roman" w:hAnsi="Times New Roman"/>
                <w:sz w:val="20"/>
              </w:rPr>
              <w:t xml:space="preserve">Fil de fer 1,0 mm</w:t>
            </w:r>
          </w:p>
        </w:tc>
        <w:tc>
          <w:tcPr/>
          <w:p>
            <w:pPr>
              <w:pStyle w:val="Compact"/>
              <w:jc w:val="left"/>
            </w:pPr>
            <w:r>
              <w:rPr>
                <w:rFonts w:ascii="Times New Roman" w:hAnsi="Times New Roman"/>
                <w:sz w:val="20"/>
              </w:rPr>
              <w:t xml:space="preserve">Sonde ER Cormon CW-20 (wire element)</w:t>
            </w:r>
          </w:p>
        </w:tc>
        <w:tc>
          <w:tcPr/>
          <w:p>
            <w:pPr>
              <w:pStyle w:val="Compact"/>
              <w:jc w:val="left"/>
            </w:pPr>
            <w:r>
              <w:rPr>
                <w:rFonts w:ascii="Times New Roman" w:hAnsi="Times New Roman"/>
                <w:sz w:val="20"/>
              </w:rPr>
              <w:t xml:space="preserve">Certification ATEX, durée de vie 5 ans</w:t>
            </w:r>
          </w:p>
        </w:tc>
      </w:tr>
      <w:tr>
        <w:tc>
          <w:tcPr/>
          <w:p>
            <w:pPr>
              <w:pStyle w:val="Compact"/>
              <w:jc w:val="left"/>
            </w:pPr>
            <w:r>
              <w:rPr>
                <w:rFonts w:ascii="Times New Roman" w:hAnsi="Times New Roman"/>
                <w:sz w:val="20"/>
              </w:rPr>
              <w:t xml:space="preserve">HX711 24-bit + Wheatstone + 100Ω série (deep sleep entre mesures)</w:t>
            </w:r>
          </w:p>
        </w:tc>
        <w:tc>
          <w:tcPr/>
          <w:p>
            <w:pPr>
              <w:pStyle w:val="Compact"/>
              <w:jc w:val="left"/>
            </w:pPr>
            <w:r>
              <w:rPr>
                <w:rFonts w:ascii="Times New Roman" w:hAnsi="Times New Roman"/>
                <w:sz w:val="20"/>
              </w:rPr>
              <w:t xml:space="preserve">Transmetteur Emerson Roxar 2600</w:t>
            </w:r>
          </w:p>
        </w:tc>
        <w:tc>
          <w:tcPr/>
          <w:p>
            <w:pPr>
              <w:pStyle w:val="Compact"/>
              <w:jc w:val="left"/>
            </w:pPr>
            <w:r>
              <w:rPr>
                <w:rFonts w:ascii="Times New Roman" w:hAnsi="Times New Roman"/>
                <w:sz w:val="20"/>
              </w:rPr>
              <w:t xml:space="preserve">Précision ±0,1 μm, sortie HART 4-20 mA</w:t>
            </w:r>
          </w:p>
        </w:tc>
      </w:tr>
      <w:tr>
        <w:tc>
          <w:tcPr/>
          <w:p>
            <w:pPr>
              <w:pStyle w:val="Compact"/>
              <w:jc w:val="left"/>
            </w:pPr>
            <w:r>
              <w:rPr>
                <w:rFonts w:ascii="Times New Roman" w:hAnsi="Times New Roman"/>
                <w:sz w:val="20"/>
              </w:rPr>
              <w:t xml:space="preserve">ESP32</w:t>
            </w:r>
          </w:p>
        </w:tc>
        <w:tc>
          <w:tcPr/>
          <w:p>
            <w:pPr>
              <w:pStyle w:val="Compact"/>
              <w:jc w:val="left"/>
            </w:pPr>
            <w:r>
              <w:rPr>
                <w:rFonts w:ascii="Times New Roman" w:hAnsi="Times New Roman"/>
                <w:sz w:val="20"/>
              </w:rPr>
              <w:t xml:space="preserve">Passerelle WirelessHART ou Modbus TCP</w:t>
            </w:r>
          </w:p>
        </w:tc>
        <w:tc>
          <w:tcPr/>
          <w:p>
            <w:pPr>
              <w:pStyle w:val="Compact"/>
              <w:jc w:val="left"/>
            </w:pPr>
            <w:r>
              <w:rPr>
                <w:rFonts w:ascii="Times New Roman" w:hAnsi="Times New Roman"/>
                <w:sz w:val="20"/>
              </w:rPr>
              <w:t xml:space="preserve">Protocoles industriels certifiés</w:t>
            </w:r>
          </w:p>
        </w:tc>
      </w:tr>
      <w:tr>
        <w:tc>
          <w:tcPr/>
          <w:p>
            <w:pPr>
              <w:pStyle w:val="Compact"/>
              <w:jc w:val="left"/>
            </w:pPr>
            <w:r>
              <w:rPr>
                <w:rFonts w:ascii="Times New Roman" w:hAnsi="Times New Roman"/>
                <w:sz w:val="20"/>
              </w:rPr>
              <w:t xml:space="preserve">Supabase</w:t>
            </w:r>
          </w:p>
        </w:tc>
        <w:tc>
          <w:tcPr/>
          <w:p>
            <w:pPr>
              <w:pStyle w:val="Compact"/>
              <w:jc w:val="left"/>
            </w:pPr>
            <w:r>
              <w:rPr>
                <w:rFonts w:ascii="Times New Roman" w:hAnsi="Times New Roman"/>
                <w:sz w:val="20"/>
              </w:rPr>
              <w:t xml:space="preserve">PI Server OSIsoft/AVEVA</w:t>
            </w:r>
          </w:p>
        </w:tc>
        <w:tc>
          <w:tcPr/>
          <w:p>
            <w:pPr>
              <w:pStyle w:val="Compact"/>
              <w:jc w:val="left"/>
            </w:pPr>
            <w:r>
              <w:rPr>
                <w:rFonts w:ascii="Times New Roman" w:hAnsi="Times New Roman"/>
                <w:sz w:val="20"/>
              </w:rPr>
              <w:t xml:space="preserve">Historien temps réel, conformité ISA-95</w:t>
            </w:r>
          </w:p>
        </w:tc>
      </w:tr>
      <w:tr>
        <w:tc>
          <w:tcPr/>
          <w:p>
            <w:pPr>
              <w:pStyle w:val="Compact"/>
              <w:jc w:val="left"/>
            </w:pPr>
            <w:r>
              <w:rPr>
                <w:rFonts w:ascii="Times New Roman" w:hAnsi="Times New Roman"/>
                <w:sz w:val="20"/>
              </w:rPr>
              <w:t xml:space="preserve">Streamlit</w:t>
            </w:r>
          </w:p>
        </w:tc>
        <w:tc>
          <w:tcPr/>
          <w:p>
            <w:pPr>
              <w:pStyle w:val="Compact"/>
              <w:jc w:val="left"/>
            </w:pPr>
            <w:r>
              <w:rPr>
                <w:rFonts w:ascii="Times New Roman" w:hAnsi="Times New Roman"/>
                <w:sz w:val="20"/>
              </w:rPr>
              <w:t xml:space="preserve">SCADA Honeywell Experion ou Aspentech</w:t>
            </w:r>
          </w:p>
        </w:tc>
        <w:tc>
          <w:tcPr/>
          <w:p>
            <w:pPr>
              <w:pStyle w:val="Compact"/>
              <w:jc w:val="left"/>
            </w:pPr>
            <w:r>
              <w:rPr>
                <w:rFonts w:ascii="Times New Roman" w:hAnsi="Times New Roman"/>
                <w:sz w:val="20"/>
              </w:rPr>
              <w:t xml:space="preserve">Interface certifiée SIL2</w:t>
            </w:r>
          </w:p>
        </w:tc>
      </w:tr>
      <w:tr>
        <w:tc>
          <w:tcPr/>
          <w:p>
            <w:pPr>
              <w:pStyle w:val="Compact"/>
              <w:jc w:val="left"/>
            </w:pPr>
            <w:r>
              <w:rPr>
                <w:rFonts w:ascii="Times New Roman" w:hAnsi="Times New Roman"/>
                <w:sz w:val="20"/>
              </w:rPr>
              <w:t xml:space="preserve">XGBoost Python</w:t>
            </w:r>
          </w:p>
        </w:tc>
        <w:tc>
          <w:tcPr/>
          <w:p>
            <w:pPr>
              <w:pStyle w:val="Compact"/>
              <w:jc w:val="left"/>
            </w:pPr>
            <w:r>
              <w:rPr>
                <w:rFonts w:ascii="Times New Roman" w:hAnsi="Times New Roman"/>
                <w:sz w:val="20"/>
              </w:rPr>
              <w:t xml:space="preserve">Module ML intégré dans SCADA ou MES</w:t>
            </w:r>
          </w:p>
        </w:tc>
        <w:tc>
          <w:tcPr/>
          <w:p>
            <w:pPr>
              <w:pStyle w:val="Compact"/>
              <w:jc w:val="left"/>
            </w:pPr>
            <w:r>
              <w:rPr>
                <w:rFonts w:ascii="Times New Roman" w:hAnsi="Times New Roman"/>
                <w:sz w:val="20"/>
              </w:rPr>
              <w:t xml:space="preserve">Déploiement en production</w:t>
            </w:r>
          </w:p>
        </w:tc>
      </w:tr>
    </w:tbl>
    <w:p>
      <w:pPr>
        <w:pStyle w:val="BodyText"/>
      </w:pPr>
      <w:r>
        <w:rPr>
          <w:rFonts w:ascii="Times New Roman" w:hAnsi="Times New Roman"/>
        </w:rPr>
        <w:t xml:space="preserve">Cette correspondance directe constitue l’argument central de la valeur académique de ce travail : le prototype n’est pas une démonstration isolée, mais un proof-of-concept industriellement transposable, dont chaque composant a été délibérément choisi en référence à son équivalent normalisé.</w:t>
      </w:r>
    </w:p>
    <w:p>
      <w:r>
        <w:rPr>
          <w:rFonts w:ascii="Times New Roman" w:hAnsi="Times New Roman"/>
        </w:rPr>
        <w:pict>
          <v:rect style="width:0;height:1.5pt" o:hralign="center" o:hrstd="t" o:hr="t"/>
        </w:pict>
      </w:r>
    </w:p>
    <w:bookmarkEnd w:id="102"/>
    <w:bookmarkEnd w:id="103"/>
    <w:bookmarkStart w:id="104" w:name="conclusion-de-la-revue-de-littérature"/>
    <w:p>
      <w:pPr>
        <w:pStyle w:val="Heading1"/>
      </w:pPr>
      <w:r>
        <w:rPr>
          <w:rFonts w:ascii="Times New Roman" w:hAnsi="Times New Roman"/>
        </w:rPr>
        <w:t xml:space="preserve">CONCLUSION DE LA REVUE DE LITTÉRATURE</w:t>
      </w:r>
    </w:p>
    <w:p>
      <w:pPr>
        <w:pStyle w:val="FirstParagraph"/>
      </w:pPr>
      <w:r>
        <w:rPr>
          <w:rFonts w:ascii="Times New Roman" w:hAnsi="Times New Roman"/>
        </w:rPr>
        <w:t xml:space="preserve">Cette revue de littérature a établi le cadre théorique, normatif et technique du présent travail en suivant une progression rigoureuse du général au particulier. La corrosion, phénomène électrochimique universel quantifié par la loi de Faraday et encadré par un corpus normatif international (ASTM, NACE, API, ISO), représente un coût annuel de 2 500 milliards USD et demeure le principal mode de défaillance des infrastructures pétrolières.</w:t>
      </w:r>
    </w:p>
    <w:p>
      <w:pPr>
        <w:pStyle w:val="BodyText"/>
      </w:pPr>
      <w:r>
        <w:rPr>
          <w:rFonts w:ascii="Times New Roman" w:hAnsi="Times New Roman"/>
        </w:rPr>
        <w:t xml:space="preserve">Parmi les méthodes de surveillance disponibles, la sonde ER (ASTM G96) a été identifiée comme la seule technique combinant mesure continue, mesure directe du taux de corrosion et transposabilité en laboratoire à faible coût. Le prototype développé dans ce travail reproduit fidèlement le principe de la sonde ER industrielle avec des composants low-cost (fil de fer 1,0 mm, pont de Wheatstone à mesure pulsée, HX711, ESP32), dont la correspondance composant par composant avec les systèmes commerciaux a été établie.</w:t>
      </w:r>
    </w:p>
    <w:p>
      <w:pPr>
        <w:pStyle w:val="BodyText"/>
      </w:pPr>
      <w:r>
        <w:rPr>
          <w:rFonts w:ascii="Times New Roman" w:hAnsi="Times New Roman"/>
        </w:rPr>
        <w:t xml:space="preserve">Le choix du Detar Plus (mélange HCl + H₃PO₄) comme milieu corrosif, loin d’être un compromis, constitue un argument méthodologique : sa cinétique non-monotone (attaque acide vs passivation phosphatante) crée précisément le type de complexité que les modèles physiques classiques ne peuvent pas capturer et que l’approche data-driven par XGBoost est conçue pour résoudre.</w:t>
      </w:r>
    </w:p>
    <w:p>
      <w:pPr>
        <w:pStyle w:val="BodyText"/>
      </w:pPr>
      <w:r>
        <w:rPr>
          <w:rFonts w:ascii="Times New Roman" w:hAnsi="Times New Roman"/>
        </w:rPr>
        <w:t xml:space="preserve">L’apport original de ce travail réside dans l’intégration d’un modèle XGBoost à double sortie (taux de corrosion + durée de vie résiduelle) à cette chaîne de mesure, transformant un outil de surveillance passif en un système de maintenance prédictive actif, capable de recommander automatiquement la dose d’inhibiteur (AC PROTECT 106 (imidazoline)) optimale à partir des mesures en temps réel. Cette boucle fermée mesure → prédiction → recommandation, validée par un protocole de run-to-failure et une double vérification ER/gravimétrie, constitue la contribution centrale de ce mémoire.</w:t>
      </w:r>
    </w:p>
    <w:bookmarkEnd w:id="104"/>
    <w:bookmarkStart w:id="117" w:name="Xfac951fad10977b3710974409d5a53d45707fb8"/>
    <w:p>
      <w:pPr>
        <w:pStyle w:val="Heading1"/>
      </w:pPr>
      <w:r>
        <w:rPr>
          <w:rFonts w:ascii="Times New Roman" w:hAnsi="Times New Roman"/>
        </w:rPr>
        <w:t xml:space="preserve">CHAPITRE 3 : CADRE DE L’ÉTUDE ET DÉMARCHE MÉTHODOLOGIQUE</w:t>
      </w:r>
    </w:p>
    <w:bookmarkStart w:id="107" w:name="cadre-de-létude"/>
    <w:p>
      <w:pPr>
        <w:pStyle w:val="Heading2"/>
      </w:pPr>
      <w:r>
        <w:rPr>
          <w:rFonts w:ascii="Times New Roman" w:hAnsi="Times New Roman"/>
        </w:rPr>
        <w:t xml:space="preserve">3.1 Cadre de l’étude</w:t>
      </w:r>
    </w:p>
    <w:bookmarkStart w:id="105" w:name="cadre-institutionnel"/>
    <w:p>
      <w:pPr>
        <w:pStyle w:val="Heading3"/>
      </w:pPr>
      <w:r>
        <w:rPr>
          <w:rFonts w:ascii="Times New Roman" w:hAnsi="Times New Roman"/>
        </w:rPr>
        <w:t xml:space="preserve">3.1.1 Cadre institutionnel</w:t>
      </w:r>
    </w:p>
    <w:p>
      <w:pPr>
        <w:pStyle w:val="FirstParagraph"/>
      </w:pPr>
      <w:r>
        <w:rPr>
          <w:rFonts w:ascii="Times New Roman" w:hAnsi="Times New Roman"/>
        </w:rPr>
        <w:t xml:space="preserve">Ce travail est réalisé dans le cadre du Master 2 Professionnel en Maintenance Industrielle du Département de Génie Industriel et Maintenance de l’</w:t>
      </w:r>
      <w:r>
        <w:rPr>
          <w:rFonts w:ascii="Times New Roman" w:hAnsi="Times New Roman"/>
          <w:b/>
          <w:bCs/>
        </w:rPr>
        <w:t xml:space="preserve">École Nationale Supérieure Polytechnique de Douala (ENSPD)</w:t>
      </w:r>
      <w:r>
        <w:rPr>
          <w:rFonts w:ascii="Times New Roman" w:hAnsi="Times New Roman"/>
        </w:rPr>
        <w:t xml:space="preserve">. La validation expérimentale est conduite en laboratoire à Douala, avec une perspective de déploiement lors du stage en entreprise chez la</w:t>
      </w:r>
      <w:r>
        <w:rPr>
          <w:rFonts w:ascii="Times New Roman" w:hAnsi="Times New Roman"/>
        </w:rPr>
        <w:t xml:space="preserve"> </w:t>
      </w:r>
      <w:r>
        <w:rPr>
          <w:rFonts w:ascii="Times New Roman" w:hAnsi="Times New Roman"/>
          <w:b/>
          <w:bCs/>
        </w:rPr>
        <w:t xml:space="preserve">Cameroon Oil Transportation Company (COTCO)</w:t>
      </w:r>
      <w:r>
        <w:rPr>
          <w:rFonts w:ascii="Times New Roman" w:hAnsi="Times New Roman"/>
        </w:rPr>
        <w:t xml:space="preserve">.</w:t>
      </w:r>
    </w:p>
    <w:p>
      <w:pPr>
        <w:pStyle w:val="BodyText"/>
      </w:pPr>
      <w:r>
        <w:rPr>
          <w:rFonts w:ascii="Times New Roman" w:hAnsi="Times New Roman"/>
        </w:rPr>
        <w:t xml:space="preserve">COTCO exploite le Système d’Exportation Tchadien (SET), composé du pipeline Tchad-Cameroun (1 070 km de N’Djamena à Kribi), de la station de tête (Pump Station 1 à Kome), et du terminal en mer de Kribi. Ce réseau transporte du pétrole brut depuis les champs du bassin de Doba (Tchad) jusqu’au terminal offshore de Kribi où il est chargé sur des pétroliers. La corrosion interne et externe des conduites constitue le principal mode de dégradation sur ce type d’infrastructure.</w:t>
      </w:r>
    </w:p>
    <w:bookmarkEnd w:id="105"/>
    <w:bookmarkStart w:id="106" w:name="cadre-physique-du-prototype"/>
    <w:p>
      <w:pPr>
        <w:pStyle w:val="Heading3"/>
      </w:pPr>
      <w:r>
        <w:rPr>
          <w:rFonts w:ascii="Times New Roman" w:hAnsi="Times New Roman"/>
        </w:rPr>
        <w:t xml:space="preserve">3.1.2 Cadre physique du prototype</w:t>
      </w:r>
    </w:p>
    <w:p>
      <w:pPr>
        <w:pStyle w:val="FirstParagraph"/>
      </w:pPr>
      <w:r>
        <w:rPr>
          <w:rFonts w:ascii="Times New Roman" w:hAnsi="Times New Roman"/>
        </w:rPr>
        <w:t xml:space="preserve">Le prototype de laboratoire reproduit les conditions d’une corrosion généralisée accélérée en milieu acide concentré. Il est constitué d’une cellule de corrosion ouverte (récipient en plastique de 2 litres) dans laquelle est immergée la sonde ER. L’environnement corrosif est le</w:t>
      </w:r>
      <w:r>
        <w:rPr>
          <w:rFonts w:ascii="Times New Roman" w:hAnsi="Times New Roman"/>
        </w:rPr>
        <w:t xml:space="preserve"> </w:t>
      </w:r>
      <w:r>
        <w:rPr>
          <w:rFonts w:ascii="Times New Roman" w:hAnsi="Times New Roman"/>
          <w:b/>
          <w:bCs/>
        </w:rPr>
        <w:t xml:space="preserve">Detar Plus</w:t>
      </w:r>
      <w:r>
        <w:rPr>
          <w:rFonts w:ascii="Times New Roman" w:hAnsi="Times New Roman"/>
        </w:rPr>
        <w:t xml:space="preserve">, détartrant industriel commercial utilisé sans dilution, dont la composition déclarée est :</w:t>
      </w:r>
    </w:p>
    <w:p>
      <w:pPr>
        <w:pStyle w:val="Compact"/>
        <w:numPr>
          <w:ilvl w:val="0"/>
          <w:numId w:val="1017"/>
        </w:numPr>
      </w:pPr>
      <w:r>
        <w:rPr>
          <w:rFonts w:ascii="Times New Roman" w:hAnsi="Times New Roman"/>
        </w:rPr>
        <w:t xml:space="preserve">Acide chlorhydrique (HCl) : 5–15 % en masse</w:t>
      </w:r>
    </w:p>
    <w:p>
      <w:pPr>
        <w:pStyle w:val="Compact"/>
        <w:numPr>
          <w:ilvl w:val="0"/>
          <w:numId w:val="1017"/>
        </w:numPr>
      </w:pPr>
      <w:r>
        <w:rPr>
          <w:rFonts w:ascii="Times New Roman" w:hAnsi="Times New Roman"/>
        </w:rPr>
        <w:t xml:space="preserve">Acide phosphorique (H₃PO₄) : 10–30 % en masse</w:t>
      </w:r>
    </w:p>
    <w:p>
      <w:pPr>
        <w:pStyle w:val="Compact"/>
        <w:numPr>
          <w:ilvl w:val="0"/>
          <w:numId w:val="1017"/>
        </w:numPr>
      </w:pPr>
      <w:r>
        <w:rPr>
          <w:rFonts w:ascii="Times New Roman" w:hAnsi="Times New Roman"/>
        </w:rPr>
        <w:t xml:space="preserve">Agents tensioactifs et additifs : complément</w:t>
      </w:r>
    </w:p>
    <w:p>
      <w:pPr>
        <w:pStyle w:val="FirstParagraph"/>
      </w:pPr>
      <w:r>
        <w:rPr>
          <w:rFonts w:ascii="Times New Roman" w:hAnsi="Times New Roman"/>
        </w:rPr>
        <w:t xml:space="preserve">Ce milieu crée un pH ≈ 1, mesuré par pH-mètre papier avant chaque run. La température ambiante du laboratoire est maintenue à 25–30 °C. La cellule est exposée à l’air ambiant (pas de bulle d’azote pour l’inertage).</w:t>
      </w:r>
    </w:p>
    <w:bookmarkEnd w:id="106"/>
    <w:bookmarkEnd w:id="107"/>
    <w:bookmarkStart w:id="110" w:name="matériels"/>
    <w:p>
      <w:pPr>
        <w:pStyle w:val="Heading2"/>
      </w:pPr>
      <w:r>
        <w:rPr>
          <w:rFonts w:ascii="Times New Roman" w:hAnsi="Times New Roman"/>
        </w:rPr>
        <w:t xml:space="preserve">3.2 Matériels</w:t>
      </w:r>
    </w:p>
    <w:bookmarkStart w:id="108" w:name="matériels-expérimentaux"/>
    <w:p>
      <w:pPr>
        <w:pStyle w:val="Heading3"/>
      </w:pPr>
      <w:r>
        <w:rPr>
          <w:rFonts w:ascii="Times New Roman" w:hAnsi="Times New Roman"/>
        </w:rPr>
        <w:t xml:space="preserve">3.2.1 Matériels expérimentaux</w:t>
      </w:r>
    </w:p>
    <w:p>
      <w:pPr>
        <w:pStyle w:val="FirstParagraph"/>
      </w:pPr>
      <w:r>
        <w:rPr>
          <w:rFonts w:ascii="Times New Roman" w:hAnsi="Times New Roman"/>
        </w:rPr>
        <w:t xml:space="preserve">Le tableau ci-dessous recense l’ensemble des équipements, composants et consommables utilisés dans ce travail.</w:t>
      </w:r>
    </w:p>
    <w:p>
      <w:pPr>
        <w:pStyle w:val="BodyText"/>
      </w:pPr>
      <w:r>
        <w:rPr>
          <w:rFonts w:ascii="Times New Roman" w:hAnsi="Times New Roman"/>
          <w:b/>
          <w:bCs/>
        </w:rPr>
        <w:t xml:space="preserve">Tableau 3.1 — Récapitulatif des matériels utilisés</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ascii="Times New Roman" w:hAnsi="Times New Roman"/>
                <w:b/>
                <w:sz w:val="20"/>
              </w:rPr>
              <w:t xml:space="preserve">Composant / Équipement</w:t>
            </w:r>
          </w:p>
        </w:tc>
        <w:tc>
          <w:tcPr/>
          <w:p>
            <w:pPr>
              <w:pStyle w:val="Compact"/>
              <w:jc w:val="left"/>
            </w:pPr>
            <w:r>
              <w:rPr>
                <w:rFonts w:ascii="Times New Roman" w:hAnsi="Times New Roman"/>
                <w:b/>
                <w:sz w:val="20"/>
              </w:rPr>
              <w:t xml:space="preserve">Référence / Spécification</w:t>
            </w:r>
          </w:p>
        </w:tc>
        <w:tc>
          <w:tcPr/>
          <w:p>
            <w:pPr>
              <w:pStyle w:val="Compact"/>
              <w:jc w:val="left"/>
            </w:pPr>
            <w:r>
              <w:rPr>
                <w:rFonts w:ascii="Times New Roman" w:hAnsi="Times New Roman"/>
                <w:b/>
                <w:sz w:val="20"/>
              </w:rPr>
              <w:t xml:space="preserve">Rôle dans le système</w:t>
            </w:r>
          </w:p>
        </w:tc>
        <w:tc>
          <w:tcPr/>
          <w:p>
            <w:pPr>
              <w:pStyle w:val="Compact"/>
              <w:jc w:val="left"/>
            </w:pPr>
            <w:r>
              <w:rPr>
                <w:rFonts w:ascii="Times New Roman" w:hAnsi="Times New Roman"/>
                <w:b/>
                <w:sz w:val="20"/>
              </w:rPr>
              <w:t xml:space="preserve">Source d’approvisionnement</w:t>
            </w:r>
          </w:p>
        </w:tc>
      </w:tr>
      <w:tr>
        <w:tc>
          <w:tcPr/>
          <w:p>
            <w:pPr>
              <w:pStyle w:val="Compact"/>
              <w:jc w:val="left"/>
            </w:pPr>
            <w:r>
              <w:rPr>
                <w:rFonts w:ascii="Times New Roman" w:hAnsi="Times New Roman"/>
                <w:sz w:val="20"/>
              </w:rPr>
              <w:t xml:space="preserve">Microcontrôleur</w:t>
            </w:r>
          </w:p>
        </w:tc>
        <w:tc>
          <w:tcPr/>
          <w:p>
            <w:pPr>
              <w:pStyle w:val="Compact"/>
              <w:jc w:val="left"/>
            </w:pPr>
            <w:r>
              <w:rPr>
                <w:rFonts w:ascii="Times New Roman" w:hAnsi="Times New Roman"/>
                <w:sz w:val="20"/>
              </w:rPr>
              <w:t xml:space="preserve">ESP32 DevKit V1 (Espressif)</w:t>
            </w:r>
          </w:p>
        </w:tc>
        <w:tc>
          <w:tcPr/>
          <w:p>
            <w:pPr>
              <w:pStyle w:val="Compact"/>
              <w:jc w:val="left"/>
            </w:pPr>
            <w:r>
              <w:rPr>
                <w:rFonts w:ascii="Times New Roman" w:hAnsi="Times New Roman"/>
                <w:sz w:val="20"/>
              </w:rPr>
              <w:t xml:space="preserve">Acquisition, traitement, transmission CSV, deep sleep</w:t>
            </w:r>
          </w:p>
        </w:tc>
        <w:tc>
          <w:tcPr/>
          <w:p>
            <w:pPr>
              <w:pStyle w:val="Compact"/>
              <w:jc w:val="left"/>
            </w:pPr>
            <w:r>
              <w:rPr>
                <w:rFonts w:ascii="Times New Roman" w:hAnsi="Times New Roman"/>
                <w:sz w:val="20"/>
              </w:rPr>
              <w:t xml:space="preserve">Marché électronique local</w:t>
            </w:r>
          </w:p>
        </w:tc>
      </w:tr>
      <w:tr>
        <w:tc>
          <w:tcPr/>
          <w:p>
            <w:pPr>
              <w:pStyle w:val="Compact"/>
              <w:jc w:val="left"/>
            </w:pPr>
            <w:r>
              <w:rPr>
                <w:rFonts w:ascii="Times New Roman" w:hAnsi="Times New Roman"/>
                <w:sz w:val="20"/>
              </w:rPr>
              <w:t xml:space="preserve">Amplificateur ADC</w:t>
            </w:r>
          </w:p>
        </w:tc>
        <w:tc>
          <w:tcPr/>
          <w:p>
            <w:pPr>
              <w:pStyle w:val="Compact"/>
              <w:jc w:val="left"/>
            </w:pPr>
            <w:r>
              <w:rPr>
                <w:rFonts w:ascii="Times New Roman" w:hAnsi="Times New Roman"/>
                <w:sz w:val="20"/>
              </w:rPr>
              <w:t xml:space="preserve">HX711 (AVIA Semiconductor)</w:t>
            </w:r>
          </w:p>
        </w:tc>
        <w:tc>
          <w:tcPr/>
          <w:p>
            <w:pPr>
              <w:pStyle w:val="Compact"/>
              <w:jc w:val="left"/>
            </w:pPr>
            <w:r>
              <w:rPr>
                <w:rFonts w:ascii="Times New Roman" w:hAnsi="Times New Roman"/>
                <w:sz w:val="20"/>
              </w:rPr>
              <w:t xml:space="preserve">Conversion pont Wheatstone → code 24 bits</w:t>
            </w:r>
          </w:p>
        </w:tc>
        <w:tc>
          <w:tcPr/>
          <w:p>
            <w:pPr>
              <w:pStyle w:val="Compact"/>
              <w:jc w:val="left"/>
            </w:pPr>
            <w:r>
              <w:rPr>
                <w:rFonts w:ascii="Times New Roman" w:hAnsi="Times New Roman"/>
                <w:sz w:val="20"/>
              </w:rPr>
              <w:t xml:space="preserve">Marché électronique local</w:t>
            </w:r>
          </w:p>
        </w:tc>
      </w:tr>
      <w:tr>
        <w:tc>
          <w:tcPr/>
          <w:p>
            <w:pPr>
              <w:pStyle w:val="Compact"/>
              <w:jc w:val="left"/>
            </w:pPr>
            <w:r>
              <w:rPr>
                <w:rFonts w:ascii="Times New Roman" w:hAnsi="Times New Roman"/>
                <w:sz w:val="20"/>
              </w:rPr>
              <w:t xml:space="preserve">Capteur de température</w:t>
            </w:r>
          </w:p>
        </w:tc>
        <w:tc>
          <w:tcPr/>
          <w:p>
            <w:pPr>
              <w:pStyle w:val="Compact"/>
              <w:jc w:val="left"/>
            </w:pPr>
            <w:r>
              <w:rPr>
                <w:rFonts w:ascii="Times New Roman" w:hAnsi="Times New Roman"/>
                <w:sz w:val="20"/>
              </w:rPr>
              <w:t xml:space="preserve">DS18B20 (Dallas/Maxim)</w:t>
            </w:r>
          </w:p>
        </w:tc>
        <w:tc>
          <w:tcPr/>
          <w:p>
            <w:pPr>
              <w:pStyle w:val="Compact"/>
              <w:jc w:val="left"/>
            </w:pPr>
            <w:r>
              <w:rPr>
                <w:rFonts w:ascii="Times New Roman" w:hAnsi="Times New Roman"/>
                <w:sz w:val="20"/>
              </w:rPr>
              <w:t xml:space="preserve">Mesure température, bus 1-Wire</w:t>
            </w:r>
          </w:p>
        </w:tc>
        <w:tc>
          <w:tcPr/>
          <w:p>
            <w:pPr>
              <w:pStyle w:val="Compact"/>
              <w:jc w:val="left"/>
            </w:pPr>
            <w:r>
              <w:rPr>
                <w:rFonts w:ascii="Times New Roman" w:hAnsi="Times New Roman"/>
                <w:sz w:val="20"/>
              </w:rPr>
              <w:t xml:space="preserve">Marché électronique local</w:t>
            </w:r>
          </w:p>
        </w:tc>
      </w:tr>
      <w:tr>
        <w:tc>
          <w:tcPr/>
          <w:p>
            <w:pPr>
              <w:pStyle w:val="Compact"/>
              <w:jc w:val="left"/>
            </w:pPr>
            <w:r>
              <w:rPr>
                <w:rFonts w:ascii="Times New Roman" w:hAnsi="Times New Roman"/>
                <w:sz w:val="20"/>
              </w:rPr>
              <w:t xml:space="preserve">Fil ER actif</w:t>
            </w:r>
          </w:p>
        </w:tc>
        <w:tc>
          <w:tcPr/>
          <w:p>
            <w:pPr>
              <w:pStyle w:val="Compact"/>
              <w:jc w:val="left"/>
            </w:pPr>
            <w:r>
              <w:rPr>
                <w:rFonts w:ascii="Times New Roman" w:hAnsi="Times New Roman"/>
                <w:sz w:val="20"/>
              </w:rPr>
              <w:t xml:space="preserve">Fil de fer recuit, Ø ≈ 0,3 mm</w:t>
            </w:r>
          </w:p>
        </w:tc>
        <w:tc>
          <w:tcPr/>
          <w:p>
            <w:pPr>
              <w:pStyle w:val="Compact"/>
              <w:jc w:val="left"/>
            </w:pPr>
            <w:r>
              <w:rPr>
                <w:rFonts w:ascii="Times New Roman" w:hAnsi="Times New Roman"/>
                <w:sz w:val="20"/>
              </w:rPr>
              <w:t xml:space="preserve">Élément corrodable de la sonde</w:t>
            </w:r>
          </w:p>
        </w:tc>
        <w:tc>
          <w:tcPr/>
          <w:p>
            <w:pPr>
              <w:pStyle w:val="Compact"/>
              <w:jc w:val="left"/>
            </w:pPr>
            <w:r>
              <w:rPr>
                <w:rFonts w:ascii="Times New Roman" w:hAnsi="Times New Roman"/>
                <w:sz w:val="20"/>
              </w:rPr>
              <w:t xml:space="preserve">Quincaillerie locale</w:t>
            </w:r>
          </w:p>
        </w:tc>
      </w:tr>
      <w:tr>
        <w:tc>
          <w:tcPr/>
          <w:p>
            <w:pPr>
              <w:pStyle w:val="Compact"/>
              <w:jc w:val="left"/>
            </w:pPr>
            <w:r>
              <w:rPr>
                <w:rFonts w:ascii="Times New Roman" w:hAnsi="Times New Roman"/>
                <w:sz w:val="20"/>
              </w:rPr>
              <w:t xml:space="preserve">Résistances du pont</w:t>
            </w:r>
          </w:p>
        </w:tc>
        <w:tc>
          <w:tcPr/>
          <w:p>
            <w:pPr>
              <w:pStyle w:val="Compact"/>
              <w:jc w:val="left"/>
            </w:pPr>
            <w:r>
              <w:rPr>
                <w:rFonts w:ascii="Times New Roman" w:hAnsi="Times New Roman"/>
                <w:sz w:val="20"/>
              </w:rPr>
              <w:t xml:space="preserve">R1 = R2 = 10 Ω (précision 1 %)</w:t>
            </w:r>
          </w:p>
        </w:tc>
        <w:tc>
          <w:tcPr/>
          <w:p>
            <w:pPr>
              <w:pStyle w:val="Compact"/>
              <w:jc w:val="left"/>
            </w:pPr>
            <w:r>
              <w:rPr>
                <w:rFonts w:ascii="Times New Roman" w:hAnsi="Times New Roman"/>
                <w:sz w:val="20"/>
              </w:rPr>
              <w:t xml:space="preserve">Bras de référence du pont de Wheatstone</w:t>
            </w:r>
          </w:p>
        </w:tc>
        <w:tc>
          <w:tcPr/>
          <w:p>
            <w:pPr>
              <w:pStyle w:val="Compact"/>
              <w:jc w:val="left"/>
            </w:pPr>
            <w:r>
              <w:rPr>
                <w:rFonts w:ascii="Times New Roman" w:hAnsi="Times New Roman"/>
                <w:sz w:val="20"/>
              </w:rPr>
              <w:t xml:space="preserve">Marché électronique local</w:t>
            </w:r>
          </w:p>
        </w:tc>
      </w:tr>
      <w:tr>
        <w:tc>
          <w:tcPr/>
          <w:p>
            <w:pPr>
              <w:pStyle w:val="Compact"/>
              <w:jc w:val="left"/>
            </w:pPr>
            <w:r>
              <w:rPr>
                <w:rFonts w:ascii="Times New Roman" w:hAnsi="Times New Roman"/>
                <w:sz w:val="20"/>
              </w:rPr>
              <w:t xml:space="preserve">Résistance de référence</w:t>
            </w:r>
          </w:p>
        </w:tc>
        <w:tc>
          <w:tcPr/>
          <w:p>
            <w:pPr>
              <w:pStyle w:val="Compact"/>
              <w:jc w:val="left"/>
            </w:pPr>
            <w:r>
              <w:rPr>
                <w:rFonts w:ascii="Times New Roman" w:hAnsi="Times New Roman"/>
                <w:sz w:val="20"/>
              </w:rPr>
              <w:t xml:space="preserve">R_REF = 0,5 Ω (précision 1 %)</w:t>
            </w:r>
          </w:p>
        </w:tc>
        <w:tc>
          <w:tcPr/>
          <w:p>
            <w:pPr>
              <w:pStyle w:val="Compact"/>
              <w:jc w:val="left"/>
            </w:pPr>
            <w:r>
              <w:rPr>
                <w:rFonts w:ascii="Times New Roman" w:hAnsi="Times New Roman"/>
                <w:sz w:val="20"/>
              </w:rPr>
              <w:t xml:space="preserve">Bras actif de référence</w:t>
            </w:r>
          </w:p>
        </w:tc>
        <w:tc>
          <w:tcPr/>
          <w:p>
            <w:pPr>
              <w:pStyle w:val="Compact"/>
              <w:jc w:val="left"/>
            </w:pPr>
            <w:r>
              <w:rPr>
                <w:rFonts w:ascii="Times New Roman" w:hAnsi="Times New Roman"/>
                <w:sz w:val="20"/>
              </w:rPr>
              <w:t xml:space="preserve">Marché électronique local</w:t>
            </w:r>
          </w:p>
        </w:tc>
      </w:tr>
      <w:tr>
        <w:tc>
          <w:tcPr/>
          <w:p>
            <w:pPr>
              <w:pStyle w:val="Compact"/>
              <w:jc w:val="left"/>
            </w:pPr>
            <w:r>
              <w:rPr>
                <w:rFonts w:ascii="Times New Roman" w:hAnsi="Times New Roman"/>
                <w:sz w:val="20"/>
              </w:rPr>
              <w:t xml:space="preserve">Résistance série</w:t>
            </w:r>
          </w:p>
        </w:tc>
        <w:tc>
          <w:tcPr/>
          <w:p>
            <w:pPr>
              <w:pStyle w:val="Compact"/>
              <w:jc w:val="left"/>
            </w:pPr>
            <w:r>
              <w:rPr>
                <w:rFonts w:ascii="Times New Roman" w:hAnsi="Times New Roman"/>
                <w:sz w:val="20"/>
              </w:rPr>
              <w:t xml:space="preserve">R_SERIE = 100 Ω (précision 1 %)</w:t>
            </w:r>
          </w:p>
        </w:tc>
        <w:tc>
          <w:tcPr/>
          <w:p>
            <w:pPr>
              <w:pStyle w:val="Compact"/>
              <w:jc w:val="left"/>
            </w:pPr>
            <w:r>
              <w:rPr>
                <w:rFonts w:ascii="Times New Roman" w:hAnsi="Times New Roman"/>
                <w:sz w:val="20"/>
              </w:rPr>
              <w:t xml:space="preserve">Limitation du courant, réduction de l’échauffement</w:t>
            </w:r>
          </w:p>
        </w:tc>
        <w:tc>
          <w:tcPr/>
          <w:p>
            <w:pPr>
              <w:pStyle w:val="Compact"/>
              <w:jc w:val="left"/>
            </w:pPr>
            <w:r>
              <w:rPr>
                <w:rFonts w:ascii="Times New Roman" w:hAnsi="Times New Roman"/>
                <w:sz w:val="20"/>
              </w:rPr>
              <w:t xml:space="preserve">Marché électronique local</w:t>
            </w:r>
          </w:p>
        </w:tc>
      </w:tr>
      <w:tr>
        <w:tc>
          <w:tcPr/>
          <w:p>
            <w:pPr>
              <w:pStyle w:val="Compact"/>
              <w:jc w:val="left"/>
            </w:pPr>
            <w:r>
              <w:rPr>
                <w:rFonts w:ascii="Times New Roman" w:hAnsi="Times New Roman"/>
                <w:sz w:val="20"/>
              </w:rPr>
              <w:t xml:space="preserve">Pull-up DS18B20</w:t>
            </w:r>
          </w:p>
        </w:tc>
        <w:tc>
          <w:tcPr/>
          <w:p>
            <w:pPr>
              <w:pStyle w:val="Compact"/>
              <w:jc w:val="left"/>
            </w:pPr>
            <w:r>
              <w:rPr>
                <w:rFonts w:ascii="Times New Roman" w:hAnsi="Times New Roman"/>
                <w:sz w:val="20"/>
              </w:rPr>
              <w:t xml:space="preserve">4,7 kΩ</w:t>
            </w:r>
          </w:p>
        </w:tc>
        <w:tc>
          <w:tcPr/>
          <w:p>
            <w:pPr>
              <w:pStyle w:val="Compact"/>
              <w:jc w:val="left"/>
            </w:pPr>
            <w:r>
              <w:rPr>
                <w:rFonts w:ascii="Times New Roman" w:hAnsi="Times New Roman"/>
                <w:sz w:val="20"/>
              </w:rPr>
              <w:t xml:space="preserve">Résistance pull-up bus 1-Wire</w:t>
            </w:r>
          </w:p>
        </w:tc>
        <w:tc>
          <w:tcPr/>
          <w:p>
            <w:pPr>
              <w:pStyle w:val="Compact"/>
              <w:jc w:val="left"/>
            </w:pPr>
            <w:r>
              <w:rPr>
                <w:rFonts w:ascii="Times New Roman" w:hAnsi="Times New Roman"/>
                <w:sz w:val="20"/>
              </w:rPr>
              <w:t xml:space="preserve">Marché électronique local</w:t>
            </w:r>
          </w:p>
        </w:tc>
      </w:tr>
      <w:tr>
        <w:tc>
          <w:tcPr/>
          <w:p>
            <w:pPr>
              <w:pStyle w:val="Compact"/>
              <w:jc w:val="left"/>
            </w:pPr>
            <w:r>
              <w:rPr>
                <w:rFonts w:ascii="Times New Roman" w:hAnsi="Times New Roman"/>
                <w:sz w:val="20"/>
              </w:rPr>
              <w:t xml:space="preserve">Récipient corrosion</w:t>
            </w:r>
          </w:p>
        </w:tc>
        <w:tc>
          <w:tcPr/>
          <w:p>
            <w:pPr>
              <w:pStyle w:val="Compact"/>
              <w:jc w:val="left"/>
            </w:pPr>
            <w:r>
              <w:rPr>
                <w:rFonts w:ascii="Times New Roman" w:hAnsi="Times New Roman"/>
                <w:sz w:val="20"/>
              </w:rPr>
              <w:t xml:space="preserve">Pot plastique HDPE, 2 L</w:t>
            </w:r>
          </w:p>
        </w:tc>
        <w:tc>
          <w:tcPr/>
          <w:p>
            <w:pPr>
              <w:pStyle w:val="Compact"/>
              <w:jc w:val="left"/>
            </w:pPr>
            <w:r>
              <w:rPr>
                <w:rFonts w:ascii="Times New Roman" w:hAnsi="Times New Roman"/>
                <w:sz w:val="20"/>
              </w:rPr>
              <w:t xml:space="preserve">Cellule de corrosion</w:t>
            </w:r>
          </w:p>
        </w:tc>
        <w:tc>
          <w:tcPr/>
          <w:p>
            <w:pPr>
              <w:pStyle w:val="Compact"/>
              <w:jc w:val="left"/>
            </w:pPr>
            <w:r>
              <w:rPr>
                <w:rFonts w:ascii="Times New Roman" w:hAnsi="Times New Roman"/>
                <w:sz w:val="20"/>
              </w:rPr>
              <w:t xml:space="preserve">Quincaillerie locale</w:t>
            </w:r>
          </w:p>
        </w:tc>
      </w:tr>
      <w:tr>
        <w:tc>
          <w:tcPr/>
          <w:p>
            <w:pPr>
              <w:pStyle w:val="Compact"/>
              <w:jc w:val="left"/>
            </w:pPr>
            <w:r>
              <w:rPr>
                <w:rFonts w:ascii="Times New Roman" w:hAnsi="Times New Roman"/>
                <w:sz w:val="20"/>
              </w:rPr>
              <w:t xml:space="preserve">Milieu corrosif</w:t>
            </w:r>
          </w:p>
        </w:tc>
        <w:tc>
          <w:tcPr/>
          <w:p>
            <w:pPr>
              <w:pStyle w:val="Compact"/>
              <w:jc w:val="left"/>
            </w:pPr>
            <w:r>
              <w:rPr>
                <w:rFonts w:ascii="Times New Roman" w:hAnsi="Times New Roman"/>
                <w:sz w:val="20"/>
              </w:rPr>
              <w:t xml:space="preserve">Detar Plus (concentré, non dilué)</w:t>
            </w:r>
          </w:p>
        </w:tc>
        <w:tc>
          <w:tcPr/>
          <w:p>
            <w:pPr>
              <w:pStyle w:val="Compact"/>
              <w:jc w:val="left"/>
            </w:pPr>
            <w:r>
              <w:rPr>
                <w:rFonts w:ascii="Times New Roman" w:hAnsi="Times New Roman"/>
                <w:sz w:val="20"/>
              </w:rPr>
              <w:t xml:space="preserve">Environnement corrosif multi-acide</w:t>
            </w:r>
          </w:p>
        </w:tc>
        <w:tc>
          <w:tcPr/>
          <w:p>
            <w:pPr>
              <w:pStyle w:val="Compact"/>
              <w:jc w:val="left"/>
            </w:pPr>
            <w:r>
              <w:rPr>
                <w:rFonts w:ascii="Times New Roman" w:hAnsi="Times New Roman"/>
                <w:sz w:val="20"/>
              </w:rPr>
              <w:t xml:space="preserve">Commerce local</w:t>
            </w:r>
          </w:p>
        </w:tc>
      </w:tr>
      <w:tr>
        <w:tc>
          <w:tcPr/>
          <w:p>
            <w:pPr>
              <w:pStyle w:val="Compact"/>
              <w:jc w:val="left"/>
            </w:pPr>
            <w:r>
              <w:rPr>
                <w:rFonts w:ascii="Times New Roman" w:hAnsi="Times New Roman"/>
                <w:sz w:val="20"/>
              </w:rPr>
              <w:t xml:space="preserve">Inhibiteur</w:t>
            </w:r>
          </w:p>
        </w:tc>
        <w:tc>
          <w:tcPr/>
          <w:p>
            <w:pPr>
              <w:pStyle w:val="Compact"/>
              <w:jc w:val="left"/>
            </w:pPr>
            <w:r>
              <w:rPr>
                <w:rFonts w:ascii="Times New Roman" w:hAnsi="Times New Roman"/>
                <w:sz w:val="20"/>
              </w:rPr>
              <w:t xml:space="preserve">AC PROTECT 106 (imidazoline)</w:t>
            </w:r>
          </w:p>
        </w:tc>
        <w:tc>
          <w:tcPr/>
          <w:p>
            <w:pPr>
              <w:pStyle w:val="Compact"/>
              <w:jc w:val="left"/>
            </w:pPr>
            <w:r>
              <w:rPr>
                <w:rFonts w:ascii="Times New Roman" w:hAnsi="Times New Roman"/>
                <w:sz w:val="20"/>
              </w:rPr>
              <w:t xml:space="preserve">Test d’efficacité d’inhibition, runs 3 et 4</w:t>
            </w:r>
          </w:p>
        </w:tc>
        <w:tc>
          <w:tcPr/>
          <w:p>
            <w:pPr>
              <w:pStyle w:val="Compact"/>
              <w:jc w:val="left"/>
            </w:pPr>
            <w:r>
              <w:rPr>
                <w:rFonts w:ascii="Times New Roman" w:hAnsi="Times New Roman"/>
                <w:sz w:val="20"/>
              </w:rPr>
              <w:t xml:space="preserve">Fournisseur industriel</w:t>
            </w:r>
          </w:p>
        </w:tc>
      </w:tr>
      <w:tr>
        <w:tc>
          <w:tcPr/>
          <w:p>
            <w:pPr>
              <w:pStyle w:val="Compact"/>
              <w:jc w:val="left"/>
            </w:pPr>
            <w:r>
              <w:rPr>
                <w:rFonts w:ascii="Times New Roman" w:hAnsi="Times New Roman"/>
                <w:sz w:val="20"/>
              </w:rPr>
              <w:t xml:space="preserve">pH-mètre papier</w:t>
            </w:r>
          </w:p>
        </w:tc>
        <w:tc>
          <w:tcPr/>
          <w:p>
            <w:pPr>
              <w:pStyle w:val="Compact"/>
              <w:jc w:val="left"/>
            </w:pPr>
            <w:r>
              <w:rPr>
                <w:rFonts w:ascii="Times New Roman" w:hAnsi="Times New Roman"/>
                <w:sz w:val="20"/>
              </w:rPr>
              <w:t xml:space="preserve">Plages : 0–14 (résolution 0,5)</w:t>
            </w:r>
          </w:p>
        </w:tc>
        <w:tc>
          <w:tcPr/>
          <w:p>
            <w:pPr>
              <w:pStyle w:val="Compact"/>
              <w:jc w:val="left"/>
            </w:pPr>
            <w:r>
              <w:rPr>
                <w:rFonts w:ascii="Times New Roman" w:hAnsi="Times New Roman"/>
                <w:sz w:val="20"/>
              </w:rPr>
              <w:t xml:space="preserve">Vérification pH avant chaque run</w:t>
            </w:r>
          </w:p>
        </w:tc>
        <w:tc>
          <w:tcPr/>
          <w:p>
            <w:pPr>
              <w:pStyle w:val="Compact"/>
              <w:jc w:val="left"/>
            </w:pPr>
            <w:r>
              <w:rPr>
                <w:rFonts w:ascii="Times New Roman" w:hAnsi="Times New Roman"/>
                <w:sz w:val="20"/>
              </w:rPr>
              <w:t xml:space="preserve">Commerce local</w:t>
            </w:r>
          </w:p>
        </w:tc>
      </w:tr>
      <w:tr>
        <w:tc>
          <w:tcPr/>
          <w:p>
            <w:pPr>
              <w:pStyle w:val="Compact"/>
              <w:jc w:val="left"/>
            </w:pPr>
            <w:r>
              <w:rPr>
                <w:rFonts w:ascii="Times New Roman" w:hAnsi="Times New Roman"/>
                <w:sz w:val="20"/>
              </w:rPr>
              <w:t xml:space="preserve">Câble USB-UART</w:t>
            </w:r>
          </w:p>
        </w:tc>
        <w:tc>
          <w:tcPr/>
          <w:p>
            <w:pPr>
              <w:pStyle w:val="Compact"/>
              <w:jc w:val="left"/>
            </w:pPr>
            <w:r>
              <w:rPr>
                <w:rFonts w:ascii="Times New Roman" w:hAnsi="Times New Roman"/>
                <w:sz w:val="20"/>
              </w:rPr>
              <w:t xml:space="preserve">CP2102 ou CH340</w:t>
            </w:r>
          </w:p>
        </w:tc>
        <w:tc>
          <w:tcPr/>
          <w:p>
            <w:pPr>
              <w:pStyle w:val="Compact"/>
              <w:jc w:val="left"/>
            </w:pPr>
            <w:r>
              <w:rPr>
                <w:rFonts w:ascii="Times New Roman" w:hAnsi="Times New Roman"/>
                <w:sz w:val="20"/>
              </w:rPr>
              <w:t xml:space="preserve">Liaison ESP32 → PC</w:t>
            </w:r>
          </w:p>
        </w:tc>
        <w:tc>
          <w:tcPr/>
          <w:p>
            <w:pPr>
              <w:pStyle w:val="Compact"/>
              <w:jc w:val="left"/>
            </w:pPr>
            <w:r>
              <w:rPr>
                <w:rFonts w:ascii="Times New Roman" w:hAnsi="Times New Roman"/>
                <w:sz w:val="20"/>
              </w:rPr>
              <w:t xml:space="preserve">Marché électronique local</w:t>
            </w:r>
          </w:p>
        </w:tc>
      </w:tr>
      <w:tr>
        <w:tc>
          <w:tcPr/>
          <w:p>
            <w:pPr>
              <w:pStyle w:val="Compact"/>
              <w:jc w:val="left"/>
            </w:pPr>
            <w:r>
              <w:rPr>
                <w:rFonts w:ascii="Times New Roman" w:hAnsi="Times New Roman"/>
                <w:sz w:val="20"/>
              </w:rPr>
              <w:t xml:space="preserve">Ordinateur portable</w:t>
            </w:r>
          </w:p>
        </w:tc>
        <w:tc>
          <w:tcPr/>
          <w:p>
            <w:pPr>
              <w:pStyle w:val="Compact"/>
              <w:jc w:val="left"/>
            </w:pPr>
            <w:r>
              <w:rPr>
                <w:rFonts w:ascii="Times New Roman" w:hAnsi="Times New Roman"/>
                <w:sz w:val="20"/>
              </w:rPr>
              <w:t xml:space="preserve">—</w:t>
            </w:r>
          </w:p>
        </w:tc>
        <w:tc>
          <w:tcPr/>
          <w:p>
            <w:pPr>
              <w:pStyle w:val="Compact"/>
              <w:jc w:val="left"/>
            </w:pPr>
            <w:r>
              <w:rPr>
                <w:rFonts w:ascii="Times New Roman" w:hAnsi="Times New Roman"/>
                <w:sz w:val="20"/>
              </w:rPr>
              <w:t xml:space="preserve">Acquisition CSV, exécution pipeline Python</w:t>
            </w:r>
          </w:p>
        </w:tc>
        <w:tc>
          <w:tcPr/>
          <w:p>
            <w:pPr>
              <w:pStyle w:val="Compact"/>
              <w:jc w:val="left"/>
            </w:pPr>
            <w:r>
              <w:rPr>
                <w:rFonts w:ascii="Times New Roman" w:hAnsi="Times New Roman"/>
                <w:sz w:val="20"/>
              </w:rPr>
              <w:t xml:space="preserve">Personnel</w:t>
            </w:r>
          </w:p>
        </w:tc>
      </w:tr>
    </w:tbl>
    <w:p>
      <w:pPr>
        <w:pStyle w:val="BodyText"/>
      </w:pPr>
      <w:r>
        <w:rPr>
          <w:rFonts w:ascii="Times New Roman" w:hAnsi="Times New Roman"/>
          <w:b/>
          <w:bCs/>
        </w:rPr>
        <w:t xml:space="preserve">Tableau 3.2 — Ressources logicielles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b/>
                <w:sz w:val="20"/>
              </w:rPr>
              <w:t xml:space="preserve">Logiciel / Bibliothèque</w:t>
            </w:r>
          </w:p>
        </w:tc>
        <w:tc>
          <w:tcPr/>
          <w:p>
            <w:pPr>
              <w:pStyle w:val="Compact"/>
              <w:jc w:val="left"/>
            </w:pPr>
            <w:r>
              <w:rPr>
                <w:rFonts w:ascii="Times New Roman" w:hAnsi="Times New Roman"/>
                <w:b/>
                <w:sz w:val="20"/>
              </w:rPr>
              <w:t xml:space="preserve">Version</w:t>
            </w:r>
          </w:p>
        </w:tc>
        <w:tc>
          <w:tcPr/>
          <w:p>
            <w:pPr>
              <w:pStyle w:val="Compact"/>
              <w:jc w:val="left"/>
            </w:pPr>
            <w:r>
              <w:rPr>
                <w:rFonts w:ascii="Times New Roman" w:hAnsi="Times New Roman"/>
                <w:b/>
                <w:sz w:val="20"/>
              </w:rPr>
              <w:t xml:space="preserve">Rôle</w:t>
            </w:r>
          </w:p>
        </w:tc>
      </w:tr>
      <w:tr>
        <w:tc>
          <w:tcPr/>
          <w:p>
            <w:pPr>
              <w:pStyle w:val="Compact"/>
              <w:jc w:val="left"/>
            </w:pPr>
            <w:r>
              <w:rPr>
                <w:rFonts w:ascii="Times New Roman" w:hAnsi="Times New Roman"/>
                <w:sz w:val="20"/>
              </w:rPr>
              <w:t xml:space="preserve">Arduino IDE</w:t>
            </w:r>
          </w:p>
        </w:tc>
        <w:tc>
          <w:tcPr/>
          <w:p>
            <w:pPr>
              <w:pStyle w:val="Compact"/>
              <w:jc w:val="left"/>
            </w:pPr>
            <w:r>
              <w:rPr>
                <w:rFonts w:ascii="Times New Roman" w:hAnsi="Times New Roman"/>
                <w:sz w:val="20"/>
              </w:rPr>
              <w:t xml:space="preserve">2.x</w:t>
            </w:r>
          </w:p>
        </w:tc>
        <w:tc>
          <w:tcPr/>
          <w:p>
            <w:pPr>
              <w:pStyle w:val="Compact"/>
              <w:jc w:val="left"/>
            </w:pPr>
            <w:r>
              <w:rPr>
                <w:rFonts w:ascii="Times New Roman" w:hAnsi="Times New Roman"/>
                <w:sz w:val="20"/>
              </w:rPr>
              <w:t xml:space="preserve">Programmation firmware ESP32</w:t>
            </w:r>
          </w:p>
        </w:tc>
      </w:tr>
      <w:tr>
        <w:tc>
          <w:tcPr/>
          <w:p>
            <w:pPr>
              <w:pStyle w:val="Compact"/>
              <w:jc w:val="left"/>
            </w:pPr>
            <w:r>
              <w:rPr>
                <w:rFonts w:ascii="Times New Roman" w:hAnsi="Times New Roman"/>
                <w:sz w:val="20"/>
              </w:rPr>
              <w:t xml:space="preserve">Bibliothèque HX711 (bogde)</w:t>
            </w:r>
          </w:p>
        </w:tc>
        <w:tc>
          <w:tcPr/>
          <w:p>
            <w:pPr>
              <w:pStyle w:val="Compact"/>
              <w:jc w:val="left"/>
            </w:pPr>
            <w:r>
              <w:rPr>
                <w:rFonts w:ascii="Times New Roman" w:hAnsi="Times New Roman"/>
                <w:sz w:val="20"/>
              </w:rPr>
              <w:t xml:space="preserve">0.7.5</w:t>
            </w:r>
          </w:p>
        </w:tc>
        <w:tc>
          <w:tcPr/>
          <w:p>
            <w:pPr>
              <w:pStyle w:val="Compact"/>
              <w:jc w:val="left"/>
            </w:pPr>
            <w:r>
              <w:rPr>
                <w:rFonts w:ascii="Times New Roman" w:hAnsi="Times New Roman"/>
                <w:sz w:val="20"/>
              </w:rPr>
              <w:t xml:space="preserve">Lecture HX711 via Arduino</w:t>
            </w:r>
          </w:p>
        </w:tc>
      </w:tr>
      <w:tr>
        <w:tc>
          <w:tcPr/>
          <w:p>
            <w:pPr>
              <w:pStyle w:val="Compact"/>
              <w:jc w:val="left"/>
            </w:pPr>
            <w:r>
              <w:rPr>
                <w:rFonts w:ascii="Times New Roman" w:hAnsi="Times New Roman"/>
                <w:sz w:val="20"/>
              </w:rPr>
              <w:t xml:space="preserve">Bibliothèque DallasTemperature</w:t>
            </w:r>
          </w:p>
        </w:tc>
        <w:tc>
          <w:tcPr/>
          <w:p>
            <w:pPr>
              <w:pStyle w:val="Compact"/>
              <w:jc w:val="left"/>
            </w:pPr>
            <w:r>
              <w:rPr>
                <w:rFonts w:ascii="Times New Roman" w:hAnsi="Times New Roman"/>
                <w:sz w:val="20"/>
              </w:rPr>
              <w:t xml:space="preserve">3.9.x</w:t>
            </w:r>
          </w:p>
        </w:tc>
        <w:tc>
          <w:tcPr/>
          <w:p>
            <w:pPr>
              <w:pStyle w:val="Compact"/>
              <w:jc w:val="left"/>
            </w:pPr>
            <w:r>
              <w:rPr>
                <w:rFonts w:ascii="Times New Roman" w:hAnsi="Times New Roman"/>
                <w:sz w:val="20"/>
              </w:rPr>
              <w:t xml:space="preserve">Lecture DS18B20 via Arduino</w:t>
            </w:r>
          </w:p>
        </w:tc>
      </w:tr>
      <w:tr>
        <w:tc>
          <w:tcPr/>
          <w:p>
            <w:pPr>
              <w:pStyle w:val="Compact"/>
              <w:jc w:val="left"/>
            </w:pPr>
            <w:r>
              <w:rPr>
                <w:rFonts w:ascii="Times New Roman" w:hAnsi="Times New Roman"/>
                <w:sz w:val="20"/>
              </w:rPr>
              <w:t xml:space="preserve">Python</w:t>
            </w:r>
          </w:p>
        </w:tc>
        <w:tc>
          <w:tcPr/>
          <w:p>
            <w:pPr>
              <w:pStyle w:val="Compact"/>
              <w:jc w:val="left"/>
            </w:pPr>
            <w:r>
              <w:rPr>
                <w:rFonts w:ascii="Times New Roman" w:hAnsi="Times New Roman"/>
                <w:sz w:val="20"/>
              </w:rPr>
              <w:t xml:space="preserve">3.10</w:t>
            </w:r>
          </w:p>
        </w:tc>
        <w:tc>
          <w:tcPr/>
          <w:p>
            <w:pPr>
              <w:pStyle w:val="Compact"/>
              <w:jc w:val="left"/>
            </w:pPr>
            <w:r>
              <w:rPr>
                <w:rFonts w:ascii="Times New Roman" w:hAnsi="Times New Roman"/>
                <w:sz w:val="20"/>
              </w:rPr>
              <w:t xml:space="preserve">Pipeline de traitement et ML</w:t>
            </w:r>
          </w:p>
        </w:tc>
      </w:tr>
      <w:tr>
        <w:tc>
          <w:tcPr/>
          <w:p>
            <w:pPr>
              <w:pStyle w:val="Compact"/>
              <w:jc w:val="left"/>
            </w:pPr>
            <w:r>
              <w:rPr>
                <w:rFonts w:ascii="Times New Roman" w:hAnsi="Times New Roman"/>
                <w:sz w:val="20"/>
              </w:rPr>
              <w:t xml:space="preserve">Pandas</w:t>
            </w:r>
          </w:p>
        </w:tc>
        <w:tc>
          <w:tcPr/>
          <w:p>
            <w:pPr>
              <w:pStyle w:val="Compact"/>
              <w:jc w:val="left"/>
            </w:pPr>
            <w:r>
              <w:rPr>
                <w:rFonts w:ascii="Times New Roman" w:hAnsi="Times New Roman"/>
                <w:sz w:val="20"/>
              </w:rPr>
              <w:t xml:space="preserve">2.x</w:t>
            </w:r>
          </w:p>
        </w:tc>
        <w:tc>
          <w:tcPr/>
          <w:p>
            <w:pPr>
              <w:pStyle w:val="Compact"/>
              <w:jc w:val="left"/>
            </w:pPr>
            <w:r>
              <w:rPr>
                <w:rFonts w:ascii="Times New Roman" w:hAnsi="Times New Roman"/>
                <w:sz w:val="20"/>
              </w:rPr>
              <w:t xml:space="preserve">Manipulation des séries temporelles CSV</w:t>
            </w:r>
          </w:p>
        </w:tc>
      </w:tr>
      <w:tr>
        <w:tc>
          <w:tcPr/>
          <w:p>
            <w:pPr>
              <w:pStyle w:val="Compact"/>
              <w:jc w:val="left"/>
            </w:pPr>
            <w:r>
              <w:rPr>
                <w:rFonts w:ascii="Times New Roman" w:hAnsi="Times New Roman"/>
                <w:sz w:val="20"/>
              </w:rPr>
              <w:t xml:space="preserve">NumPy</w:t>
            </w:r>
          </w:p>
        </w:tc>
        <w:tc>
          <w:tcPr/>
          <w:p>
            <w:pPr>
              <w:pStyle w:val="Compact"/>
              <w:jc w:val="left"/>
            </w:pPr>
            <w:r>
              <w:rPr>
                <w:rFonts w:ascii="Times New Roman" w:hAnsi="Times New Roman"/>
                <w:sz w:val="20"/>
              </w:rPr>
              <w:t xml:space="preserve">1.x</w:t>
            </w:r>
          </w:p>
        </w:tc>
        <w:tc>
          <w:tcPr/>
          <w:p>
            <w:pPr>
              <w:pStyle w:val="Compact"/>
              <w:jc w:val="left"/>
            </w:pPr>
            <w:r>
              <w:rPr>
                <w:rFonts w:ascii="Times New Roman" w:hAnsi="Times New Roman"/>
                <w:sz w:val="20"/>
              </w:rPr>
              <w:t xml:space="preserve">Calculs numériques</w:t>
            </w:r>
          </w:p>
        </w:tc>
      </w:tr>
      <w:tr>
        <w:tc>
          <w:tcPr/>
          <w:p>
            <w:pPr>
              <w:pStyle w:val="Compact"/>
              <w:jc w:val="left"/>
            </w:pPr>
            <w:r>
              <w:rPr>
                <w:rFonts w:ascii="Times New Roman" w:hAnsi="Times New Roman"/>
                <w:sz w:val="20"/>
              </w:rPr>
              <w:t xml:space="preserve">SciPy (savgol_filter)</w:t>
            </w:r>
          </w:p>
        </w:tc>
        <w:tc>
          <w:tcPr/>
          <w:p>
            <w:pPr>
              <w:pStyle w:val="Compact"/>
              <w:jc w:val="left"/>
            </w:pPr>
            <w:r>
              <w:rPr>
                <w:rFonts w:ascii="Times New Roman" w:hAnsi="Times New Roman"/>
                <w:sz w:val="20"/>
              </w:rPr>
              <w:t xml:space="preserve">1.x</w:t>
            </w:r>
          </w:p>
        </w:tc>
        <w:tc>
          <w:tcPr/>
          <w:p>
            <w:pPr>
              <w:pStyle w:val="Compact"/>
              <w:jc w:val="left"/>
            </w:pPr>
            <w:r>
              <w:rPr>
                <w:rFonts w:ascii="Times New Roman" w:hAnsi="Times New Roman"/>
                <w:sz w:val="20"/>
              </w:rPr>
              <w:t xml:space="preserve">Lissage Savitzky-Golay du signal ER</w:t>
            </w:r>
          </w:p>
        </w:tc>
      </w:tr>
      <w:tr>
        <w:tc>
          <w:tcPr/>
          <w:p>
            <w:pPr>
              <w:pStyle w:val="Compact"/>
              <w:jc w:val="left"/>
            </w:pPr>
            <w:r>
              <w:rPr>
                <w:rFonts w:ascii="Times New Roman" w:hAnsi="Times New Roman"/>
                <w:sz w:val="20"/>
              </w:rPr>
              <w:t xml:space="preserve">XGBoost</w:t>
            </w:r>
          </w:p>
        </w:tc>
        <w:tc>
          <w:tcPr/>
          <w:p>
            <w:pPr>
              <w:pStyle w:val="Compact"/>
              <w:jc w:val="left"/>
            </w:pPr>
            <w:r>
              <w:rPr>
                <w:rFonts w:ascii="Times New Roman" w:hAnsi="Times New Roman"/>
                <w:sz w:val="20"/>
              </w:rPr>
              <w:t xml:space="preserve">2.x</w:t>
            </w:r>
          </w:p>
        </w:tc>
        <w:tc>
          <w:tcPr/>
          <w:p>
            <w:pPr>
              <w:pStyle w:val="Compact"/>
              <w:jc w:val="left"/>
            </w:pPr>
            <w:r>
              <w:rPr>
                <w:rFonts w:ascii="Times New Roman" w:hAnsi="Times New Roman"/>
                <w:sz w:val="20"/>
              </w:rPr>
              <w:t xml:space="preserve">Entraînement du modèle de prédiction</w:t>
            </w:r>
          </w:p>
        </w:tc>
      </w:tr>
      <w:tr>
        <w:tc>
          <w:tcPr/>
          <w:p>
            <w:pPr>
              <w:pStyle w:val="Compact"/>
              <w:jc w:val="left"/>
            </w:pPr>
            <w:r>
              <w:rPr>
                <w:rFonts w:ascii="Times New Roman" w:hAnsi="Times New Roman"/>
                <w:sz w:val="20"/>
              </w:rPr>
              <w:t xml:space="preserve">Scikit-learn</w:t>
            </w:r>
          </w:p>
        </w:tc>
        <w:tc>
          <w:tcPr/>
          <w:p>
            <w:pPr>
              <w:pStyle w:val="Compact"/>
              <w:jc w:val="left"/>
            </w:pPr>
            <w:r>
              <w:rPr>
                <w:rFonts w:ascii="Times New Roman" w:hAnsi="Times New Roman"/>
                <w:sz w:val="20"/>
              </w:rPr>
              <w:t xml:space="preserve">1.x</w:t>
            </w:r>
          </w:p>
        </w:tc>
        <w:tc>
          <w:tcPr/>
          <w:p>
            <w:pPr>
              <w:pStyle w:val="Compact"/>
              <w:jc w:val="left"/>
            </w:pPr>
            <w:r>
              <w:rPr>
                <w:rFonts w:ascii="Times New Roman" w:hAnsi="Times New Roman"/>
                <w:sz w:val="20"/>
              </w:rPr>
              <w:t xml:space="preserve">Validation croisée temporelle (TimeSeriesSplit)</w:t>
            </w:r>
          </w:p>
        </w:tc>
      </w:tr>
      <w:tr>
        <w:tc>
          <w:tcPr/>
          <w:p>
            <w:pPr>
              <w:pStyle w:val="Compact"/>
              <w:jc w:val="left"/>
            </w:pPr>
            <w:r>
              <w:rPr>
                <w:rFonts w:ascii="Times New Roman" w:hAnsi="Times New Roman"/>
                <w:sz w:val="20"/>
              </w:rPr>
              <w:t xml:space="preserve">SHAP</w:t>
            </w:r>
          </w:p>
        </w:tc>
        <w:tc>
          <w:tcPr/>
          <w:p>
            <w:pPr>
              <w:pStyle w:val="Compact"/>
              <w:jc w:val="left"/>
            </w:pPr>
            <w:r>
              <w:rPr>
                <w:rFonts w:ascii="Times New Roman" w:hAnsi="Times New Roman"/>
                <w:sz w:val="20"/>
              </w:rPr>
              <w:t xml:space="preserve">0.43.x</w:t>
            </w:r>
          </w:p>
        </w:tc>
        <w:tc>
          <w:tcPr/>
          <w:p>
            <w:pPr>
              <w:pStyle w:val="Compact"/>
              <w:jc w:val="left"/>
            </w:pPr>
            <w:r>
              <w:rPr>
                <w:rFonts w:ascii="Times New Roman" w:hAnsi="Times New Roman"/>
                <w:sz w:val="20"/>
              </w:rPr>
              <w:t xml:space="preserve">Interprétabilité du modèle XGBoost</w:t>
            </w:r>
          </w:p>
        </w:tc>
      </w:tr>
      <w:tr>
        <w:tc>
          <w:tcPr/>
          <w:p>
            <w:pPr>
              <w:pStyle w:val="Compact"/>
              <w:jc w:val="left"/>
            </w:pPr>
            <w:r>
              <w:rPr>
                <w:rFonts w:ascii="Times New Roman" w:hAnsi="Times New Roman"/>
                <w:sz w:val="20"/>
              </w:rPr>
              <w:t xml:space="preserve">Matplotlib / Seaborn</w:t>
            </w:r>
          </w:p>
        </w:tc>
        <w:tc>
          <w:tcPr/>
          <w:p>
            <w:pPr>
              <w:pStyle w:val="Compact"/>
              <w:jc w:val="left"/>
            </w:pPr>
            <w:r>
              <w:rPr>
                <w:rFonts w:ascii="Times New Roman" w:hAnsi="Times New Roman"/>
                <w:sz w:val="20"/>
              </w:rPr>
              <w:t xml:space="preserve">—</w:t>
            </w:r>
          </w:p>
        </w:tc>
        <w:tc>
          <w:tcPr/>
          <w:p>
            <w:pPr>
              <w:pStyle w:val="Compact"/>
              <w:jc w:val="left"/>
            </w:pPr>
            <w:r>
              <w:rPr>
                <w:rFonts w:ascii="Times New Roman" w:hAnsi="Times New Roman"/>
                <w:sz w:val="20"/>
              </w:rPr>
              <w:t xml:space="preserve">Visualisation</w:t>
            </w:r>
          </w:p>
        </w:tc>
      </w:tr>
      <w:tr>
        <w:tc>
          <w:tcPr/>
          <w:p>
            <w:pPr>
              <w:pStyle w:val="Compact"/>
              <w:jc w:val="left"/>
            </w:pPr>
            <w:r>
              <w:rPr>
                <w:rFonts w:ascii="Times New Roman" w:hAnsi="Times New Roman"/>
                <w:sz w:val="20"/>
              </w:rPr>
              <w:t xml:space="preserve">Joblib</w:t>
            </w:r>
          </w:p>
        </w:tc>
        <w:tc>
          <w:tcPr/>
          <w:p>
            <w:pPr>
              <w:pStyle w:val="Compact"/>
              <w:jc w:val="left"/>
            </w:pPr>
            <w:r>
              <w:rPr>
                <w:rFonts w:ascii="Times New Roman" w:hAnsi="Times New Roman"/>
                <w:sz w:val="20"/>
              </w:rPr>
              <w:t xml:space="preserve">—</w:t>
            </w:r>
          </w:p>
        </w:tc>
        <w:tc>
          <w:tcPr/>
          <w:p>
            <w:pPr>
              <w:pStyle w:val="Compact"/>
              <w:jc w:val="left"/>
            </w:pPr>
            <w:r>
              <w:rPr>
                <w:rFonts w:ascii="Times New Roman" w:hAnsi="Times New Roman"/>
                <w:sz w:val="20"/>
              </w:rPr>
              <w:t xml:space="preserve">Persistance du modèle entraîné</w:t>
            </w:r>
          </w:p>
        </w:tc>
      </w:tr>
      <w:tr>
        <w:tc>
          <w:tcPr/>
          <w:p>
            <w:pPr>
              <w:pStyle w:val="Compact"/>
              <w:jc w:val="left"/>
            </w:pPr>
            <w:r>
              <w:rPr>
                <w:rFonts w:ascii="Times New Roman" w:hAnsi="Times New Roman"/>
                <w:sz w:val="20"/>
              </w:rPr>
              <w:t xml:space="preserve">Arduino Serial Monitor</w:t>
            </w:r>
          </w:p>
        </w:tc>
        <w:tc>
          <w:tcPr/>
          <w:p>
            <w:pPr>
              <w:pStyle w:val="Compact"/>
              <w:jc w:val="left"/>
            </w:pPr>
            <w:r>
              <w:rPr>
                <w:rFonts w:ascii="Times New Roman" w:hAnsi="Times New Roman"/>
                <w:sz w:val="20"/>
              </w:rPr>
              <w:t xml:space="preserve">—</w:t>
            </w:r>
          </w:p>
        </w:tc>
        <w:tc>
          <w:tcPr/>
          <w:p>
            <w:pPr>
              <w:pStyle w:val="Compact"/>
              <w:jc w:val="left"/>
            </w:pPr>
            <w:r>
              <w:rPr>
                <w:rFonts w:ascii="Times New Roman" w:hAnsi="Times New Roman"/>
                <w:sz w:val="20"/>
              </w:rPr>
              <w:t xml:space="preserve">Lecture CSV temps réel pendant acquisition</w:t>
            </w:r>
          </w:p>
        </w:tc>
      </w:tr>
    </w:tbl>
    <w:p>
      <w:pPr>
        <w:pStyle w:val="BodyText"/>
      </w:pPr>
      <w:r>
        <w:rPr>
          <w:rFonts w:ascii="Times New Roman" w:hAnsi="Times New Roman"/>
          <w:b/>
          <w:bCs/>
        </w:rPr>
        <w:t xml:space="preserve">Tableau 3.3 — Ressources documentaires (normes et références principales)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b/>
                <w:sz w:val="20"/>
              </w:rPr>
              <w:t xml:space="preserve">Référence</w:t>
            </w:r>
          </w:p>
        </w:tc>
        <w:tc>
          <w:tcPr/>
          <w:p>
            <w:pPr>
              <w:pStyle w:val="Compact"/>
              <w:jc w:val="left"/>
            </w:pPr>
            <w:r>
              <w:rPr>
                <w:rFonts w:ascii="Times New Roman" w:hAnsi="Times New Roman"/>
                <w:b/>
                <w:sz w:val="20"/>
              </w:rPr>
              <w:t xml:space="preserve">Organisme</w:t>
            </w:r>
          </w:p>
        </w:tc>
        <w:tc>
          <w:tcPr/>
          <w:p>
            <w:pPr>
              <w:pStyle w:val="Compact"/>
              <w:jc w:val="left"/>
            </w:pPr>
            <w:r>
              <w:rPr>
                <w:rFonts w:ascii="Times New Roman" w:hAnsi="Times New Roman"/>
                <w:b/>
                <w:sz w:val="20"/>
              </w:rPr>
              <w:t xml:space="preserve">Objet</w:t>
            </w:r>
          </w:p>
        </w:tc>
      </w:tr>
      <w:tr>
        <w:tc>
          <w:tcPr/>
          <w:p>
            <w:pPr>
              <w:pStyle w:val="Compact"/>
              <w:jc w:val="left"/>
            </w:pPr>
            <w:r>
              <w:rPr>
                <w:rFonts w:ascii="Times New Roman" w:hAnsi="Times New Roman"/>
                <w:sz w:val="20"/>
              </w:rPr>
              <w:t xml:space="preserve">ISO 8044</w:t>
            </w:r>
          </w:p>
        </w:tc>
        <w:tc>
          <w:tcPr/>
          <w:p>
            <w:pPr>
              <w:pStyle w:val="Compact"/>
              <w:jc w:val="left"/>
            </w:pPr>
            <w:r>
              <w:rPr>
                <w:rFonts w:ascii="Times New Roman" w:hAnsi="Times New Roman"/>
                <w:sz w:val="20"/>
              </w:rPr>
              <w:t xml:space="preserve">ISO</w:t>
            </w:r>
          </w:p>
        </w:tc>
        <w:tc>
          <w:tcPr/>
          <w:p>
            <w:pPr>
              <w:pStyle w:val="Compact"/>
              <w:jc w:val="left"/>
            </w:pPr>
            <w:r>
              <w:rPr>
                <w:rFonts w:ascii="Times New Roman" w:hAnsi="Times New Roman"/>
                <w:sz w:val="20"/>
              </w:rPr>
              <w:t xml:space="preserve">Définitions et terminologie de la corrosion</w:t>
            </w:r>
          </w:p>
        </w:tc>
      </w:tr>
      <w:tr>
        <w:tc>
          <w:tcPr/>
          <w:p>
            <w:pPr>
              <w:pStyle w:val="Compact"/>
              <w:jc w:val="left"/>
            </w:pPr>
            <w:r>
              <w:rPr>
                <w:rFonts w:ascii="Times New Roman" w:hAnsi="Times New Roman"/>
                <w:sz w:val="20"/>
              </w:rPr>
              <w:t xml:space="preserve">ASTM G1</w:t>
            </w:r>
          </w:p>
        </w:tc>
        <w:tc>
          <w:tcPr/>
          <w:p>
            <w:pPr>
              <w:pStyle w:val="Compact"/>
              <w:jc w:val="left"/>
            </w:pPr>
            <w:r>
              <w:rPr>
                <w:rFonts w:ascii="Times New Roman" w:hAnsi="Times New Roman"/>
                <w:sz w:val="20"/>
              </w:rPr>
              <w:t xml:space="preserve">ASTM</w:t>
            </w:r>
          </w:p>
        </w:tc>
        <w:tc>
          <w:tcPr/>
          <w:p>
            <w:pPr>
              <w:pStyle w:val="Compact"/>
              <w:jc w:val="left"/>
            </w:pPr>
            <w:r>
              <w:rPr>
                <w:rFonts w:ascii="Times New Roman" w:hAnsi="Times New Roman"/>
                <w:sz w:val="20"/>
              </w:rPr>
              <w:t xml:space="preserve">Préparation et évaluation des éprouvettes de corrosion</w:t>
            </w:r>
          </w:p>
        </w:tc>
      </w:tr>
      <w:tr>
        <w:tc>
          <w:tcPr/>
          <w:p>
            <w:pPr>
              <w:pStyle w:val="Compact"/>
              <w:jc w:val="left"/>
            </w:pPr>
            <w:r>
              <w:rPr>
                <w:rFonts w:ascii="Times New Roman" w:hAnsi="Times New Roman"/>
                <w:sz w:val="20"/>
              </w:rPr>
              <w:t xml:space="preserve">NACE SP0775</w:t>
            </w:r>
          </w:p>
        </w:tc>
        <w:tc>
          <w:tcPr/>
          <w:p>
            <w:pPr>
              <w:pStyle w:val="Compact"/>
              <w:jc w:val="left"/>
            </w:pPr>
            <w:r>
              <w:rPr>
                <w:rFonts w:ascii="Times New Roman" w:hAnsi="Times New Roman"/>
                <w:sz w:val="20"/>
              </w:rPr>
              <w:t xml:space="preserve">AMPP</w:t>
            </w:r>
          </w:p>
        </w:tc>
        <w:tc>
          <w:tcPr/>
          <w:p>
            <w:pPr>
              <w:pStyle w:val="Compact"/>
              <w:jc w:val="left"/>
            </w:pPr>
            <w:r>
              <w:rPr>
                <w:rFonts w:ascii="Times New Roman" w:hAnsi="Times New Roman"/>
                <w:sz w:val="20"/>
              </w:rPr>
              <w:t xml:space="preserve">Sondes et coupons de corrosion en service pétrolier</w:t>
            </w:r>
          </w:p>
        </w:tc>
      </w:tr>
      <w:tr>
        <w:tc>
          <w:tcPr/>
          <w:p>
            <w:pPr>
              <w:pStyle w:val="Compact"/>
              <w:jc w:val="left"/>
            </w:pPr>
            <w:r>
              <w:rPr>
                <w:rFonts w:ascii="Times New Roman" w:hAnsi="Times New Roman"/>
                <w:sz w:val="20"/>
              </w:rPr>
              <w:t xml:space="preserve">NACE TM0190</w:t>
            </w:r>
          </w:p>
        </w:tc>
        <w:tc>
          <w:tcPr/>
          <w:p>
            <w:pPr>
              <w:pStyle w:val="Compact"/>
              <w:jc w:val="left"/>
            </w:pPr>
            <w:r>
              <w:rPr>
                <w:rFonts w:ascii="Times New Roman" w:hAnsi="Times New Roman"/>
                <w:sz w:val="20"/>
              </w:rPr>
              <w:t xml:space="preserve">AMPP</w:t>
            </w:r>
          </w:p>
        </w:tc>
        <w:tc>
          <w:tcPr/>
          <w:p>
            <w:pPr>
              <w:pStyle w:val="Compact"/>
              <w:jc w:val="left"/>
            </w:pPr>
            <w:r>
              <w:rPr>
                <w:rFonts w:ascii="Times New Roman" w:hAnsi="Times New Roman"/>
                <w:sz w:val="20"/>
              </w:rPr>
              <w:t xml:space="preserve">Méthodes d’essai pour sondes ER</w:t>
            </w:r>
          </w:p>
        </w:tc>
      </w:tr>
      <w:tr>
        <w:tc>
          <w:tcPr/>
          <w:p>
            <w:pPr>
              <w:pStyle w:val="Compact"/>
              <w:jc w:val="left"/>
            </w:pPr>
            <w:r>
              <w:rPr>
                <w:rFonts w:ascii="Times New Roman" w:hAnsi="Times New Roman"/>
                <w:sz w:val="20"/>
              </w:rPr>
              <w:t xml:space="preserve">API 570</w:t>
            </w:r>
          </w:p>
        </w:tc>
        <w:tc>
          <w:tcPr/>
          <w:p>
            <w:pPr>
              <w:pStyle w:val="Compact"/>
              <w:jc w:val="left"/>
            </w:pPr>
            <w:r>
              <w:rPr>
                <w:rFonts w:ascii="Times New Roman" w:hAnsi="Times New Roman"/>
                <w:sz w:val="20"/>
              </w:rPr>
              <w:t xml:space="preserve">API</w:t>
            </w:r>
          </w:p>
        </w:tc>
        <w:tc>
          <w:tcPr/>
          <w:p>
            <w:pPr>
              <w:pStyle w:val="Compact"/>
              <w:jc w:val="left"/>
            </w:pPr>
            <w:r>
              <w:rPr>
                <w:rFonts w:ascii="Times New Roman" w:hAnsi="Times New Roman"/>
                <w:sz w:val="20"/>
              </w:rPr>
              <w:t xml:space="preserve">Inspection des systèmes de tuyauteries</w:t>
            </w:r>
          </w:p>
        </w:tc>
      </w:tr>
      <w:tr>
        <w:tc>
          <w:tcPr/>
          <w:p>
            <w:pPr>
              <w:pStyle w:val="Compact"/>
              <w:jc w:val="left"/>
            </w:pPr>
            <w:r>
              <w:rPr>
                <w:rFonts w:ascii="Times New Roman" w:hAnsi="Times New Roman"/>
                <w:sz w:val="20"/>
              </w:rPr>
              <w:t xml:space="preserve">ISO 13381-1</w:t>
            </w:r>
          </w:p>
        </w:tc>
        <w:tc>
          <w:tcPr/>
          <w:p>
            <w:pPr>
              <w:pStyle w:val="Compact"/>
              <w:jc w:val="left"/>
            </w:pPr>
            <w:r>
              <w:rPr>
                <w:rFonts w:ascii="Times New Roman" w:hAnsi="Times New Roman"/>
                <w:sz w:val="20"/>
              </w:rPr>
              <w:t xml:space="preserve">ISO</w:t>
            </w:r>
          </w:p>
        </w:tc>
        <w:tc>
          <w:tcPr/>
          <w:p>
            <w:pPr>
              <w:pStyle w:val="Compact"/>
              <w:jc w:val="left"/>
            </w:pPr>
            <w:r>
              <w:rPr>
                <w:rFonts w:ascii="Times New Roman" w:hAnsi="Times New Roman"/>
                <w:sz w:val="20"/>
              </w:rPr>
              <w:t xml:space="preserve">Maintenance prévisionnelle — RUL</w:t>
            </w:r>
          </w:p>
        </w:tc>
      </w:tr>
      <w:tr>
        <w:tc>
          <w:tcPr/>
          <w:p>
            <w:pPr>
              <w:pStyle w:val="Compact"/>
              <w:jc w:val="left"/>
            </w:pPr>
            <w:r>
              <w:rPr>
                <w:rFonts w:ascii="Times New Roman" w:hAnsi="Times New Roman"/>
                <w:sz w:val="20"/>
              </w:rPr>
              <w:t xml:space="preserve">EN 13306</w:t>
            </w:r>
          </w:p>
        </w:tc>
        <w:tc>
          <w:tcPr/>
          <w:p>
            <w:pPr>
              <w:pStyle w:val="Compact"/>
              <w:jc w:val="left"/>
            </w:pPr>
            <w:r>
              <w:rPr>
                <w:rFonts w:ascii="Times New Roman" w:hAnsi="Times New Roman"/>
                <w:sz w:val="20"/>
              </w:rPr>
              <w:t xml:space="preserve">CEN</w:t>
            </w:r>
          </w:p>
        </w:tc>
        <w:tc>
          <w:tcPr/>
          <w:p>
            <w:pPr>
              <w:pStyle w:val="Compact"/>
              <w:jc w:val="left"/>
            </w:pPr>
            <w:r>
              <w:rPr>
                <w:rFonts w:ascii="Times New Roman" w:hAnsi="Times New Roman"/>
                <w:sz w:val="20"/>
              </w:rPr>
              <w:t xml:space="preserve">Terminologie de la maintenance</w:t>
            </w:r>
          </w:p>
        </w:tc>
      </w:tr>
      <w:tr>
        <w:tc>
          <w:tcPr/>
          <w:p>
            <w:pPr>
              <w:pStyle w:val="Compact"/>
              <w:jc w:val="left"/>
            </w:pPr>
            <w:r>
              <w:rPr>
                <w:rFonts w:ascii="Times New Roman" w:hAnsi="Times New Roman"/>
                <w:sz w:val="20"/>
              </w:rPr>
              <w:t xml:space="preserve">de Waard &amp; Milliams (1975)</w:t>
            </w:r>
          </w:p>
        </w:tc>
        <w:tc>
          <w:tcPr/>
          <w:p>
            <w:pPr>
              <w:pStyle w:val="Compact"/>
              <w:jc w:val="left"/>
            </w:pPr>
            <w:r>
              <w:rPr>
                <w:rFonts w:ascii="Times New Roman" w:hAnsi="Times New Roman"/>
                <w:sz w:val="20"/>
              </w:rPr>
              <w:t xml:space="preserve">—</w:t>
            </w:r>
          </w:p>
        </w:tc>
        <w:tc>
          <w:tcPr/>
          <w:p>
            <w:pPr>
              <w:pStyle w:val="Compact"/>
              <w:jc w:val="left"/>
            </w:pPr>
            <w:r>
              <w:rPr>
                <w:rFonts w:ascii="Times New Roman" w:hAnsi="Times New Roman"/>
                <w:sz w:val="20"/>
              </w:rPr>
              <w:t xml:space="preserve">Modèle de prédiction corrosion CO₂</w:t>
            </w:r>
          </w:p>
        </w:tc>
      </w:tr>
      <w:tr>
        <w:tc>
          <w:tcPr/>
          <w:p>
            <w:pPr>
              <w:pStyle w:val="Compact"/>
              <w:jc w:val="left"/>
            </w:pPr>
            <w:r>
              <w:rPr>
                <w:rFonts w:ascii="Times New Roman" w:hAnsi="Times New Roman"/>
                <w:sz w:val="20"/>
              </w:rPr>
              <w:t xml:space="preserve">Koch et al. (2016)</w:t>
            </w:r>
          </w:p>
        </w:tc>
        <w:tc>
          <w:tcPr/>
          <w:p>
            <w:pPr>
              <w:pStyle w:val="Compact"/>
              <w:jc w:val="left"/>
            </w:pPr>
            <w:r>
              <w:rPr>
                <w:rFonts w:ascii="Times New Roman" w:hAnsi="Times New Roman"/>
                <w:sz w:val="20"/>
              </w:rPr>
              <w:t xml:space="preserve">NACE</w:t>
            </w:r>
          </w:p>
        </w:tc>
        <w:tc>
          <w:tcPr/>
          <w:p>
            <w:pPr>
              <w:pStyle w:val="Compact"/>
              <w:jc w:val="left"/>
            </w:pPr>
            <w:r>
              <w:rPr>
                <w:rFonts w:ascii="Times New Roman" w:hAnsi="Times New Roman"/>
                <w:sz w:val="20"/>
              </w:rPr>
              <w:t xml:space="preserve">Coût mondial de la corrosion</w:t>
            </w:r>
          </w:p>
        </w:tc>
      </w:tr>
    </w:tbl>
    <w:bookmarkEnd w:id="108"/>
    <w:bookmarkStart w:id="109" w:name="description-technique-de-la-sonde-er"/>
    <w:p>
      <w:pPr>
        <w:pStyle w:val="Heading3"/>
      </w:pPr>
      <w:r>
        <w:rPr>
          <w:rFonts w:ascii="Times New Roman" w:hAnsi="Times New Roman"/>
        </w:rPr>
        <w:t xml:space="preserve">3.2.2 Description technique de la sonde ER</w:t>
      </w:r>
    </w:p>
    <w:p>
      <w:pPr>
        <w:pStyle w:val="FirstParagraph"/>
      </w:pPr>
      <w:r>
        <w:rPr>
          <w:rFonts w:ascii="Times New Roman" w:hAnsi="Times New Roman"/>
        </w:rPr>
        <w:t xml:space="preserve">La sonde ER (Electrical Resistance) exploite le principe physique suivant : lorsqu’un fil métallique se corrode, sa section transversale diminue, ce qui augmente sa résistance électrique selon la relation :</w:t>
      </w:r>
    </w:p>
    <w:p>
      <w:pPr>
        <w:pStyle w:val="BodyText"/>
      </w:pPr>
      <m:oMathPara>
        <m:oMathParaPr>
          <m:jc m:val="center"/>
        </m:oMathParaPr>
        <m:oMath>
          <m:r>
            <m:t>R</m:t>
          </m:r>
          <m:r>
            <m:rPr>
              <m:sty m:val="p"/>
            </m:rPr>
            <m:t>=</m:t>
          </m:r>
          <m:f>
            <m:fPr>
              <m:type m:val="bar"/>
            </m:fPr>
            <m:num>
              <m:r>
                <m:t>ρ</m:t>
              </m:r>
              <m:r>
                <m:rPr>
                  <m:sty m:val="p"/>
                </m:rPr>
                <m:t>⋅</m:t>
              </m:r>
              <m:r>
                <m:t>L</m:t>
              </m:r>
            </m:num>
            <m:den>
              <m:r>
                <m:t>π</m:t>
              </m:r>
              <m:sSup>
                <m:e>
                  <m:r>
                    <m:t>r</m:t>
                  </m:r>
                </m:e>
                <m:sup>
                  <m:r>
                    <m:t>2</m:t>
                  </m:r>
                </m:sup>
              </m:sSup>
            </m:den>
          </m:f>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R</w:t>
      </w:r>
      <w:r>
        <w:rPr>
          <w:rFonts w:ascii="Times New Roman" w:hAnsi="Times New Roman"/>
        </w:rPr>
        <w:t xml:space="preserve"> </w:t>
      </w:r>
      <w:r>
        <w:rPr>
          <w:rFonts w:ascii="Times New Roman" w:hAnsi="Times New Roman"/>
        </w:rPr>
        <w:t xml:space="preserve">= résistance du fil (Ω)</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ρ</w:t>
      </w:r>
      <w:r>
        <w:rPr>
          <w:rFonts w:ascii="Times New Roman" w:hAnsi="Times New Roman"/>
        </w:rPr>
        <w:t xml:space="preserve"> </w:t>
      </w:r>
      <w:r>
        <w:rPr>
          <w:rFonts w:ascii="Times New Roman" w:hAnsi="Times New Roman"/>
        </w:rPr>
        <w:t xml:space="preserve">= résistivité électrique du fer = 1,0 × 10⁻⁷ Ω·m</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L</w:t>
      </w:r>
      <w:r>
        <w:rPr>
          <w:rFonts w:ascii="Times New Roman" w:hAnsi="Times New Roman"/>
        </w:rPr>
        <w:t xml:space="preserve"> </w:t>
      </w:r>
      <w:r>
        <w:rPr>
          <w:rFonts w:ascii="Times New Roman" w:hAnsi="Times New Roman"/>
        </w:rPr>
        <w:t xml:space="preserve">= longueur du fil = 1,1 m</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r</w:t>
      </w:r>
      <w:r>
        <w:rPr>
          <w:rFonts w:ascii="Times New Roman" w:hAnsi="Times New Roman"/>
        </w:rPr>
        <w:t xml:space="preserve"> </w:t>
      </w:r>
      <w:r>
        <w:rPr>
          <w:rFonts w:ascii="Times New Roman" w:hAnsi="Times New Roman"/>
        </w:rPr>
        <w:t xml:space="preserve">= rayon du fil (m), qui diminue au cours de la corrosion</w:t>
      </w:r>
    </w:p>
    <w:p>
      <w:pPr>
        <w:pStyle w:val="BodyText"/>
      </w:pPr>
      <w:r>
        <w:rPr>
          <w:rFonts w:ascii="Times New Roman" w:hAnsi="Times New Roman"/>
        </w:rPr>
        <w:t xml:space="preserve">La variation de résistance</w:t>
      </w:r>
      <w:r>
        <w:rPr>
          <w:rFonts w:ascii="Times New Roman" w:hAnsi="Times New Roman"/>
        </w:rPr>
        <w:t xml:space="preserve"> </w:t>
      </w:r>
      <w:r>
        <w:rPr>
          <w:rFonts w:ascii="Times New Roman" w:hAnsi="Times New Roman"/>
          <w:b/>
          <w:bCs/>
        </w:rPr>
        <w:t xml:space="preserve">ΔR = R(t) − R(t₀)</w:t>
      </w:r>
      <w:r>
        <w:rPr>
          <w:rFonts w:ascii="Times New Roman" w:hAnsi="Times New Roman"/>
        </w:rPr>
        <w:t xml:space="preserve"> </w:t>
      </w:r>
      <w:r>
        <w:rPr>
          <w:rFonts w:ascii="Times New Roman" w:hAnsi="Times New Roman"/>
        </w:rPr>
        <w:t xml:space="preserve">est directement proportionnelle à la perte de matière — c’est le principe de mesure des sondes ER industrielles (Rohrback Cosasco, Metal Samples).</w:t>
      </w:r>
    </w:p>
    <w:p>
      <w:pPr>
        <w:pStyle w:val="BodyText"/>
      </w:pPr>
      <w:r>
        <w:rPr>
          <w:rFonts w:ascii="Times New Roman" w:hAnsi="Times New Roman"/>
          <w:b/>
          <w:bCs/>
        </w:rPr>
        <w:t xml:space="preserve">Architecture du pont de Wheatstone :</w:t>
      </w:r>
    </w:p>
    <w:p>
      <w:pPr>
        <w:pStyle w:val="BodyText"/>
      </w:pPr>
      <w:r>
        <w:rPr>
          <w:rFonts w:ascii="Times New Roman" w:hAnsi="Times New Roman"/>
        </w:rPr>
        <w:t xml:space="preserve">Pour détecter des variations de résistance de l’ordre du dixième de milliohm sur un fil de résistance initiale Rx₀ ≈ 0,13 Ω, la mesure directe de résistance par un multimètre standard (résolution typique 0,1 Ω) est totalement insuffisante. Un pont de Wheatstone déporté vers le déséquilibre permet de mesurer</w:t>
      </w:r>
      <w:r>
        <w:rPr>
          <w:rFonts w:ascii="Times New Roman" w:hAnsi="Times New Roman"/>
        </w:rPr>
        <w:t xml:space="preserve"> </w:t>
      </w:r>
      <w:r>
        <w:rPr>
          <w:rFonts w:ascii="Times New Roman" w:hAnsi="Times New Roman"/>
          <w:b/>
          <w:bCs/>
        </w:rPr>
        <w:t xml:space="preserve">uniquement la variation différentielle</w:t>
      </w:r>
      <w:r>
        <w:rPr>
          <w:rFonts w:ascii="Times New Roman" w:hAnsi="Times New Roman"/>
        </w:rPr>
        <w:t xml:space="preserve"> </w:t>
      </w:r>
      <w:r>
        <w:rPr>
          <w:rFonts w:ascii="Times New Roman" w:hAnsi="Times New Roman"/>
        </w:rPr>
        <w:t xml:space="preserve">ΔR, amplifiant le signal utile d’un facteur 10³ à 10⁴ par rapport à la mesure directe.</w:t>
      </w:r>
    </w:p>
    <w:p>
      <w:pPr>
        <w:pStyle w:val="BodyText"/>
      </w:pPr>
      <w:r>
        <w:rPr>
          <w:rFonts w:ascii="Times New Roman" w:hAnsi="Times New Roman"/>
        </w:rPr>
        <w:t xml:space="preserve">Le pont est configuré comme suit :</w:t>
      </w:r>
      <w:r>
        <w:rPr>
          <w:rFonts w:ascii="Times New Roman" w:hAnsi="Times New Roman"/>
        </w:rPr>
        <w:t xml:space="preserve"> </w:t>
      </w:r>
      <w:r>
        <w:rPr>
          <w:rFonts w:ascii="Times New Roman" w:hAnsi="Times New Roman"/>
        </w:rPr>
        <w:t xml:space="preserve">- Bras 1 : R1 = 10 Ω (fixe)</w:t>
      </w:r>
      <w:r>
        <w:rPr>
          <w:rFonts w:ascii="Times New Roman" w:hAnsi="Times New Roman"/>
        </w:rPr>
        <w:t xml:space="preserve"> </w:t>
      </w:r>
      <w:r>
        <w:rPr>
          <w:rFonts w:ascii="Times New Roman" w:hAnsi="Times New Roman"/>
        </w:rPr>
        <w:t xml:space="preserve">- Bras 2 : R2 = 10 Ω (fixe)</w:t>
      </w:r>
      <w:r>
        <w:rPr>
          <w:rFonts w:ascii="Times New Roman" w:hAnsi="Times New Roman"/>
        </w:rPr>
        <w:t xml:space="preserve"> </w:t>
      </w:r>
      <w:r>
        <w:rPr>
          <w:rFonts w:ascii="Times New Roman" w:hAnsi="Times New Roman"/>
        </w:rPr>
        <w:t xml:space="preserve">- Bras 3 : R_REF = 0,5 Ω (fil de référence protégé, identique au fil actif)</w:t>
      </w:r>
      <w:r>
        <w:rPr>
          <w:rFonts w:ascii="Times New Roman" w:hAnsi="Times New Roman"/>
        </w:rPr>
        <w:t xml:space="preserve"> </w:t>
      </w:r>
      <w:r>
        <w:rPr>
          <w:rFonts w:ascii="Times New Roman" w:hAnsi="Times New Roman"/>
        </w:rPr>
        <w:t xml:space="preserve">- Bras 4 : Rx(t) — fil ER actif, exposé au milieu corrosif</w:t>
      </w:r>
    </w:p>
    <w:p>
      <w:pPr>
        <w:pStyle w:val="BodyText"/>
      </w:pPr>
      <w:r>
        <w:rPr>
          <w:rFonts w:ascii="Times New Roman" w:hAnsi="Times New Roman"/>
        </w:rPr>
        <w:t xml:space="preserve">La tension différentielle aux bornes du pont est :</w:t>
      </w:r>
    </w:p>
    <w:p>
      <w:pPr>
        <w:pStyle w:val="BodyText"/>
      </w:pPr>
      <m:oMathPara>
        <m:oMathParaPr>
          <m:jc m:val="center"/>
        </m:oMathParaPr>
        <m:oMath>
          <m:sSub>
            <m:e>
              <m:r>
                <m:t>V</m:t>
              </m:r>
            </m:e>
            <m:sub>
              <m:r>
                <m:t>d</m:t>
              </m:r>
              <m:r>
                <m:t>i</m:t>
              </m:r>
              <m:r>
                <m:t>f</m:t>
              </m:r>
              <m:r>
                <m:t>f</m:t>
              </m:r>
            </m:sub>
          </m:sSub>
          <m:r>
            <m:rPr>
              <m:sty m:val="p"/>
            </m:rPr>
            <m:t>=</m:t>
          </m:r>
          <m:sSub>
            <m:e>
              <m:r>
                <m:t>V</m:t>
              </m:r>
            </m:e>
            <m:sub>
              <m:r>
                <m:t>e</m:t>
              </m:r>
              <m:r>
                <m:t>x</m:t>
              </m:r>
              <m:r>
                <m:t>c</m:t>
              </m:r>
            </m:sub>
          </m:sSub>
          <m:r>
            <m:rPr>
              <m:sty m:val="p"/>
            </m:rPr>
            <m:t>⋅</m:t>
          </m:r>
          <m:d>
            <m:dPr>
              <m:begChr m:val="("/>
              <m:sepChr m:val=""/>
              <m:endChr m:val=")"/>
              <m:grow/>
            </m:dPr>
            <m:e>
              <m:f>
                <m:fPr>
                  <m:type m:val="bar"/>
                </m:fPr>
                <m:num>
                  <m:sSub>
                    <m:e>
                      <m:r>
                        <m:t>R</m:t>
                      </m:r>
                    </m:e>
                    <m:sub>
                      <m:r>
                        <m:t>x</m:t>
                      </m:r>
                    </m:sub>
                  </m:sSub>
                </m:num>
                <m:den>
                  <m:sSub>
                    <m:e>
                      <m:r>
                        <m:t>R</m:t>
                      </m:r>
                    </m:e>
                    <m:sub>
                      <m:r>
                        <m:t>2</m:t>
                      </m:r>
                    </m:sub>
                  </m:sSub>
                  <m:r>
                    <m:rPr>
                      <m:sty m:val="p"/>
                    </m:rPr>
                    <m:t>+</m:t>
                  </m:r>
                  <m:sSub>
                    <m:e>
                      <m:r>
                        <m:t>R</m:t>
                      </m:r>
                    </m:e>
                    <m:sub>
                      <m:r>
                        <m:t>x</m:t>
                      </m:r>
                    </m:sub>
                  </m:sSub>
                </m:den>
              </m:f>
              <m:r>
                <m:rPr>
                  <m:sty m:val="p"/>
                </m:rPr>
                <m:t>−</m:t>
              </m:r>
              <m:f>
                <m:fPr>
                  <m:type m:val="bar"/>
                </m:fPr>
                <m:num>
                  <m:sSub>
                    <m:e>
                      <m:r>
                        <m:t>R</m:t>
                      </m:r>
                    </m:e>
                    <m:sub>
                      <m:r>
                        <m:t>R</m:t>
                      </m:r>
                      <m:r>
                        <m:t>E</m:t>
                      </m:r>
                      <m:r>
                        <m:t>F</m:t>
                      </m:r>
                    </m:sub>
                  </m:sSub>
                </m:num>
                <m:den>
                  <m:sSub>
                    <m:e>
                      <m:r>
                        <m:t>R</m:t>
                      </m:r>
                    </m:e>
                    <m:sub>
                      <m:r>
                        <m:t>1</m:t>
                      </m:r>
                    </m:sub>
                  </m:sSub>
                  <m:r>
                    <m:rPr>
                      <m:sty m:val="p"/>
                    </m:rPr>
                    <m:t>+</m:t>
                  </m:r>
                  <m:sSub>
                    <m:e>
                      <m:r>
                        <m:t>R</m:t>
                      </m:r>
                    </m:e>
                    <m:sub>
                      <m:r>
                        <m:t>R</m:t>
                      </m:r>
                      <m:r>
                        <m:t>E</m:t>
                      </m:r>
                      <m:r>
                        <m:t>F</m:t>
                      </m:r>
                    </m:sub>
                  </m:sSub>
                </m:den>
              </m:f>
            </m:e>
          </m:d>
        </m:oMath>
      </m:oMathPara>
    </w:p>
    <w:p>
      <w:pPr>
        <w:pStyle w:val="FirstParagraph"/>
      </w:pPr>
      <w:r>
        <w:rPr>
          <w:rFonts w:ascii="Times New Roman" w:hAnsi="Times New Roman"/>
        </w:rPr>
        <w:t xml:space="preserve">La tension d’excitation effective est limitée par une résistance série R_SERIE = 100 Ω placée entre l’alimentation ESP32 (3,3 V) et le pont :</w:t>
      </w:r>
    </w:p>
    <w:p>
      <w:pPr>
        <w:pStyle w:val="BodyText"/>
      </w:pPr>
      <m:oMathPara>
        <m:oMathParaPr>
          <m:jc m:val="center"/>
        </m:oMathParaPr>
        <m:oMath>
          <m:sSub>
            <m:e>
              <m:r>
                <m:t>V</m:t>
              </m:r>
            </m:e>
            <m:sub>
              <m:r>
                <m:t>e</m:t>
              </m:r>
              <m:r>
                <m:t>x</m:t>
              </m:r>
              <m:r>
                <m:t>c</m:t>
              </m:r>
              <m:r>
                <m:rPr>
                  <m:sty m:val="p"/>
                </m:rPr>
                <m:t>,</m:t>
              </m:r>
              <m:r>
                <m:t>e</m:t>
              </m:r>
              <m:r>
                <m:t>f</m:t>
              </m:r>
              <m:r>
                <m:t>f</m:t>
              </m:r>
            </m:sub>
          </m:sSub>
          <m:r>
            <m:rPr>
              <m:sty m:val="p"/>
            </m:rPr>
            <m:t>=</m:t>
          </m:r>
          <m:r>
            <m:t>3</m:t>
          </m:r>
          <m:r>
            <m:rPr>
              <m:sty m:val="p"/>
            </m:rPr>
            <m:t>,</m:t>
          </m:r>
          <m:r>
            <m:t>3</m:t>
          </m:r>
          <m:r>
            <m:rPr>
              <m:sty m:val="p"/>
            </m:rPr>
            <m:t>⋅</m:t>
          </m:r>
          <m:f>
            <m:fPr>
              <m:type m:val="bar"/>
            </m:fPr>
            <m:num>
              <m:sSub>
                <m:e>
                  <m:r>
                    <m:t>R</m:t>
                  </m:r>
                </m:e>
                <m:sub>
                  <m:r>
                    <m:t>1</m:t>
                  </m:r>
                </m:sub>
              </m:sSub>
              <m:r>
                <m:rPr>
                  <m:sty m:val="p"/>
                </m:rPr>
                <m:t>+</m:t>
              </m:r>
              <m:sSub>
                <m:e>
                  <m:r>
                    <m:t>R</m:t>
                  </m:r>
                </m:e>
                <m:sub>
                  <m:r>
                    <m:t>R</m:t>
                  </m:r>
                  <m:r>
                    <m:t>E</m:t>
                  </m:r>
                  <m:r>
                    <m:t>F</m:t>
                  </m:r>
                </m:sub>
              </m:sSub>
            </m:num>
            <m:den>
              <m:sSub>
                <m:e>
                  <m:r>
                    <m:t>R</m:t>
                  </m:r>
                </m:e>
                <m:sub>
                  <m:r>
                    <m:t>S</m:t>
                  </m:r>
                  <m:r>
                    <m:t>E</m:t>
                  </m:r>
                  <m:r>
                    <m:t>R</m:t>
                  </m:r>
                  <m:r>
                    <m:t>I</m:t>
                  </m:r>
                  <m:r>
                    <m:t>E</m:t>
                  </m:r>
                </m:sub>
              </m:sSub>
              <m:r>
                <m:rPr>
                  <m:sty m:val="p"/>
                </m:rPr>
                <m:t>+</m:t>
              </m:r>
              <m:sSub>
                <m:e>
                  <m:r>
                    <m:t>R</m:t>
                  </m:r>
                </m:e>
                <m:sub>
                  <m:r>
                    <m:t>1</m:t>
                  </m:r>
                </m:sub>
              </m:sSub>
              <m:r>
                <m:rPr>
                  <m:sty m:val="p"/>
                </m:rPr>
                <m:t>+</m:t>
              </m:r>
              <m:sSub>
                <m:e>
                  <m:r>
                    <m:t>R</m:t>
                  </m:r>
                </m:e>
                <m:sub>
                  <m:r>
                    <m:t>R</m:t>
                  </m:r>
                  <m:r>
                    <m:t>E</m:t>
                  </m:r>
                  <m:r>
                    <m:t>F</m:t>
                  </m:r>
                </m:sub>
              </m:sSub>
            </m:den>
          </m:f>
          <m:r>
            <m:rPr>
              <m:sty m:val="p"/>
            </m:rPr>
            <m:t>=</m:t>
          </m:r>
          <m:r>
            <m:t>3</m:t>
          </m:r>
          <m:r>
            <m:rPr>
              <m:sty m:val="p"/>
            </m:rPr>
            <m:t>,</m:t>
          </m:r>
          <m:r>
            <m:t>3</m:t>
          </m:r>
          <m:r>
            <m:rPr>
              <m:sty m:val="p"/>
            </m:rPr>
            <m:t>⋅</m:t>
          </m:r>
          <m:f>
            <m:fPr>
              <m:type m:val="bar"/>
            </m:fPr>
            <m:num>
              <m:r>
                <m:t>10</m:t>
              </m:r>
              <m:r>
                <m:rPr>
                  <m:sty m:val="p"/>
                </m:rPr>
                <m:t>,</m:t>
              </m:r>
              <m:r>
                <m:t>5</m:t>
              </m:r>
            </m:num>
            <m:den>
              <m:r>
                <m:t>110</m:t>
              </m:r>
              <m:r>
                <m:rPr>
                  <m:sty m:val="p"/>
                </m:rPr>
                <m:t>,</m:t>
              </m:r>
              <m:r>
                <m:t>5</m:t>
              </m:r>
            </m:den>
          </m:f>
          <m:r>
            <m:rPr>
              <m:sty m:val="p"/>
            </m:rPr>
            <m:t>≈</m:t>
          </m:r>
          <m:r>
            <m:t>0</m:t>
          </m:r>
          <m:r>
            <m:rPr>
              <m:sty m:val="p"/>
            </m:rPr>
            <m:t>,</m:t>
          </m:r>
          <m:r>
            <m:t>313</m:t>
          </m:r>
          <m:r>
            <m:rPr>
              <m:nor/>
              <m:sty m:val="p"/>
            </m:rPr>
            <m:t> V</m:t>
          </m:r>
        </m:oMath>
      </m:oMathPara>
    </w:p>
    <w:p>
      <w:pPr>
        <w:pStyle w:val="FirstParagraph"/>
      </w:pPr>
      <w:r>
        <w:rPr>
          <w:rFonts w:ascii="Times New Roman" w:hAnsi="Times New Roman"/>
        </w:rPr>
        <w:t xml:space="preserve">Cette résistance série remplit deux fonctions : (1) limiter le courant d’excitation pour éviter l’échauffement par effet Joule du fil de fer (qui fausserait la mesure thermique), et (2) éviter tout endommagement du HX711 en cas de court-circuit.</w:t>
      </w:r>
    </w:p>
    <w:p>
      <w:pPr>
        <w:pStyle w:val="BodyText"/>
      </w:pPr>
      <w:r>
        <w:rPr>
          <w:rFonts w:ascii="Times New Roman" w:hAnsi="Times New Roman"/>
          <w:b/>
          <w:bCs/>
        </w:rPr>
        <w:t xml:space="preserve">HX711 — Conversion analogique-numérique 24 bits :</w:t>
      </w:r>
    </w:p>
    <w:p>
      <w:pPr>
        <w:pStyle w:val="BodyText"/>
      </w:pPr>
      <w:r>
        <w:rPr>
          <w:rFonts w:ascii="Times New Roman" w:hAnsi="Times New Roman"/>
        </w:rPr>
        <w:t xml:space="preserve">Le HX711 est un amplificateur d’instrumentation différentiel couplé à un convertisseur ADC sigma-delta 24 bits, spécialement conçu pour les capteurs en pont de Wheatstone (cellules de charge, jauges de déformation). À gain 128, sa résolution est :</w:t>
      </w:r>
    </w:p>
    <w:p>
      <w:pPr>
        <w:pStyle w:val="BodyText"/>
      </w:pPr>
      <m:oMathPara>
        <m:oMathParaPr>
          <m:jc m:val="center"/>
        </m:oMathParaPr>
        <m:oMath>
          <m:r>
            <m:rPr>
              <m:nor/>
              <m:sty m:val="p"/>
            </m:rPr>
            <m:t>Résolution</m:t>
          </m:r>
          <m:r>
            <m:rPr>
              <m:sty m:val="p"/>
            </m:rPr>
            <m:t>=</m:t>
          </m:r>
          <m:f>
            <m:fPr>
              <m:type m:val="bar"/>
            </m:fPr>
            <m:num>
              <m:sSub>
                <m:e>
                  <m:r>
                    <m:t>V</m:t>
                  </m:r>
                </m:e>
                <m:sub>
                  <m:r>
                    <m:t>e</m:t>
                  </m:r>
                  <m:r>
                    <m:t>x</m:t>
                  </m:r>
                  <m:r>
                    <m:t>c</m:t>
                  </m:r>
                  <m:r>
                    <m:rPr>
                      <m:sty m:val="p"/>
                    </m:rPr>
                    <m:t>,</m:t>
                  </m:r>
                  <m:r>
                    <m:t>e</m:t>
                  </m:r>
                  <m:r>
                    <m:t>f</m:t>
                  </m:r>
                  <m:r>
                    <m:t>f</m:t>
                  </m:r>
                </m:sub>
              </m:sSub>
            </m:num>
            <m:den>
              <m:sSup>
                <m:e>
                  <m:r>
                    <m:t>2</m:t>
                  </m:r>
                </m:e>
                <m:sup>
                  <m:r>
                    <m:t>23</m:t>
                  </m:r>
                </m:sup>
              </m:sSup>
              <m:r>
                <m:rPr>
                  <m:sty m:val="p"/>
                </m:rPr>
                <m:t>×</m:t>
              </m:r>
              <m:r>
                <m:t>128</m:t>
              </m:r>
            </m:den>
          </m:f>
          <m:r>
            <m:rPr>
              <m:sty m:val="p"/>
            </m:rPr>
            <m:t>≈</m:t>
          </m:r>
          <m:f>
            <m:fPr>
              <m:type m:val="bar"/>
            </m:fPr>
            <m:num>
              <m:r>
                <m:t>0</m:t>
              </m:r>
              <m:r>
                <m:rPr>
                  <m:sty m:val="p"/>
                </m:rPr>
                <m:t>,</m:t>
              </m:r>
              <m:r>
                <m:t>313</m:t>
              </m:r>
            </m:num>
            <m:den>
              <m:r>
                <m:t>1</m:t>
              </m:r>
              <m:r>
                <m:rPr>
                  <m:sty m:val="p"/>
                </m:rPr>
                <m:t>,</m:t>
              </m:r>
              <m:r>
                <m:t>07</m:t>
              </m:r>
              <m:r>
                <m:rPr>
                  <m:sty m:val="p"/>
                </m:rPr>
                <m:t>×</m:t>
              </m:r>
              <m:sSup>
                <m:e>
                  <m:r>
                    <m:t>10</m:t>
                  </m:r>
                </m:e>
                <m:sup>
                  <m:r>
                    <m:t>9</m:t>
                  </m:r>
                </m:sup>
              </m:sSup>
            </m:den>
          </m:f>
          <m:r>
            <m:rPr>
              <m:sty m:val="p"/>
            </m:rPr>
            <m:t>≈</m:t>
          </m:r>
          <m:r>
            <m:t>0</m:t>
          </m:r>
          <m:r>
            <m:rPr>
              <m:sty m:val="p"/>
            </m:rPr>
            <m:t>,</m:t>
          </m:r>
          <m:r>
            <m:t>29</m:t>
          </m:r>
          <m:r>
            <m:rPr>
              <m:nor/>
              <m:sty m:val="p"/>
            </m:rPr>
            <m:t> nV</m:t>
          </m:r>
        </m:oMath>
      </m:oMathPara>
    </w:p>
    <w:p>
      <w:pPr>
        <w:pStyle w:val="FirstParagraph"/>
      </w:pPr>
      <w:r>
        <w:rPr>
          <w:rFonts w:ascii="Times New Roman" w:hAnsi="Times New Roman"/>
        </w:rPr>
        <w:t xml:space="preserve">Cette résolution sub-nanovolts permet de détecter des variations de résistance du fil ER inférieures à 0,01 mΩ, ce qui correspond à une perte de section de l’ordre de quelques nanomètres — bien au-delà des performances nécessaires pour mesurer une corrosion en mm/an.</w:t>
      </w:r>
    </w:p>
    <w:p>
      <w:pPr>
        <w:pStyle w:val="BodyText"/>
      </w:pPr>
      <w:r>
        <w:rPr>
          <w:rFonts w:ascii="Times New Roman" w:hAnsi="Times New Roman"/>
        </w:rPr>
        <w:t xml:space="preserve">La conversion du code ADC en résistance Rx est effectuée par le firmware ESP32 :</w:t>
      </w:r>
    </w:p>
    <w:p>
      <w:pPr>
        <w:pStyle w:val="BodyText"/>
      </w:pPr>
      <m:oMathPara>
        <m:oMathParaPr>
          <m:jc m:val="center"/>
        </m:oMathParaPr>
        <m:oMath>
          <m:sSub>
            <m:e>
              <m:r>
                <m:t>V</m:t>
              </m:r>
            </m:e>
            <m:sub>
              <m:r>
                <m:t>d</m:t>
              </m:r>
              <m:r>
                <m:t>i</m:t>
              </m:r>
              <m:r>
                <m:t>f</m:t>
              </m:r>
              <m:r>
                <m:t>f</m:t>
              </m:r>
              <m:r>
                <m:rPr>
                  <m:sty m:val="p"/>
                </m:rPr>
                <m:t>,</m:t>
              </m:r>
              <m:r>
                <m:t>r</m:t>
              </m:r>
              <m:r>
                <m:t>a</m:t>
              </m:r>
              <m:r>
                <m:t>w</m:t>
              </m:r>
            </m:sub>
          </m:sSub>
          <m:r>
            <m:rPr>
              <m:sty m:val="p"/>
            </m:rPr>
            <m:t>=</m:t>
          </m:r>
          <m:f>
            <m:fPr>
              <m:type m:val="bar"/>
            </m:fPr>
            <m:num>
              <m:sSub>
                <m:e>
                  <m:r>
                    <m:rPr>
                      <m:nor/>
                      <m:sty m:val="p"/>
                    </m:rPr>
                    <m:t>code</m:t>
                  </m:r>
                </m:e>
                <m:sub>
                  <m:r>
                    <m:t>H</m:t>
                  </m:r>
                  <m:r>
                    <m:t>X</m:t>
                  </m:r>
                  <m:r>
                    <m:t>711</m:t>
                  </m:r>
                </m:sub>
              </m:sSub>
            </m:num>
            <m:den>
              <m:sSup>
                <m:e>
                  <m:r>
                    <m:t>2</m:t>
                  </m:r>
                </m:e>
                <m:sup>
                  <m:r>
                    <m:t>23</m:t>
                  </m:r>
                </m:sup>
              </m:sSup>
              <m:r>
                <m:rPr>
                  <m:sty m:val="p"/>
                </m:rPr>
                <m:t>×</m:t>
              </m:r>
              <m:r>
                <m:t>128</m:t>
              </m:r>
            </m:den>
          </m:f>
          <m:r>
            <m:rPr>
              <m:sty m:val="p"/>
            </m:rPr>
            <m:t>×</m:t>
          </m:r>
          <m:sSub>
            <m:e>
              <m:r>
                <m:t>V</m:t>
              </m:r>
            </m:e>
            <m:sub>
              <m:r>
                <m:t>e</m:t>
              </m:r>
              <m:r>
                <m:t>x</m:t>
              </m:r>
              <m:r>
                <m:t>c</m:t>
              </m:r>
              <m:r>
                <m:rPr>
                  <m:sty m:val="p"/>
                </m:rPr>
                <m:t>,</m:t>
              </m:r>
              <m:r>
                <m:t>e</m:t>
              </m:r>
              <m:r>
                <m:t>f</m:t>
              </m:r>
              <m:r>
                <m:t>f</m:t>
              </m:r>
            </m:sub>
          </m:sSub>
        </m:oMath>
      </m:oMathPara>
    </w:p>
    <w:p>
      <w:pPr>
        <w:pStyle w:val="FirstParagraph"/>
      </w:pPr>
      <m:oMathPara>
        <m:oMathParaPr>
          <m:jc m:val="center"/>
        </m:oMathParaPr>
        <m:oMath>
          <m:sSub>
            <m:e>
              <m:r>
                <m:rPr>
                  <m:nor/>
                  <m:sty m:val="p"/>
                </m:rPr>
                <m:t>ratio</m:t>
              </m:r>
            </m:e>
            <m:sub>
              <m:r>
                <m:t>R</m:t>
              </m:r>
              <m:r>
                <m:t>x</m:t>
              </m:r>
            </m:sub>
          </m:sSub>
          <m:r>
            <m:rPr>
              <m:sty m:val="p"/>
            </m:rPr>
            <m:t>=</m:t>
          </m:r>
          <m:f>
            <m:fPr>
              <m:type m:val="bar"/>
            </m:fPr>
            <m:num>
              <m:sSub>
                <m:e>
                  <m:r>
                    <m:t>V</m:t>
                  </m:r>
                </m:e>
                <m:sub>
                  <m:r>
                    <m:t>d</m:t>
                  </m:r>
                  <m:r>
                    <m:t>i</m:t>
                  </m:r>
                  <m:r>
                    <m:t>f</m:t>
                  </m:r>
                  <m:r>
                    <m:t>f</m:t>
                  </m:r>
                  <m:r>
                    <m:rPr>
                      <m:sty m:val="p"/>
                    </m:rPr>
                    <m:t>,</m:t>
                  </m:r>
                  <m:r>
                    <m:t>r</m:t>
                  </m:r>
                  <m:r>
                    <m:t>a</m:t>
                  </m:r>
                  <m:r>
                    <m:t>w</m:t>
                  </m:r>
                </m:sub>
              </m:sSub>
            </m:num>
            <m:den>
              <m:sSub>
                <m:e>
                  <m:r>
                    <m:t>V</m:t>
                  </m:r>
                </m:e>
                <m:sub>
                  <m:r>
                    <m:t>e</m:t>
                  </m:r>
                  <m:r>
                    <m:t>x</m:t>
                  </m:r>
                  <m:r>
                    <m:t>c</m:t>
                  </m:r>
                  <m:r>
                    <m:rPr>
                      <m:sty m:val="p"/>
                    </m:rPr>
                    <m:t>,</m:t>
                  </m:r>
                  <m:r>
                    <m:t>e</m:t>
                  </m:r>
                  <m:r>
                    <m:t>f</m:t>
                  </m:r>
                  <m:r>
                    <m:t>f</m:t>
                  </m:r>
                </m:sub>
              </m:sSub>
            </m:den>
          </m:f>
          <m:r>
            <m:rPr>
              <m:sty m:val="p"/>
            </m:rPr>
            <m:t>+</m:t>
          </m:r>
          <m:f>
            <m:fPr>
              <m:type m:val="bar"/>
            </m:fPr>
            <m:num>
              <m:sSub>
                <m:e>
                  <m:r>
                    <m:t>R</m:t>
                  </m:r>
                </m:e>
                <m:sub>
                  <m:r>
                    <m:t>R</m:t>
                  </m:r>
                  <m:r>
                    <m:t>E</m:t>
                  </m:r>
                  <m:r>
                    <m:t>F</m:t>
                  </m:r>
                </m:sub>
              </m:sSub>
            </m:num>
            <m:den>
              <m:sSub>
                <m:e>
                  <m:r>
                    <m:t>R</m:t>
                  </m:r>
                </m:e>
                <m:sub>
                  <m:r>
                    <m:t>1</m:t>
                  </m:r>
                </m:sub>
              </m:sSub>
              <m:r>
                <m:rPr>
                  <m:sty m:val="p"/>
                </m:rPr>
                <m:t>+</m:t>
              </m:r>
              <m:sSub>
                <m:e>
                  <m:r>
                    <m:t>R</m:t>
                  </m:r>
                </m:e>
                <m:sub>
                  <m:r>
                    <m:t>R</m:t>
                  </m:r>
                  <m:r>
                    <m:t>E</m:t>
                  </m:r>
                  <m:r>
                    <m:t>F</m:t>
                  </m:r>
                </m:sub>
              </m:sSub>
            </m:den>
          </m:f>
        </m:oMath>
      </m:oMathPara>
    </w:p>
    <w:p>
      <w:pPr>
        <w:pStyle w:val="FirstParagraph"/>
      </w:pPr>
      <m:oMathPara>
        <m:oMathParaPr>
          <m:jc m:val="center"/>
        </m:oMathParaPr>
        <m:oMath>
          <m:sSub>
            <m:e>
              <m:r>
                <m:t>R</m:t>
              </m:r>
            </m:e>
            <m:sub>
              <m:r>
                <m:t>x</m:t>
              </m:r>
            </m:sub>
          </m:sSub>
          <m:r>
            <m:rPr>
              <m:sty m:val="p"/>
            </m:rPr>
            <m:t>=</m:t>
          </m:r>
          <m:sSub>
            <m:e>
              <m:r>
                <m:t>R</m:t>
              </m:r>
            </m:e>
            <m:sub>
              <m:r>
                <m:t>2</m:t>
              </m:r>
            </m:sub>
          </m:sSub>
          <m:r>
            <m:rPr>
              <m:sty m:val="p"/>
            </m:rPr>
            <m:t>⋅</m:t>
          </m:r>
          <m:f>
            <m:fPr>
              <m:type m:val="bar"/>
            </m:fPr>
            <m:num>
              <m:sSub>
                <m:e>
                  <m:r>
                    <m:rPr>
                      <m:nor/>
                      <m:sty m:val="p"/>
                    </m:rPr>
                    <m:t>ratio</m:t>
                  </m:r>
                </m:e>
                <m:sub>
                  <m:r>
                    <m:t>R</m:t>
                  </m:r>
                  <m:r>
                    <m:t>x</m:t>
                  </m:r>
                </m:sub>
              </m:sSub>
            </m:num>
            <m:den>
              <m:r>
                <m:t>1</m:t>
              </m:r>
              <m:r>
                <m:rPr>
                  <m:sty m:val="p"/>
                </m:rPr>
                <m:t>−</m:t>
              </m:r>
              <m:sSub>
                <m:e>
                  <m:r>
                    <m:rPr>
                      <m:nor/>
                      <m:sty m:val="p"/>
                    </m:rPr>
                    <m:t>ratio</m:t>
                  </m:r>
                </m:e>
                <m:sub>
                  <m:r>
                    <m:t>R</m:t>
                  </m:r>
                  <m:r>
                    <m:t>x</m:t>
                  </m:r>
                </m:sub>
              </m:sSub>
            </m:den>
          </m:f>
        </m:oMath>
      </m:oMathPara>
    </w:p>
    <w:bookmarkEnd w:id="109"/>
    <w:bookmarkEnd w:id="110"/>
    <w:bookmarkStart w:id="116" w:name="méthodes"/>
    <w:p>
      <w:pPr>
        <w:pStyle w:val="Heading2"/>
      </w:pPr>
      <w:r>
        <w:rPr>
          <w:rFonts w:ascii="Times New Roman" w:hAnsi="Times New Roman"/>
        </w:rPr>
        <w:t xml:space="preserve">3.3 Méthodes</w:t>
      </w:r>
    </w:p>
    <w:bookmarkStart w:id="111" w:name="synoptique-de-la-démarche-méthodologique"/>
    <w:p>
      <w:pPr>
        <w:pStyle w:val="Heading3"/>
      </w:pPr>
      <w:r>
        <w:rPr>
          <w:rFonts w:ascii="Times New Roman" w:hAnsi="Times New Roman"/>
        </w:rPr>
        <w:t xml:space="preserve">3.3.1 Synoptique de la démarche méthodologique</w:t>
      </w:r>
    </w:p>
    <w:p>
      <w:pPr>
        <w:pStyle w:val="FirstParagraph"/>
      </w:pPr>
      <w:r>
        <w:rPr>
          <w:rFonts w:ascii="Times New Roman" w:hAnsi="Times New Roman"/>
        </w:rPr>
        <w:t xml:space="preserve">Le tableau suivant présente la correspondance entre les objectifs spécifiques, les activités réalisées, les méthodes et outils mobilisés, et les résultats attendus.</w:t>
      </w:r>
    </w:p>
    <w:p>
      <w:pPr>
        <w:pStyle w:val="BodyText"/>
      </w:pPr>
      <w:r>
        <w:rPr>
          <w:rFonts w:ascii="Times New Roman" w:hAnsi="Times New Roman"/>
          <w:b/>
          <w:bCs/>
        </w:rPr>
        <w:t xml:space="preserve">Tableau 3.4 — Tableau synoptique de la démarche méthodologique</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ascii="Times New Roman" w:hAnsi="Times New Roman"/>
                <w:b/>
                <w:sz w:val="20"/>
              </w:rPr>
              <w:t xml:space="preserve">Objectif Spécifique</w:t>
            </w:r>
          </w:p>
        </w:tc>
        <w:tc>
          <w:tcPr/>
          <w:p>
            <w:pPr>
              <w:pStyle w:val="Compact"/>
              <w:jc w:val="left"/>
            </w:pPr>
            <w:r>
              <w:rPr>
                <w:rFonts w:ascii="Times New Roman" w:hAnsi="Times New Roman"/>
                <w:b/>
                <w:sz w:val="20"/>
              </w:rPr>
              <w:t xml:space="preserve">Activités</w:t>
            </w:r>
          </w:p>
        </w:tc>
        <w:tc>
          <w:tcPr/>
          <w:p>
            <w:pPr>
              <w:pStyle w:val="Compact"/>
              <w:jc w:val="left"/>
            </w:pPr>
            <w:r>
              <w:rPr>
                <w:rFonts w:ascii="Times New Roman" w:hAnsi="Times New Roman"/>
                <w:b/>
                <w:sz w:val="20"/>
              </w:rPr>
              <w:t xml:space="preserve">Méthodes / Outils</w:t>
            </w:r>
          </w:p>
        </w:tc>
        <w:tc>
          <w:tcPr/>
          <w:p>
            <w:pPr>
              <w:pStyle w:val="Compact"/>
              <w:jc w:val="left"/>
            </w:pPr>
            <w:r>
              <w:rPr>
                <w:rFonts w:ascii="Times New Roman" w:hAnsi="Times New Roman"/>
                <w:b/>
                <w:sz w:val="20"/>
              </w:rPr>
              <w:t xml:space="preserve">Résultats attendus</w:t>
            </w:r>
          </w:p>
        </w:tc>
      </w:tr>
      <w:tr>
        <w:tc>
          <w:tcPr/>
          <w:p>
            <w:pPr>
              <w:pStyle w:val="Compact"/>
              <w:jc w:val="left"/>
            </w:pPr>
            <w:r>
              <w:rPr>
                <w:rFonts w:ascii="Times New Roman" w:hAnsi="Times New Roman"/>
                <w:b/>
                <w:bCs/>
                <w:sz w:val="20"/>
              </w:rPr>
              <w:t xml:space="preserve">OS1</w:t>
            </w:r>
            <w:r>
              <w:rPr>
                <w:rFonts w:ascii="Times New Roman" w:hAnsi="Times New Roman"/>
                <w:sz w:val="20"/>
              </w:rPr>
              <w:t xml:space="preserve"> </w:t>
            </w:r>
            <w:r>
              <w:rPr>
                <w:rFonts w:ascii="Times New Roman" w:hAnsi="Times New Roman"/>
                <w:sz w:val="20"/>
              </w:rPr>
              <w:t xml:space="preserve">— Concevoir et valider la sonde ER low-cost (ESP32 + HX711)</w:t>
            </w:r>
          </w:p>
        </w:tc>
        <w:tc>
          <w:tcPr/>
          <w:p>
            <w:pPr>
              <w:pStyle w:val="Compact"/>
              <w:jc w:val="left"/>
            </w:pPr>
            <w:r>
              <w:rPr>
                <w:rFonts w:ascii="Times New Roman" w:hAnsi="Times New Roman"/>
                <w:sz w:val="20"/>
              </w:rPr>
              <w:t xml:space="preserve">Câblage du pont de Wheatstone ; Programmation firmware ESP32 (deep sleep, HX711, DS18B20) ; Test de résolution sur résistances étalons ; Validation de la stabilité en milieu Detar Plus</w:t>
            </w:r>
          </w:p>
        </w:tc>
        <w:tc>
          <w:tcPr/>
          <w:p>
            <w:pPr>
              <w:pStyle w:val="Compact"/>
              <w:jc w:val="left"/>
            </w:pPr>
            <w:r>
              <w:rPr>
                <w:rFonts w:ascii="Times New Roman" w:hAnsi="Times New Roman"/>
                <w:sz w:val="20"/>
              </w:rPr>
              <w:t xml:space="preserve">Pont de Wheatstone ; HX711 gain 128 ; Deep sleep ESP32 ; CSV série 115 200 baud</w:t>
            </w:r>
          </w:p>
        </w:tc>
        <w:tc>
          <w:tcPr/>
          <w:p>
            <w:pPr>
              <w:pStyle w:val="Compact"/>
              <w:jc w:val="left"/>
            </w:pPr>
            <w:r>
              <w:rPr>
                <w:rFonts w:ascii="Times New Roman" w:hAnsi="Times New Roman"/>
                <w:sz w:val="20"/>
              </w:rPr>
              <w:t xml:space="preserve">Sonde fonctionnelle avec résolution ≤ 0,01 mΩ, stabilité ±0,5 mV sur 24h, format CSV conforme</w:t>
            </w:r>
          </w:p>
        </w:tc>
      </w:tr>
      <w:tr>
        <w:tc>
          <w:tcPr/>
          <w:p>
            <w:pPr>
              <w:pStyle w:val="Compact"/>
              <w:jc w:val="left"/>
            </w:pPr>
            <w:r>
              <w:rPr>
                <w:rFonts w:ascii="Times New Roman" w:hAnsi="Times New Roman"/>
                <w:b/>
                <w:bCs/>
                <w:sz w:val="20"/>
              </w:rPr>
              <w:t xml:space="preserve">OS2</w:t>
            </w:r>
            <w:r>
              <w:rPr>
                <w:rFonts w:ascii="Times New Roman" w:hAnsi="Times New Roman"/>
                <w:sz w:val="20"/>
              </w:rPr>
              <w:t xml:space="preserve"> </w:t>
            </w:r>
            <w:r>
              <w:rPr>
                <w:rFonts w:ascii="Times New Roman" w:hAnsi="Times New Roman"/>
                <w:sz w:val="20"/>
              </w:rPr>
              <w:t xml:space="preserve">— Entraîner et valider le modèle XGBoost (CR + RUL)</w:t>
            </w:r>
          </w:p>
        </w:tc>
        <w:tc>
          <w:tcPr/>
          <w:p>
            <w:pPr>
              <w:pStyle w:val="Compact"/>
              <w:jc w:val="left"/>
            </w:pPr>
            <w:r>
              <w:rPr>
                <w:rFonts w:ascii="Times New Roman" w:hAnsi="Times New Roman"/>
                <w:sz w:val="20"/>
              </w:rPr>
              <w:t xml:space="preserve">Collecte de données (4 runs RTF) ; Nettoyage IQR + Savitzky-Golay ; Compensation thermique ; Feature engineering (10 variables) ; Walk-forward CV TimeSeriesSplit ; Entraînement XGBoost ; Évaluation SHAP</w:t>
            </w:r>
          </w:p>
        </w:tc>
        <w:tc>
          <w:tcPr/>
          <w:p>
            <w:pPr>
              <w:pStyle w:val="Compact"/>
              <w:jc w:val="left"/>
            </w:pPr>
            <w:r>
              <w:rPr>
                <w:rFonts w:ascii="Times New Roman" w:hAnsi="Times New Roman"/>
                <w:sz w:val="20"/>
              </w:rPr>
              <w:t xml:space="preserve">Python : Pandas, SciPy, XGBoost, Scikit-learn, SHAP ; TimeSeriesSplit n=4</w:t>
            </w:r>
          </w:p>
        </w:tc>
        <w:tc>
          <w:tcPr/>
          <w:p>
            <w:pPr>
              <w:pStyle w:val="Compact"/>
              <w:jc w:val="left"/>
            </w:pPr>
            <w:r>
              <w:rPr>
                <w:rFonts w:ascii="Times New Roman" w:hAnsi="Times New Roman"/>
                <w:sz w:val="20"/>
              </w:rPr>
              <w:t xml:space="preserve">R² &gt; 0,70 et RMSE &lt; 15 % pour CR ; RUL extrapolé cohérent avec runs 1–3 ; SHAP : top 3 variables identifiées</w:t>
            </w:r>
          </w:p>
        </w:tc>
      </w:tr>
      <w:tr>
        <w:tc>
          <w:tcPr/>
          <w:p>
            <w:pPr>
              <w:pStyle w:val="Compact"/>
              <w:jc w:val="left"/>
            </w:pPr>
            <w:r>
              <w:rPr>
                <w:rFonts w:ascii="Times New Roman" w:hAnsi="Times New Roman"/>
                <w:b/>
                <w:bCs/>
                <w:sz w:val="20"/>
              </w:rPr>
              <w:t xml:space="preserve">OS3</w:t>
            </w:r>
            <w:r>
              <w:rPr>
                <w:rFonts w:ascii="Times New Roman" w:hAnsi="Times New Roman"/>
                <w:sz w:val="20"/>
              </w:rPr>
              <w:t xml:space="preserve"> </w:t>
            </w:r>
            <w:r>
              <w:rPr>
                <w:rFonts w:ascii="Times New Roman" w:hAnsi="Times New Roman"/>
                <w:sz w:val="20"/>
              </w:rPr>
              <w:t xml:space="preserve">— Évaluer l’inhibiteur AC PROTECT 106 et définir les seuils d’alerte</w:t>
            </w:r>
          </w:p>
        </w:tc>
        <w:tc>
          <w:tcPr/>
          <w:p>
            <w:pPr>
              <w:pStyle w:val="Compact"/>
              <w:jc w:val="left"/>
            </w:pPr>
            <w:r>
              <w:rPr>
                <w:rFonts w:ascii="Times New Roman" w:hAnsi="Times New Roman"/>
                <w:sz w:val="20"/>
              </w:rPr>
              <w:t xml:space="preserve">Runs 3 et 4 avec AC PROTECT 106 à concentrations croissantes ; Détection changepoint du temps d’adsorption ; Calcul ΔCR (inhibé vs non inhibé) ; Définition seuils vert/orange/rouge ; Recommandations de dosage</w:t>
            </w:r>
          </w:p>
        </w:tc>
        <w:tc>
          <w:tcPr/>
          <w:p>
            <w:pPr>
              <w:pStyle w:val="Compact"/>
              <w:jc w:val="left"/>
            </w:pPr>
            <w:r>
              <w:rPr>
                <w:rFonts w:ascii="Times New Roman" w:hAnsi="Times New Roman"/>
                <w:sz w:val="20"/>
              </w:rPr>
              <w:t xml:space="preserve">Pipeline Python : detectionchangepoint ; Alertes basées sur CR_lisse et RUL_prédit ; Comparaison runs inhibés vs non inhibés</w:t>
            </w:r>
          </w:p>
        </w:tc>
        <w:tc>
          <w:tcPr/>
          <w:p>
            <w:pPr>
              <w:pStyle w:val="Compact"/>
              <w:jc w:val="left"/>
            </w:pPr>
            <w:r>
              <w:rPr>
                <w:rFonts w:ascii="Times New Roman" w:hAnsi="Times New Roman"/>
                <w:sz w:val="20"/>
              </w:rPr>
              <w:t xml:space="preserve">Seuils d’alerte calibrés ; Efficacité d’inhibition η mesurée (%) ; Recommandation de dose (0, 0,1, 0,5, 1,0 % v/v)</w:t>
            </w:r>
          </w:p>
        </w:tc>
      </w:tr>
    </w:tbl>
    <w:bookmarkEnd w:id="111"/>
    <w:bookmarkStart w:id="112" w:name="Xc71d7788408753f87a9b2c19c3bc66e94eb197d"/>
    <w:p>
      <w:pPr>
        <w:pStyle w:val="Heading3"/>
      </w:pPr>
      <w:r>
        <w:rPr>
          <w:rFonts w:ascii="Times New Roman" w:hAnsi="Times New Roman"/>
        </w:rPr>
        <w:t xml:space="preserve">3.3.2 Protocole d’acquisition des données — Runs run-to-failure</w:t>
      </w:r>
    </w:p>
    <w:p>
      <w:pPr>
        <w:pStyle w:val="FirstParagraph"/>
      </w:pPr>
      <w:r>
        <w:rPr>
          <w:rFonts w:ascii="Times New Roman" w:hAnsi="Times New Roman"/>
        </w:rPr>
        <w:t xml:space="preserve">Le choix d’un protocole</w:t>
      </w:r>
      <w:r>
        <w:rPr>
          <w:rFonts w:ascii="Times New Roman" w:hAnsi="Times New Roman"/>
        </w:rPr>
        <w:t xml:space="preserve"> </w:t>
      </w:r>
      <w:r>
        <w:rPr>
          <w:rFonts w:ascii="Times New Roman" w:hAnsi="Times New Roman"/>
          <w:b/>
          <w:bCs/>
        </w:rPr>
        <w:t xml:space="preserve">run-to-failure</w:t>
      </w:r>
      <w:r>
        <w:rPr>
          <w:rFonts w:ascii="Times New Roman" w:hAnsi="Times New Roman"/>
        </w:rPr>
        <w:t xml:space="preserve"> </w:t>
      </w:r>
      <w:r>
        <w:rPr>
          <w:rFonts w:ascii="Times New Roman" w:hAnsi="Times New Roman"/>
        </w:rPr>
        <w:t xml:space="preserve">(RTF) est fondé sur la nécessité de constituer un jeu d’apprentissage couvrant l’intégralité du cycle de dégradation, de l’état initial jusqu’à la rupture. Ce choix est justifié par la norme ISO 13381-1 (maintenance prévisionnelle), qui stipule que la prédiction de la durée de vie résiduelle (RUL) requiert des données historiques de défaillance complètes pour être statistiquement fiable.</w:t>
      </w:r>
    </w:p>
    <w:p>
      <w:pPr>
        <w:pStyle w:val="BodyText"/>
      </w:pPr>
      <w:r>
        <w:rPr>
          <w:rFonts w:ascii="Times New Roman" w:hAnsi="Times New Roman"/>
        </w:rPr>
        <w:t xml:space="preserve">Quatre runs sont planifiés, chaque run utilisant un fil neuf :</w:t>
      </w:r>
    </w:p>
    <w:p>
      <w:pPr>
        <w:pStyle w:val="BodyText"/>
      </w:pPr>
      <w:r>
        <w:rPr>
          <w:rFonts w:ascii="Times New Roman" w:hAnsi="Times New Roman"/>
          <w:b/>
          <w:bCs/>
        </w:rPr>
        <w:t xml:space="preserve">Tableau 3.5 — Protocole des quatre runs expérimentaux</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ascii="Times New Roman" w:hAnsi="Times New Roman"/>
                <w:b/>
                <w:sz w:val="20"/>
              </w:rPr>
              <w:t xml:space="preserve">Run</w:t>
            </w:r>
          </w:p>
        </w:tc>
        <w:tc>
          <w:tcPr/>
          <w:p>
            <w:pPr>
              <w:pStyle w:val="Compact"/>
              <w:jc w:val="left"/>
            </w:pPr>
            <w:r>
              <w:rPr>
                <w:rFonts w:ascii="Times New Roman" w:hAnsi="Times New Roman"/>
                <w:b/>
                <w:sz w:val="20"/>
              </w:rPr>
              <w:t xml:space="preserve">Durée estimée</w:t>
            </w:r>
          </w:p>
        </w:tc>
        <w:tc>
          <w:tcPr/>
          <w:p>
            <w:pPr>
              <w:pStyle w:val="Compact"/>
              <w:jc w:val="left"/>
            </w:pPr>
            <w:r>
              <w:rPr>
                <w:rFonts w:ascii="Times New Roman" w:hAnsi="Times New Roman"/>
                <w:b/>
                <w:sz w:val="20"/>
              </w:rPr>
              <w:t xml:space="preserve">Conditions</w:t>
            </w:r>
          </w:p>
        </w:tc>
        <w:tc>
          <w:tcPr/>
          <w:p>
            <w:pPr>
              <w:pStyle w:val="Compact"/>
              <w:jc w:val="left"/>
            </w:pPr>
            <w:r>
              <w:rPr>
                <w:rFonts w:ascii="Times New Roman" w:hAnsi="Times New Roman"/>
                <w:b/>
                <w:sz w:val="20"/>
              </w:rPr>
              <w:t xml:space="preserve">Utilisation ML</w:t>
            </w:r>
          </w:p>
        </w:tc>
      </w:tr>
      <w:tr>
        <w:tc>
          <w:tcPr/>
          <w:p>
            <w:pPr>
              <w:pStyle w:val="Compact"/>
              <w:jc w:val="left"/>
            </w:pPr>
            <w:r>
              <w:rPr>
                <w:rFonts w:ascii="Times New Roman" w:hAnsi="Times New Roman"/>
                <w:sz w:val="20"/>
              </w:rPr>
              <w:t xml:space="preserve">Run 1</w:t>
            </w:r>
          </w:p>
        </w:tc>
        <w:tc>
          <w:tcPr/>
          <w:p>
            <w:pPr>
              <w:pStyle w:val="Compact"/>
              <w:jc w:val="left"/>
            </w:pPr>
            <w:r>
              <w:rPr>
                <w:rFonts w:ascii="Times New Roman" w:hAnsi="Times New Roman"/>
                <w:sz w:val="20"/>
              </w:rPr>
              <w:t xml:space="preserve">24–72 h (jusqu’à rupture)</w:t>
            </w:r>
          </w:p>
        </w:tc>
        <w:tc>
          <w:tcPr/>
          <w:p>
            <w:pPr>
              <w:pStyle w:val="Compact"/>
              <w:jc w:val="left"/>
            </w:pPr>
            <w:r>
              <w:rPr>
                <w:rFonts w:ascii="Times New Roman" w:hAnsi="Times New Roman"/>
                <w:sz w:val="20"/>
              </w:rPr>
              <w:t xml:space="preserve">Detar Plus pur, sans inhibiteur, T ambiante</w:t>
            </w:r>
          </w:p>
        </w:tc>
        <w:tc>
          <w:tcPr/>
          <w:p>
            <w:pPr>
              <w:pStyle w:val="Compact"/>
              <w:jc w:val="left"/>
            </w:pPr>
            <w:r>
              <w:rPr>
                <w:rFonts w:ascii="Times New Roman" w:hAnsi="Times New Roman"/>
                <w:sz w:val="20"/>
              </w:rPr>
              <w:t xml:space="preserve">Entraînement</w:t>
            </w:r>
          </w:p>
        </w:tc>
      </w:tr>
      <w:tr>
        <w:tc>
          <w:tcPr/>
          <w:p>
            <w:pPr>
              <w:pStyle w:val="Compact"/>
              <w:jc w:val="left"/>
            </w:pPr>
            <w:r>
              <w:rPr>
                <w:rFonts w:ascii="Times New Roman" w:hAnsi="Times New Roman"/>
                <w:sz w:val="20"/>
              </w:rPr>
              <w:t xml:space="preserve">Run 2</w:t>
            </w:r>
          </w:p>
        </w:tc>
        <w:tc>
          <w:tcPr/>
          <w:p>
            <w:pPr>
              <w:pStyle w:val="Compact"/>
              <w:jc w:val="left"/>
            </w:pPr>
            <w:r>
              <w:rPr>
                <w:rFonts w:ascii="Times New Roman" w:hAnsi="Times New Roman"/>
                <w:sz w:val="20"/>
              </w:rPr>
              <w:t xml:space="preserve">24–72 h (jusqu’à rupture)</w:t>
            </w:r>
          </w:p>
        </w:tc>
        <w:tc>
          <w:tcPr/>
          <w:p>
            <w:pPr>
              <w:pStyle w:val="Compact"/>
              <w:jc w:val="left"/>
            </w:pPr>
            <w:r>
              <w:rPr>
                <w:rFonts w:ascii="Times New Roman" w:hAnsi="Times New Roman"/>
                <w:sz w:val="20"/>
              </w:rPr>
              <w:t xml:space="preserve">Detar Plus pur, sans inhibiteur, T ambiante</w:t>
            </w:r>
          </w:p>
        </w:tc>
        <w:tc>
          <w:tcPr/>
          <w:p>
            <w:pPr>
              <w:pStyle w:val="Compact"/>
              <w:jc w:val="left"/>
            </w:pPr>
            <w:r>
              <w:rPr>
                <w:rFonts w:ascii="Times New Roman" w:hAnsi="Times New Roman"/>
                <w:sz w:val="20"/>
              </w:rPr>
              <w:t xml:space="preserve">Entraînement</w:t>
            </w:r>
          </w:p>
        </w:tc>
      </w:tr>
      <w:tr>
        <w:tc>
          <w:tcPr/>
          <w:p>
            <w:pPr>
              <w:pStyle w:val="Compact"/>
              <w:jc w:val="left"/>
            </w:pPr>
            <w:r>
              <w:rPr>
                <w:rFonts w:ascii="Times New Roman" w:hAnsi="Times New Roman"/>
                <w:sz w:val="20"/>
              </w:rPr>
              <w:t xml:space="preserve">Run 3</w:t>
            </w:r>
          </w:p>
        </w:tc>
        <w:tc>
          <w:tcPr/>
          <w:p>
            <w:pPr>
              <w:pStyle w:val="Compact"/>
              <w:jc w:val="left"/>
            </w:pPr>
            <w:r>
              <w:rPr>
                <w:rFonts w:ascii="Times New Roman" w:hAnsi="Times New Roman"/>
                <w:sz w:val="20"/>
              </w:rPr>
              <w:t xml:space="preserve">24–72 h (jusqu’à rupture)</w:t>
            </w:r>
          </w:p>
        </w:tc>
        <w:tc>
          <w:tcPr/>
          <w:p>
            <w:pPr>
              <w:pStyle w:val="Compact"/>
              <w:jc w:val="left"/>
            </w:pPr>
            <w:r>
              <w:rPr>
                <w:rFonts w:ascii="Times New Roman" w:hAnsi="Times New Roman"/>
                <w:sz w:val="20"/>
              </w:rPr>
              <w:t xml:space="preserve">Detar Plus + AC PROTECT 106 à 0,1 % v/v dès t=0</w:t>
            </w:r>
          </w:p>
        </w:tc>
        <w:tc>
          <w:tcPr/>
          <w:p>
            <w:pPr>
              <w:pStyle w:val="Compact"/>
              <w:jc w:val="left"/>
            </w:pPr>
            <w:r>
              <w:rPr>
                <w:rFonts w:ascii="Times New Roman" w:hAnsi="Times New Roman"/>
                <w:sz w:val="20"/>
              </w:rPr>
              <w:t xml:space="preserve">Entraînement + évaluation inhibiteur</w:t>
            </w:r>
          </w:p>
        </w:tc>
      </w:tr>
      <w:tr>
        <w:tc>
          <w:tcPr/>
          <w:p>
            <w:pPr>
              <w:pStyle w:val="Compact"/>
              <w:jc w:val="left"/>
            </w:pPr>
            <w:r>
              <w:rPr>
                <w:rFonts w:ascii="Times New Roman" w:hAnsi="Times New Roman"/>
                <w:sz w:val="20"/>
              </w:rPr>
              <w:t xml:space="preserve">Run 4</w:t>
            </w:r>
          </w:p>
        </w:tc>
        <w:tc>
          <w:tcPr/>
          <w:p>
            <w:pPr>
              <w:pStyle w:val="Compact"/>
              <w:jc w:val="left"/>
            </w:pPr>
            <w:r>
              <w:rPr>
                <w:rFonts w:ascii="Times New Roman" w:hAnsi="Times New Roman"/>
                <w:sz w:val="20"/>
              </w:rPr>
              <w:t xml:space="preserve">24–72 h (jusqu’à rupture)</w:t>
            </w:r>
          </w:p>
        </w:tc>
        <w:tc>
          <w:tcPr/>
          <w:p>
            <w:pPr>
              <w:pStyle w:val="Compact"/>
              <w:jc w:val="left"/>
            </w:pPr>
            <w:r>
              <w:rPr>
                <w:rFonts w:ascii="Times New Roman" w:hAnsi="Times New Roman"/>
                <w:sz w:val="20"/>
              </w:rPr>
              <w:t xml:space="preserve">Detar Plus + AC PROTECT 106 à 0,5 % v/v dès t=0</w:t>
            </w:r>
          </w:p>
        </w:tc>
        <w:tc>
          <w:tcPr/>
          <w:p>
            <w:pPr>
              <w:pStyle w:val="Compact"/>
              <w:jc w:val="left"/>
            </w:pPr>
            <w:r>
              <w:rPr>
                <w:rFonts w:ascii="Times New Roman" w:hAnsi="Times New Roman"/>
                <w:sz w:val="20"/>
              </w:rPr>
              <w:t xml:space="preserve">Validation</w:t>
            </w:r>
          </w:p>
        </w:tc>
      </w:tr>
    </w:tbl>
    <w:p>
      <w:pPr>
        <w:pStyle w:val="BodyText"/>
      </w:pPr>
      <w:r>
        <w:rPr>
          <w:rFonts w:ascii="Times New Roman" w:hAnsi="Times New Roman"/>
        </w:rPr>
        <w:t xml:space="preserve">Pour chaque run, la procédure est la suivante :</w:t>
      </w:r>
    </w:p>
    <w:p>
      <w:pPr>
        <w:pStyle w:val="Compact"/>
        <w:numPr>
          <w:ilvl w:val="0"/>
          <w:numId w:val="1018"/>
        </w:numPr>
      </w:pPr>
      <w:r>
        <w:rPr>
          <w:rFonts w:ascii="Times New Roman" w:hAnsi="Times New Roman"/>
          <w:b/>
          <w:bCs/>
        </w:rPr>
        <w:t xml:space="preserve">Préparation de la cellule</w:t>
      </w:r>
      <w:r>
        <w:rPr>
          <w:rFonts w:ascii="Times New Roman" w:hAnsi="Times New Roman"/>
        </w:rPr>
        <w:t xml:space="preserve"> </w:t>
      </w:r>
      <w:r>
        <w:rPr>
          <w:rFonts w:ascii="Times New Roman" w:hAnsi="Times New Roman"/>
        </w:rPr>
        <w:t xml:space="preserve">: nettoyage du récipient, préparation du fil de fer (découpe, nettoyage acétone), mesure de la résistance initiale R₀ au multimètre de précision, vérification du pH par pH-mètre papier.</w:t>
      </w:r>
    </w:p>
    <w:p>
      <w:pPr>
        <w:pStyle w:val="Compact"/>
        <w:numPr>
          <w:ilvl w:val="0"/>
          <w:numId w:val="1018"/>
        </w:numPr>
      </w:pPr>
      <w:r>
        <w:rPr>
          <w:rFonts w:ascii="Times New Roman" w:hAnsi="Times New Roman"/>
          <w:b/>
          <w:bCs/>
        </w:rPr>
        <w:t xml:space="preserve">Câblage de la sonde</w:t>
      </w:r>
      <w:r>
        <w:rPr>
          <w:rFonts w:ascii="Times New Roman" w:hAnsi="Times New Roman"/>
        </w:rPr>
        <w:t xml:space="preserve"> </w:t>
      </w:r>
      <w:r>
        <w:rPr>
          <w:rFonts w:ascii="Times New Roman" w:hAnsi="Times New Roman"/>
        </w:rPr>
        <w:t xml:space="preserve">: montage du fil dans le pont, connexion HX711 → ESP32, vérification du format CSV sur le moniteur série Arduino.</w:t>
      </w:r>
    </w:p>
    <w:p>
      <w:pPr>
        <w:pStyle w:val="Compact"/>
        <w:numPr>
          <w:ilvl w:val="0"/>
          <w:numId w:val="1018"/>
        </w:numPr>
      </w:pPr>
      <w:r>
        <w:rPr>
          <w:rFonts w:ascii="Times New Roman" w:hAnsi="Times New Roman"/>
          <w:b/>
          <w:bCs/>
        </w:rPr>
        <w:t xml:space="preserve">Démarrage de l’acquisition</w:t>
      </w:r>
      <w:r>
        <w:rPr>
          <w:rFonts w:ascii="Times New Roman" w:hAnsi="Times New Roman"/>
        </w:rPr>
        <w:t xml:space="preserve"> </w:t>
      </w:r>
      <w:r>
        <w:rPr>
          <w:rFonts w:ascii="Times New Roman" w:hAnsi="Times New Roman"/>
        </w:rPr>
        <w:t xml:space="preserve">: immersion du fil dans le Detar Plus, lancement de l’enregistrement CSV.</w:t>
      </w:r>
    </w:p>
    <w:p>
      <w:pPr>
        <w:pStyle w:val="Compact"/>
        <w:numPr>
          <w:ilvl w:val="0"/>
          <w:numId w:val="1018"/>
        </w:numPr>
      </w:pPr>
      <w:r>
        <w:rPr>
          <w:rFonts w:ascii="Times New Roman" w:hAnsi="Times New Roman"/>
          <w:b/>
          <w:bCs/>
        </w:rPr>
        <w:t xml:space="preserve">Surveillance</w:t>
      </w:r>
      <w:r>
        <w:rPr>
          <w:rFonts w:ascii="Times New Roman" w:hAnsi="Times New Roman"/>
        </w:rPr>
        <w:t xml:space="preserve"> </w:t>
      </w:r>
      <w:r>
        <w:rPr>
          <w:rFonts w:ascii="Times New Roman" w:hAnsi="Times New Roman"/>
        </w:rPr>
        <w:t xml:space="preserve">: vérification toutes les 2–4 heures que l’acquisition est en cours (LED ESP32 active, données CSV cohérentes).</w:t>
      </w:r>
    </w:p>
    <w:p>
      <w:pPr>
        <w:pStyle w:val="Compact"/>
        <w:numPr>
          <w:ilvl w:val="0"/>
          <w:numId w:val="1018"/>
        </w:numPr>
      </w:pPr>
      <w:r>
        <w:rPr>
          <w:rFonts w:ascii="Times New Roman" w:hAnsi="Times New Roman"/>
          <w:b/>
          <w:bCs/>
        </w:rPr>
        <w:t xml:space="preserve">Fin de run</w:t>
      </w:r>
      <w:r>
        <w:rPr>
          <w:rFonts w:ascii="Times New Roman" w:hAnsi="Times New Roman"/>
        </w:rPr>
        <w:t xml:space="preserve"> </w:t>
      </w:r>
      <w:r>
        <w:rPr>
          <w:rFonts w:ascii="Times New Roman" w:hAnsi="Times New Roman"/>
        </w:rPr>
        <w:t xml:space="preserve">: rupture du fil détectée par divergence de Rx vers +∞. Arrêt de l’acquisition, export du fichier CSV, photographie de la cellule et du fil corrodé.</w:t>
      </w:r>
    </w:p>
    <w:p>
      <w:pPr>
        <w:pStyle w:val="Compact"/>
        <w:numPr>
          <w:ilvl w:val="0"/>
          <w:numId w:val="1018"/>
        </w:numPr>
      </w:pPr>
      <w:r>
        <w:rPr>
          <w:rFonts w:ascii="Times New Roman" w:hAnsi="Times New Roman"/>
          <w:b/>
          <w:bCs/>
        </w:rPr>
        <w:t xml:space="preserve">Post-run</w:t>
      </w:r>
      <w:r>
        <w:rPr>
          <w:rFonts w:ascii="Times New Roman" w:hAnsi="Times New Roman"/>
        </w:rPr>
        <w:t xml:space="preserve"> </w:t>
      </w:r>
      <w:r>
        <w:rPr>
          <w:rFonts w:ascii="Times New Roman" w:hAnsi="Times New Roman"/>
        </w:rPr>
        <w:t xml:space="preserve">: nettoyage de la cellule, rinçage, préparation run suivant.</w:t>
      </w:r>
    </w:p>
    <w:p>
      <w:pPr>
        <w:pStyle w:val="FirstParagraph"/>
      </w:pPr>
      <w:r>
        <w:rPr>
          <w:rFonts w:ascii="Times New Roman" w:hAnsi="Times New Roman"/>
        </w:rPr>
        <w:t xml:space="preserve">La fréquence d’acquisition est de</w:t>
      </w:r>
      <w:r>
        <w:rPr>
          <w:rFonts w:ascii="Times New Roman" w:hAnsi="Times New Roman"/>
        </w:rPr>
        <w:t xml:space="preserve"> </w:t>
      </w:r>
      <w:r>
        <w:rPr>
          <w:rFonts w:ascii="Times New Roman" w:hAnsi="Times New Roman"/>
          <w:b/>
          <w:bCs/>
        </w:rPr>
        <w:t xml:space="preserve">1 mesure toutes les 10 minutes</w:t>
      </w:r>
      <w:r>
        <w:rPr>
          <w:rFonts w:ascii="Times New Roman" w:hAnsi="Times New Roman"/>
        </w:rPr>
        <w:t xml:space="preserve"> </w:t>
      </w:r>
      <w:r>
        <w:rPr>
          <w:rFonts w:ascii="Times New Roman" w:hAnsi="Times New Roman"/>
        </w:rPr>
        <w:t xml:space="preserve">(deep sleep de 600 secondes). Pour un run de 48 heures, cela représente 288 points de mesure — suffisant pour capturer les dynamiques de corrosion à l’échelle de l’heure tout en limitant la consommation énergétique.</w:t>
      </w:r>
    </w:p>
    <w:bookmarkEnd w:id="112"/>
    <w:bookmarkStart w:id="113" w:name="X1645e6950e96922f5e5f785ac40008a9e3a91e3"/>
    <w:p>
      <w:pPr>
        <w:pStyle w:val="Heading3"/>
      </w:pPr>
      <w:r>
        <w:rPr>
          <w:rFonts w:ascii="Times New Roman" w:hAnsi="Times New Roman"/>
        </w:rPr>
        <w:t xml:space="preserve">3.3.3 Pipeline de traitement des données et entraînement du modèle</w:t>
      </w:r>
    </w:p>
    <w:p>
      <w:pPr>
        <w:pStyle w:val="FirstParagraph"/>
      </w:pPr>
      <w:r>
        <w:rPr>
          <w:rFonts w:ascii="Times New Roman" w:hAnsi="Times New Roman"/>
        </w:rPr>
        <w:t xml:space="preserve">Le traitement des données collectées suit une chaîne de traitement en six étapes, implémentée dans le script Python</w:t>
      </w:r>
      <w:r>
        <w:rPr>
          <w:rFonts w:ascii="Times New Roman" w:hAnsi="Times New Roman"/>
        </w:rPr>
        <w:t xml:space="preserve"> </w:t>
      </w:r>
      <w:r>
        <w:rPr>
          <w:rStyle w:val="VerbatimChar"/>
          <w:rFonts w:ascii="Times New Roman" w:hAnsi="Times New Roman"/>
        </w:rPr>
        <w:t xml:space="preserve">corrosion_pipeline.py</w:t>
      </w:r>
      <w:r>
        <w:rPr>
          <w:rFonts w:ascii="Times New Roman" w:hAnsi="Times New Roman"/>
        </w:rPr>
        <w:t xml:space="preserve"> </w:t>
      </w:r>
      <w:r>
        <w:rPr>
          <w:rFonts w:ascii="Times New Roman" w:hAnsi="Times New Roman"/>
        </w:rPr>
        <w:t xml:space="preserve">:</w:t>
      </w:r>
    </w:p>
    <w:p>
      <w:pPr>
        <w:pStyle w:val="BodyText"/>
      </w:pPr>
      <w:r>
        <w:rPr>
          <w:rFonts w:ascii="Times New Roman" w:hAnsi="Times New Roman"/>
          <w:b/>
          <w:bCs/>
        </w:rPr>
        <w:t xml:space="preserve">Étape A — Chargement et vérification des données :</w:t>
      </w:r>
      <w:r>
        <w:rPr>
          <w:rFonts w:ascii="Times New Roman" w:hAnsi="Times New Roman"/>
        </w:rPr>
        <w:t xml:space="preserve"> </w:t>
      </w:r>
      <w:r>
        <w:rPr>
          <w:rFonts w:ascii="Times New Roman" w:hAnsi="Times New Roman"/>
        </w:rPr>
        <w:t xml:space="preserve">Lecture du fichier CSV produit par l’ESP32 (format :</w:t>
      </w:r>
      <w:r>
        <w:rPr>
          <w:rFonts w:ascii="Times New Roman" w:hAnsi="Times New Roman"/>
        </w:rPr>
        <w:t xml:space="preserve"> </w:t>
      </w:r>
      <w:r>
        <w:rPr>
          <w:rStyle w:val="VerbatimChar"/>
          <w:rFonts w:ascii="Times New Roman" w:hAnsi="Times New Roman"/>
        </w:rPr>
        <w:t xml:space="preserve">Timestamp_s;Vdiff_V;Rx_Ohm;Temp_C;DeltaR_Ohm_per_h</w:t>
      </w:r>
      <w:r>
        <w:rPr>
          <w:rFonts w:ascii="Times New Roman" w:hAnsi="Times New Roman"/>
        </w:rPr>
        <w:t xml:space="preserve">). Vérification des types, suppression de l’en-tête si présent, tri chronologique.</w:t>
      </w:r>
    </w:p>
    <w:p>
      <w:pPr>
        <w:pStyle w:val="BodyText"/>
      </w:pPr>
      <w:r>
        <w:rPr>
          <w:rFonts w:ascii="Times New Roman" w:hAnsi="Times New Roman"/>
          <w:b/>
          <w:bCs/>
        </w:rPr>
        <w:t xml:space="preserve">Étape B — Nettoyage du signal :</w:t>
      </w:r>
      <w:r>
        <w:rPr>
          <w:rFonts w:ascii="Times New Roman" w:hAnsi="Times New Roman"/>
        </w:rPr>
        <w:t xml:space="preserve"> </w:t>
      </w:r>
      <w:r>
        <w:rPr>
          <w:rFonts w:ascii="Times New Roman" w:hAnsi="Times New Roman"/>
        </w:rPr>
        <w:t xml:space="preserve">(1) Suppression des points aberrants par la méthode IQR (seuil : Q5 − 3×IQR ≤ Rx ≤ Q95 + 3×IQR). Ce seuil large préserve la dynamique de dégradation tout en éliminant les artefacts de mesure (décrochages transitoires du HX711 lors du réveil de l’ESP32). (2) Lissage Savitzky-Golay (fenêtre 5 points, polynôme d’ordre 2), qui préserve mieux les pentes de corrosion qu’une moyenne mobile simple — important pour le calcul précis de dr/dt.</w:t>
      </w:r>
    </w:p>
    <w:p>
      <w:pPr>
        <w:pStyle w:val="BodyText"/>
      </w:pPr>
      <w:r>
        <w:rPr>
          <w:rFonts w:ascii="Times New Roman" w:hAnsi="Times New Roman"/>
          <w:b/>
          <w:bCs/>
        </w:rPr>
        <w:t xml:space="preserve">Étape C — Compensation thermique :</w:t>
      </w:r>
      <w:r>
        <w:rPr>
          <w:rFonts w:ascii="Times New Roman" w:hAnsi="Times New Roman"/>
        </w:rPr>
        <w:t xml:space="preserve"> </w:t>
      </w:r>
      <w:r>
        <w:rPr>
          <w:rFonts w:ascii="Times New Roman" w:hAnsi="Times New Roman"/>
        </w:rPr>
        <w:t xml:space="preserve">La résistivité électrique du fer varie avec la température selon la loi linéaire de Matthiessen :</w:t>
      </w:r>
    </w:p>
    <w:p>
      <w:pPr>
        <w:pStyle w:val="BodyText"/>
      </w:pPr>
      <m:oMathPara>
        <m:oMathParaPr>
          <m:jc m:val="center"/>
        </m:oMathParaPr>
        <m:oMath>
          <m:sSub>
            <m:e>
              <m:r>
                <m:t>R</m:t>
              </m:r>
            </m:e>
            <m:sub>
              <m:r>
                <m:t>c</m:t>
              </m:r>
              <m:r>
                <m:t>o</m:t>
              </m:r>
              <m:r>
                <m:t>r</m:t>
              </m:r>
              <m:r>
                <m:t>r</m:t>
              </m:r>
            </m:sub>
          </m:sSub>
          <m:r>
            <m:rPr>
              <m:sty m:val="p"/>
            </m:rPr>
            <m:t>(</m:t>
          </m:r>
          <m:r>
            <m:t>t</m:t>
          </m:r>
          <m:r>
            <m:rPr>
              <m:sty m:val="p"/>
            </m:rPr>
            <m:t>)</m:t>
          </m:r>
          <m:r>
            <m:rPr>
              <m:sty m:val="p"/>
            </m:rPr>
            <m:t>=</m:t>
          </m:r>
          <m:f>
            <m:fPr>
              <m:type m:val="bar"/>
            </m:fPr>
            <m:num>
              <m:sSub>
                <m:e>
                  <m:r>
                    <m:t>R</m:t>
                  </m:r>
                </m:e>
                <m:sub>
                  <m:r>
                    <m:t>l</m:t>
                  </m:r>
                  <m:r>
                    <m:t>i</m:t>
                  </m:r>
                  <m:r>
                    <m:t>s</m:t>
                  </m:r>
                  <m:r>
                    <m:t>s</m:t>
                  </m:r>
                  <m:r>
                    <m:t>e</m:t>
                  </m:r>
                </m:sub>
              </m:sSub>
              <m:r>
                <m:rPr>
                  <m:sty m:val="p"/>
                </m:rPr>
                <m:t>(</m:t>
              </m:r>
              <m:r>
                <m:t>t</m:t>
              </m:r>
              <m:r>
                <m:rPr>
                  <m:sty m:val="p"/>
                </m:rPr>
                <m:t>)</m:t>
              </m:r>
            </m:num>
            <m:den>
              <m:r>
                <m:t>1</m:t>
              </m:r>
              <m:r>
                <m:rPr>
                  <m:sty m:val="p"/>
                </m:rPr>
                <m:t>+</m:t>
              </m:r>
              <m:sSub>
                <m:e>
                  <m:r>
                    <m:t>α</m:t>
                  </m:r>
                </m:e>
                <m:sub>
                  <m:r>
                    <m:t>F</m:t>
                  </m:r>
                  <m:r>
                    <m:t>e</m:t>
                  </m:r>
                </m:sub>
              </m:sSub>
              <m:r>
                <m:rPr>
                  <m:sty m:val="p"/>
                </m:rPr>
                <m:t>⋅</m:t>
              </m:r>
              <m:r>
                <m:rPr>
                  <m:sty m:val="p"/>
                </m:rPr>
                <m:t>(</m:t>
              </m:r>
              <m:r>
                <m:t>T</m:t>
              </m:r>
              <m:r>
                <m:rPr>
                  <m:sty m:val="p"/>
                </m:rPr>
                <m:t>(</m:t>
              </m:r>
              <m:r>
                <m:t>t</m:t>
              </m:r>
              <m:r>
                <m:rPr>
                  <m:sty m:val="p"/>
                </m:rPr>
                <m:t>)</m:t>
              </m:r>
              <m:r>
                <m:rPr>
                  <m:sty m:val="p"/>
                </m:rPr>
                <m:t>−</m:t>
              </m:r>
              <m:sSub>
                <m:e>
                  <m:r>
                    <m:t>T</m:t>
                  </m:r>
                </m:e>
                <m:sub>
                  <m:r>
                    <m:t>r</m:t>
                  </m:r>
                  <m:r>
                    <m:t>e</m:t>
                  </m:r>
                  <m:r>
                    <m:t>f</m:t>
                  </m:r>
                </m:sub>
              </m:sSub>
              <m:r>
                <m:rPr>
                  <m:sty m:val="p"/>
                </m:rPr>
                <m:t>)</m:t>
              </m:r>
            </m:den>
          </m:f>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α_Fe</w:t>
      </w:r>
      <w:r>
        <w:rPr>
          <w:rFonts w:ascii="Times New Roman" w:hAnsi="Times New Roman"/>
        </w:rPr>
        <w:t xml:space="preserve"> </w:t>
      </w:r>
      <w:r>
        <w:rPr>
          <w:rFonts w:ascii="Times New Roman" w:hAnsi="Times New Roman"/>
        </w:rPr>
        <w:t xml:space="preserve">= 6,5 × 10⁻³ °C⁻¹ (coefficient thermique de résistance du fer)</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T_ref</w:t>
      </w:r>
      <w:r>
        <w:rPr>
          <w:rFonts w:ascii="Times New Roman" w:hAnsi="Times New Roman"/>
        </w:rPr>
        <w:t xml:space="preserve"> </w:t>
      </w:r>
      <w:r>
        <w:rPr>
          <w:rFonts w:ascii="Times New Roman" w:hAnsi="Times New Roman"/>
        </w:rPr>
        <w:t xml:space="preserve">= 25 °C (température de référence)</w:t>
      </w:r>
    </w:p>
    <w:p>
      <w:pPr>
        <w:pStyle w:val="BodyText"/>
      </w:pPr>
      <w:r>
        <w:rPr>
          <w:rFonts w:ascii="Times New Roman" w:hAnsi="Times New Roman"/>
        </w:rPr>
        <w:t xml:space="preserve">Cette compensation isole la composante de résistance due à la corrosion de celle due aux variations thermiques ambiantes.</w:t>
      </w:r>
    </w:p>
    <w:p>
      <w:pPr>
        <w:pStyle w:val="BodyText"/>
      </w:pPr>
      <w:r>
        <w:rPr>
          <w:rFonts w:ascii="Times New Roman" w:hAnsi="Times New Roman"/>
          <w:b/>
          <w:bCs/>
        </w:rPr>
        <w:t xml:space="preserve">Étape D — Feature engineering :</w:t>
      </w:r>
      <w:r>
        <w:rPr>
          <w:rFonts w:ascii="Times New Roman" w:hAnsi="Times New Roman"/>
        </w:rPr>
        <w:t xml:space="preserve"> </w:t>
      </w:r>
      <w:r>
        <w:rPr>
          <w:rFonts w:ascii="Times New Roman" w:hAnsi="Times New Roman"/>
        </w:rPr>
        <w:t xml:space="preserve">Dix variables d’entrée sont construites pour le modèle XGBoost :</w:t>
      </w:r>
    </w:p>
    <w:p>
      <w:pPr>
        <w:pStyle w:val="BodyText"/>
      </w:pPr>
      <w:r>
        <w:rPr>
          <w:rFonts w:ascii="Times New Roman" w:hAnsi="Times New Roman"/>
          <w:b/>
          <w:bCs/>
        </w:rPr>
        <w:t xml:space="preserve">Tableau 3.6 — Variables d’entrée (features) du modèle XGBoost</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b/>
                <w:sz w:val="20"/>
              </w:rPr>
              <w:t xml:space="preserve">Feature</w:t>
            </w:r>
          </w:p>
        </w:tc>
        <w:tc>
          <w:tcPr/>
          <w:p>
            <w:pPr>
              <w:pStyle w:val="Compact"/>
              <w:jc w:val="left"/>
            </w:pPr>
            <w:r>
              <w:rPr>
                <w:rFonts w:ascii="Times New Roman" w:hAnsi="Times New Roman"/>
                <w:b/>
                <w:sz w:val="20"/>
              </w:rPr>
              <w:t xml:space="preserve">Définition</w:t>
            </w:r>
          </w:p>
        </w:tc>
        <w:tc>
          <w:tcPr/>
          <w:p>
            <w:pPr>
              <w:pStyle w:val="Compact"/>
              <w:jc w:val="left"/>
            </w:pPr>
            <w:r>
              <w:rPr>
                <w:rFonts w:ascii="Times New Roman" w:hAnsi="Times New Roman"/>
                <w:b/>
                <w:sz w:val="20"/>
              </w:rPr>
              <w:t xml:space="preserve">Justification physique</w:t>
            </w:r>
          </w:p>
        </w:tc>
      </w:tr>
      <w:tr>
        <w:tc>
          <w:tcPr/>
          <w:p>
            <w:pPr>
              <w:pStyle w:val="Compact"/>
              <w:jc w:val="left"/>
            </w:pPr>
            <w:r>
              <w:rPr>
                <w:rStyle w:val="VerbatimChar"/>
                <w:rFonts w:ascii="Times New Roman" w:hAnsi="Times New Roman"/>
                <w:sz w:val="20"/>
              </w:rPr>
              <w:t xml:space="preserve">rx_corr</w:t>
            </w:r>
          </w:p>
        </w:tc>
        <w:tc>
          <w:tcPr/>
          <w:p>
            <w:pPr>
              <w:pStyle w:val="Compact"/>
              <w:jc w:val="left"/>
            </w:pPr>
            <w:r>
              <w:rPr>
                <w:rFonts w:ascii="Times New Roman" w:hAnsi="Times New Roman"/>
                <w:sz w:val="20"/>
              </w:rPr>
              <w:t xml:space="preserve">Résistance compensée thermiquement (Ω)</w:t>
            </w:r>
          </w:p>
        </w:tc>
        <w:tc>
          <w:tcPr/>
          <w:p>
            <w:pPr>
              <w:pStyle w:val="Compact"/>
              <w:jc w:val="left"/>
            </w:pPr>
            <w:r>
              <w:rPr>
                <w:rFonts w:ascii="Times New Roman" w:hAnsi="Times New Roman"/>
                <w:sz w:val="20"/>
              </w:rPr>
              <w:t xml:space="preserve">Indicateur d’état de corrosion absolu</w:t>
            </w:r>
          </w:p>
        </w:tc>
      </w:tr>
      <w:tr>
        <w:tc>
          <w:tcPr/>
          <w:p>
            <w:pPr>
              <w:pStyle w:val="Compact"/>
              <w:jc w:val="left"/>
            </w:pPr>
            <w:r>
              <w:rPr>
                <w:rStyle w:val="VerbatimChar"/>
                <w:rFonts w:ascii="Times New Roman" w:hAnsi="Times New Roman"/>
                <w:sz w:val="20"/>
              </w:rPr>
              <w:t xml:space="preserve">delta_R_1h</w:t>
            </w:r>
          </w:p>
        </w:tc>
        <w:tc>
          <w:tcPr/>
          <w:p>
            <w:pPr>
              <w:pStyle w:val="Compact"/>
              <w:jc w:val="left"/>
            </w:pPr>
            <w:r>
              <w:rPr>
                <w:rFonts w:ascii="Times New Roman" w:hAnsi="Times New Roman"/>
                <w:sz w:val="20"/>
              </w:rPr>
              <w:t xml:space="preserve">ΔR sur 1 heure (6 mesures)</w:t>
            </w:r>
          </w:p>
        </w:tc>
        <w:tc>
          <w:tcPr/>
          <w:p>
            <w:pPr>
              <w:pStyle w:val="Compact"/>
              <w:jc w:val="left"/>
            </w:pPr>
            <w:r>
              <w:rPr>
                <w:rFonts w:ascii="Times New Roman" w:hAnsi="Times New Roman"/>
                <w:sz w:val="20"/>
              </w:rPr>
              <w:t xml:space="preserve">Vitesse de corrosion à court terme</w:t>
            </w:r>
          </w:p>
        </w:tc>
      </w:tr>
      <w:tr>
        <w:tc>
          <w:tcPr/>
          <w:p>
            <w:pPr>
              <w:pStyle w:val="Compact"/>
              <w:jc w:val="left"/>
            </w:pPr>
            <w:r>
              <w:rPr>
                <w:rStyle w:val="VerbatimChar"/>
                <w:rFonts w:ascii="Times New Roman" w:hAnsi="Times New Roman"/>
                <w:sz w:val="20"/>
              </w:rPr>
              <w:t xml:space="preserve">delta_R_6h</w:t>
            </w:r>
          </w:p>
        </w:tc>
        <w:tc>
          <w:tcPr/>
          <w:p>
            <w:pPr>
              <w:pStyle w:val="Compact"/>
              <w:jc w:val="left"/>
            </w:pPr>
            <w:r>
              <w:rPr>
                <w:rFonts w:ascii="Times New Roman" w:hAnsi="Times New Roman"/>
                <w:sz w:val="20"/>
              </w:rPr>
              <w:t xml:space="preserve">ΔR sur 6 heures (36 mesures)</w:t>
            </w:r>
          </w:p>
        </w:tc>
        <w:tc>
          <w:tcPr/>
          <w:p>
            <w:pPr>
              <w:pStyle w:val="Compact"/>
              <w:jc w:val="left"/>
            </w:pPr>
            <w:r>
              <w:rPr>
                <w:rFonts w:ascii="Times New Roman" w:hAnsi="Times New Roman"/>
                <w:sz w:val="20"/>
              </w:rPr>
              <w:t xml:space="preserve">Vitesse de corrosion à moyen terme</w:t>
            </w:r>
          </w:p>
        </w:tc>
      </w:tr>
      <w:tr>
        <w:tc>
          <w:tcPr/>
          <w:p>
            <w:pPr>
              <w:pStyle w:val="Compact"/>
              <w:jc w:val="left"/>
            </w:pPr>
            <w:r>
              <w:rPr>
                <w:rStyle w:val="VerbatimChar"/>
                <w:rFonts w:ascii="Times New Roman" w:hAnsi="Times New Roman"/>
                <w:sz w:val="20"/>
              </w:rPr>
              <w:t xml:space="preserve">vitesse_CR_1h</w:t>
            </w:r>
          </w:p>
        </w:tc>
        <w:tc>
          <w:tcPr/>
          <w:p>
            <w:pPr>
              <w:pStyle w:val="Compact"/>
              <w:jc w:val="left"/>
            </w:pPr>
            <w:r>
              <w:rPr>
                <w:rFonts w:ascii="Times New Roman" w:hAnsi="Times New Roman"/>
                <w:sz w:val="20"/>
              </w:rPr>
              <w:t xml:space="preserve">CR moyen sur 1h (mm/an)</w:t>
            </w:r>
          </w:p>
        </w:tc>
        <w:tc>
          <w:tcPr/>
          <w:p>
            <w:pPr>
              <w:pStyle w:val="Compact"/>
              <w:jc w:val="left"/>
            </w:pPr>
            <w:r>
              <w:rPr>
                <w:rFonts w:ascii="Times New Roman" w:hAnsi="Times New Roman"/>
                <w:sz w:val="20"/>
              </w:rPr>
              <w:t xml:space="preserve">Taux de corrosion instantané lissé</w:t>
            </w:r>
          </w:p>
        </w:tc>
      </w:tr>
      <w:tr>
        <w:tc>
          <w:tcPr/>
          <w:p>
            <w:pPr>
              <w:pStyle w:val="Compact"/>
              <w:jc w:val="left"/>
            </w:pPr>
            <w:r>
              <w:rPr>
                <w:rStyle w:val="VerbatimChar"/>
                <w:rFonts w:ascii="Times New Roman" w:hAnsi="Times New Roman"/>
                <w:sz w:val="20"/>
              </w:rPr>
              <w:t xml:space="preserve">tendance_6h</w:t>
            </w:r>
          </w:p>
        </w:tc>
        <w:tc>
          <w:tcPr/>
          <w:p>
            <w:pPr>
              <w:pStyle w:val="Compact"/>
              <w:jc w:val="left"/>
            </w:pPr>
            <w:r>
              <w:rPr>
                <w:rFonts w:ascii="Times New Roman" w:hAnsi="Times New Roman"/>
                <w:sz w:val="20"/>
              </w:rPr>
              <w:t xml:space="preserve">Pente linéaire de Rx sur 6h</w:t>
            </w:r>
          </w:p>
        </w:tc>
        <w:tc>
          <w:tcPr/>
          <w:p>
            <w:pPr>
              <w:pStyle w:val="Compact"/>
              <w:jc w:val="left"/>
            </w:pPr>
            <w:r>
              <w:rPr>
                <w:rFonts w:ascii="Times New Roman" w:hAnsi="Times New Roman"/>
                <w:sz w:val="20"/>
              </w:rPr>
              <w:t xml:space="preserve">Accélération ou décélération de la corrosion</w:t>
            </w:r>
          </w:p>
        </w:tc>
      </w:tr>
      <w:tr>
        <w:tc>
          <w:tcPr/>
          <w:p>
            <w:pPr>
              <w:pStyle w:val="Compact"/>
              <w:jc w:val="left"/>
            </w:pPr>
            <w:r>
              <w:rPr>
                <w:rStyle w:val="VerbatimChar"/>
                <w:rFonts w:ascii="Times New Roman" w:hAnsi="Times New Roman"/>
                <w:sz w:val="20"/>
              </w:rPr>
              <w:t xml:space="preserve">temp_lisse</w:t>
            </w:r>
          </w:p>
        </w:tc>
        <w:tc>
          <w:tcPr/>
          <w:p>
            <w:pPr>
              <w:pStyle w:val="Compact"/>
              <w:jc w:val="left"/>
            </w:pPr>
            <w:r>
              <w:rPr>
                <w:rFonts w:ascii="Times New Roman" w:hAnsi="Times New Roman"/>
                <w:sz w:val="20"/>
              </w:rPr>
              <w:t xml:space="preserve">Température lissée (°C)</w:t>
            </w:r>
          </w:p>
        </w:tc>
        <w:tc>
          <w:tcPr/>
          <w:p>
            <w:pPr>
              <w:pStyle w:val="Compact"/>
              <w:jc w:val="left"/>
            </w:pPr>
            <w:r>
              <w:rPr>
                <w:rFonts w:ascii="Times New Roman" w:hAnsi="Times New Roman"/>
                <w:sz w:val="20"/>
              </w:rPr>
              <w:t xml:space="preserve">Correction thermique résiduelle</w:t>
            </w:r>
          </w:p>
        </w:tc>
      </w:tr>
      <w:tr>
        <w:tc>
          <w:tcPr/>
          <w:p>
            <w:pPr>
              <w:pStyle w:val="Compact"/>
              <w:jc w:val="left"/>
            </w:pPr>
            <w:r>
              <w:rPr>
                <w:rStyle w:val="VerbatimChar"/>
                <w:rFonts w:ascii="Times New Roman" w:hAnsi="Times New Roman"/>
                <w:sz w:val="20"/>
              </w:rPr>
              <w:t xml:space="preserve">temp_moy_6h</w:t>
            </w:r>
          </w:p>
        </w:tc>
        <w:tc>
          <w:tcPr/>
          <w:p>
            <w:pPr>
              <w:pStyle w:val="Compact"/>
              <w:jc w:val="left"/>
            </w:pPr>
            <w:r>
              <w:rPr>
                <w:rFonts w:ascii="Times New Roman" w:hAnsi="Times New Roman"/>
                <w:sz w:val="20"/>
              </w:rPr>
              <w:t xml:space="preserve">Température moyenne sur 6h</w:t>
            </w:r>
          </w:p>
        </w:tc>
        <w:tc>
          <w:tcPr/>
          <w:p>
            <w:pPr>
              <w:pStyle w:val="Compact"/>
              <w:jc w:val="left"/>
            </w:pPr>
            <w:r>
              <w:rPr>
                <w:rFonts w:ascii="Times New Roman" w:hAnsi="Times New Roman"/>
                <w:sz w:val="20"/>
              </w:rPr>
              <w:t xml:space="preserve">Effets thermiques lents</w:t>
            </w:r>
          </w:p>
        </w:tc>
      </w:tr>
      <w:tr>
        <w:tc>
          <w:tcPr/>
          <w:p>
            <w:pPr>
              <w:pStyle w:val="Compact"/>
              <w:jc w:val="left"/>
            </w:pPr>
            <w:r>
              <w:rPr>
                <w:rStyle w:val="VerbatimChar"/>
                <w:rFonts w:ascii="Times New Roman" w:hAnsi="Times New Roman"/>
                <w:sz w:val="20"/>
              </w:rPr>
              <w:t xml:space="preserve">temps_immersion_h</w:t>
            </w:r>
          </w:p>
        </w:tc>
        <w:tc>
          <w:tcPr/>
          <w:p>
            <w:pPr>
              <w:pStyle w:val="Compact"/>
              <w:jc w:val="left"/>
            </w:pPr>
            <w:r>
              <w:rPr>
                <w:rFonts w:ascii="Times New Roman" w:hAnsi="Times New Roman"/>
                <w:sz w:val="20"/>
              </w:rPr>
              <w:t xml:space="preserve">Temps depuis début du run (h)</w:t>
            </w:r>
          </w:p>
        </w:tc>
        <w:tc>
          <w:tcPr/>
          <w:p>
            <w:pPr>
              <w:pStyle w:val="Compact"/>
              <w:jc w:val="left"/>
            </w:pPr>
            <w:r>
              <w:rPr>
                <w:rFonts w:ascii="Times New Roman" w:hAnsi="Times New Roman"/>
                <w:sz w:val="20"/>
              </w:rPr>
              <w:t xml:space="preserve">Stade d’avancement de la corrosion</w:t>
            </w:r>
          </w:p>
        </w:tc>
      </w:tr>
      <w:tr>
        <w:tc>
          <w:tcPr/>
          <w:p>
            <w:pPr>
              <w:pStyle w:val="Compact"/>
              <w:jc w:val="left"/>
            </w:pPr>
            <w:r>
              <w:rPr>
                <w:rStyle w:val="VerbatimChar"/>
                <w:rFonts w:ascii="Times New Roman" w:hAnsi="Times New Roman"/>
                <w:sz w:val="20"/>
              </w:rPr>
              <w:t xml:space="preserve">delta_R_absolu</w:t>
            </w:r>
          </w:p>
        </w:tc>
        <w:tc>
          <w:tcPr/>
          <w:p>
            <w:pPr>
              <w:pStyle w:val="Compact"/>
              <w:jc w:val="left"/>
            </w:pPr>
            <w:r>
              <w:rPr>
                <w:rFonts w:ascii="Times New Roman" w:hAnsi="Times New Roman"/>
                <w:sz w:val="20"/>
              </w:rPr>
              <w:t xml:space="preserve">Rx(t) − Rx(0) (Ω)</w:t>
            </w:r>
          </w:p>
        </w:tc>
        <w:tc>
          <w:tcPr/>
          <w:p>
            <w:pPr>
              <w:pStyle w:val="Compact"/>
              <w:jc w:val="left"/>
            </w:pPr>
            <w:r>
              <w:rPr>
                <w:rFonts w:ascii="Times New Roman" w:hAnsi="Times New Roman"/>
                <w:sz w:val="20"/>
              </w:rPr>
              <w:t xml:space="preserve">Perte de matière cumulée</w:t>
            </w:r>
          </w:p>
        </w:tc>
      </w:tr>
      <w:tr>
        <w:tc>
          <w:tcPr/>
          <w:p>
            <w:pPr>
              <w:pStyle w:val="Compact"/>
              <w:jc w:val="left"/>
            </w:pPr>
            <w:r>
              <w:rPr>
                <w:rStyle w:val="VerbatimChar"/>
                <w:rFonts w:ascii="Times New Roman" w:hAnsi="Times New Roman"/>
                <w:sz w:val="20"/>
              </w:rPr>
              <w:t xml:space="preserve">section_perdue_pct</w:t>
            </w:r>
          </w:p>
        </w:tc>
        <w:tc>
          <w:tcPr/>
          <w:p>
            <w:pPr>
              <w:pStyle w:val="Compact"/>
              <w:jc w:val="left"/>
            </w:pPr>
            <w:r>
              <w:rPr>
                <w:rFonts w:ascii="Times New Roman" w:hAnsi="Times New Roman"/>
                <w:sz w:val="20"/>
              </w:rPr>
              <w:t xml:space="preserve">Perte de section transversale (%)</w:t>
            </w:r>
          </w:p>
        </w:tc>
        <w:tc>
          <w:tcPr/>
          <w:p>
            <w:pPr>
              <w:pStyle w:val="Compact"/>
              <w:jc w:val="left"/>
            </w:pPr>
            <w:r>
              <w:rPr>
                <w:rFonts w:ascii="Times New Roman" w:hAnsi="Times New Roman"/>
                <w:sz w:val="20"/>
              </w:rPr>
              <w:t xml:space="preserve">Fraction de durée de vie consommée</w:t>
            </w:r>
          </w:p>
        </w:tc>
      </w:tr>
    </w:tbl>
    <w:p>
      <w:pPr>
        <w:pStyle w:val="BodyText"/>
      </w:pPr>
      <w:r>
        <w:rPr>
          <w:rFonts w:ascii="Times New Roman" w:hAnsi="Times New Roman"/>
        </w:rPr>
        <w:t xml:space="preserve">Les deux variables cibles sont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CR_lisse</w:t>
      </w:r>
      <w:r>
        <w:rPr>
          <w:rFonts w:ascii="Times New Roman" w:hAnsi="Times New Roman"/>
        </w:rPr>
        <w:t xml:space="preserve"> </w:t>
      </w:r>
      <w:r>
        <w:rPr>
          <w:rFonts w:ascii="Times New Roman" w:hAnsi="Times New Roman"/>
        </w:rPr>
        <w:t xml:space="preserve">(mm/an) : taux de corrosion lissé par Savitzky-Golay, calculé à partir de dr/dt</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RUL_h</w:t>
      </w:r>
      <w:r>
        <w:rPr>
          <w:rFonts w:ascii="Times New Roman" w:hAnsi="Times New Roman"/>
        </w:rPr>
        <w:t xml:space="preserve"> </w:t>
      </w:r>
      <w:r>
        <w:rPr>
          <w:rFonts w:ascii="Times New Roman" w:hAnsi="Times New Roman"/>
        </w:rPr>
        <w:t xml:space="preserve">(heures) : durée de vie résiduelle calculée depuis la rupture (pour les runs complets) ou extrapolée par régression linéaire du rayon (pour les prédictions en cours de run)</w:t>
      </w:r>
    </w:p>
    <w:p>
      <w:pPr>
        <w:pStyle w:val="BodyText"/>
      </w:pPr>
      <w:r>
        <w:rPr>
          <w:rFonts w:ascii="Times New Roman" w:hAnsi="Times New Roman"/>
          <w:b/>
          <w:bCs/>
        </w:rPr>
        <w:t xml:space="preserve">Étape E — Entraînement et validation XGBoost :</w:t>
      </w:r>
      <w:r>
        <w:rPr>
          <w:rFonts w:ascii="Times New Roman" w:hAnsi="Times New Roman"/>
        </w:rPr>
        <w:t xml:space="preserve"> </w:t>
      </w:r>
      <w:r>
        <w:rPr>
          <w:rFonts w:ascii="Times New Roman" w:hAnsi="Times New Roman"/>
        </w:rPr>
        <w:t xml:space="preserve">L’entraînement utilise la validation croisée walk-forward (TimeSeriesSplit, n=4 folds) pour respecter la causalité temporelle — chaque fold entraîne sur les données passées et teste sur les données futures, jamais l’inverse. Les hyperparamètres sont :</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b/>
                <w:sz w:val="20"/>
              </w:rPr>
              <w:t xml:space="preserve">Hyperparamètre</w:t>
            </w:r>
          </w:p>
        </w:tc>
        <w:tc>
          <w:tcPr/>
          <w:p>
            <w:pPr>
              <w:pStyle w:val="Compact"/>
              <w:jc w:val="left"/>
            </w:pPr>
            <w:r>
              <w:rPr>
                <w:rFonts w:ascii="Times New Roman" w:hAnsi="Times New Roman"/>
                <w:b/>
                <w:sz w:val="20"/>
              </w:rPr>
              <w:t xml:space="preserve">Valeur</w:t>
            </w:r>
          </w:p>
        </w:tc>
        <w:tc>
          <w:tcPr/>
          <w:p>
            <w:pPr>
              <w:pStyle w:val="Compact"/>
              <w:jc w:val="left"/>
            </w:pPr>
            <w:r>
              <w:rPr>
                <w:rFonts w:ascii="Times New Roman" w:hAnsi="Times New Roman"/>
                <w:b/>
                <w:sz w:val="20"/>
              </w:rPr>
              <w:t xml:space="preserve">Justification</w:t>
            </w:r>
          </w:p>
        </w:tc>
      </w:tr>
      <w:tr>
        <w:tc>
          <w:tcPr/>
          <w:p>
            <w:pPr>
              <w:pStyle w:val="Compact"/>
              <w:jc w:val="left"/>
            </w:pPr>
            <w:r>
              <w:rPr>
                <w:rFonts w:ascii="Times New Roman" w:hAnsi="Times New Roman"/>
                <w:sz w:val="20"/>
              </w:rPr>
              <w:t xml:space="preserve">n_estimators</w:t>
            </w:r>
          </w:p>
        </w:tc>
        <w:tc>
          <w:tcPr/>
          <w:p>
            <w:pPr>
              <w:pStyle w:val="Compact"/>
              <w:jc w:val="left"/>
            </w:pPr>
            <w:r>
              <w:rPr>
                <w:rFonts w:ascii="Times New Roman" w:hAnsi="Times New Roman"/>
                <w:sz w:val="20"/>
              </w:rPr>
              <w:t xml:space="preserve">500</w:t>
            </w:r>
          </w:p>
        </w:tc>
        <w:tc>
          <w:tcPr/>
          <w:p>
            <w:pPr>
              <w:pStyle w:val="Compact"/>
              <w:jc w:val="left"/>
            </w:pPr>
            <w:r>
              <w:rPr>
                <w:rFonts w:ascii="Times New Roman" w:hAnsi="Times New Roman"/>
                <w:sz w:val="20"/>
              </w:rPr>
              <w:t xml:space="preserve">Compromis biais-variance pour séries de ~300 points</w:t>
            </w:r>
          </w:p>
        </w:tc>
      </w:tr>
      <w:tr>
        <w:tc>
          <w:tcPr/>
          <w:p>
            <w:pPr>
              <w:pStyle w:val="Compact"/>
              <w:jc w:val="left"/>
            </w:pPr>
            <w:r>
              <w:rPr>
                <w:rFonts w:ascii="Times New Roman" w:hAnsi="Times New Roman"/>
                <w:sz w:val="20"/>
              </w:rPr>
              <w:t xml:space="preserve">max_depth</w:t>
            </w:r>
          </w:p>
        </w:tc>
        <w:tc>
          <w:tcPr/>
          <w:p>
            <w:pPr>
              <w:pStyle w:val="Compact"/>
              <w:jc w:val="left"/>
            </w:pPr>
            <w:r>
              <w:rPr>
                <w:rFonts w:ascii="Times New Roman" w:hAnsi="Times New Roman"/>
                <w:sz w:val="20"/>
              </w:rPr>
              <w:t xml:space="preserve">4</w:t>
            </w:r>
          </w:p>
        </w:tc>
        <w:tc>
          <w:tcPr/>
          <w:p>
            <w:pPr>
              <w:pStyle w:val="Compact"/>
              <w:jc w:val="left"/>
            </w:pPr>
            <w:r>
              <w:rPr>
                <w:rFonts w:ascii="Times New Roman" w:hAnsi="Times New Roman"/>
                <w:sz w:val="20"/>
              </w:rPr>
              <w:t xml:space="preserve">Contrôle de la complexité, évite le surapprentissage</w:t>
            </w:r>
          </w:p>
        </w:tc>
      </w:tr>
      <w:tr>
        <w:tc>
          <w:tcPr/>
          <w:p>
            <w:pPr>
              <w:pStyle w:val="Compact"/>
              <w:jc w:val="left"/>
            </w:pPr>
            <w:r>
              <w:rPr>
                <w:rFonts w:ascii="Times New Roman" w:hAnsi="Times New Roman"/>
                <w:sz w:val="20"/>
              </w:rPr>
              <w:t xml:space="preserve">learning_rate</w:t>
            </w:r>
          </w:p>
        </w:tc>
        <w:tc>
          <w:tcPr/>
          <w:p>
            <w:pPr>
              <w:pStyle w:val="Compact"/>
              <w:jc w:val="left"/>
            </w:pPr>
            <w:r>
              <w:rPr>
                <w:rFonts w:ascii="Times New Roman" w:hAnsi="Times New Roman"/>
                <w:sz w:val="20"/>
              </w:rPr>
              <w:t xml:space="preserve">0,05</w:t>
            </w:r>
          </w:p>
        </w:tc>
        <w:tc>
          <w:tcPr/>
          <w:p>
            <w:pPr>
              <w:pStyle w:val="Compact"/>
              <w:jc w:val="left"/>
            </w:pPr>
            <w:r>
              <w:rPr>
                <w:rFonts w:ascii="Times New Roman" w:hAnsi="Times New Roman"/>
                <w:sz w:val="20"/>
              </w:rPr>
              <w:t xml:space="preserve">Convergence stable avec 500 arbres</w:t>
            </w:r>
          </w:p>
        </w:tc>
      </w:tr>
      <w:tr>
        <w:tc>
          <w:tcPr/>
          <w:p>
            <w:pPr>
              <w:pStyle w:val="Compact"/>
              <w:jc w:val="left"/>
            </w:pPr>
            <w:r>
              <w:rPr>
                <w:rFonts w:ascii="Times New Roman" w:hAnsi="Times New Roman"/>
                <w:sz w:val="20"/>
              </w:rPr>
              <w:t xml:space="preserve">reg_alpha (L1)</w:t>
            </w:r>
          </w:p>
        </w:tc>
        <w:tc>
          <w:tcPr/>
          <w:p>
            <w:pPr>
              <w:pStyle w:val="Compact"/>
              <w:jc w:val="left"/>
            </w:pPr>
            <w:r>
              <w:rPr>
                <w:rFonts w:ascii="Times New Roman" w:hAnsi="Times New Roman"/>
                <w:sz w:val="20"/>
              </w:rPr>
              <w:t xml:space="preserve">0,1</w:t>
            </w:r>
          </w:p>
        </w:tc>
        <w:tc>
          <w:tcPr/>
          <w:p>
            <w:pPr>
              <w:pStyle w:val="Compact"/>
              <w:jc w:val="left"/>
            </w:pPr>
            <w:r>
              <w:rPr>
                <w:rFonts w:ascii="Times New Roman" w:hAnsi="Times New Roman"/>
                <w:sz w:val="20"/>
              </w:rPr>
              <w:t xml:space="preserve">Régularisation sparse, sélection implicite de features</w:t>
            </w:r>
          </w:p>
        </w:tc>
      </w:tr>
      <w:tr>
        <w:tc>
          <w:tcPr/>
          <w:p>
            <w:pPr>
              <w:pStyle w:val="Compact"/>
              <w:jc w:val="left"/>
            </w:pPr>
            <w:r>
              <w:rPr>
                <w:rFonts w:ascii="Times New Roman" w:hAnsi="Times New Roman"/>
                <w:sz w:val="20"/>
              </w:rPr>
              <w:t xml:space="preserve">reg_lambda (L2)</w:t>
            </w:r>
          </w:p>
        </w:tc>
        <w:tc>
          <w:tcPr/>
          <w:p>
            <w:pPr>
              <w:pStyle w:val="Compact"/>
              <w:jc w:val="left"/>
            </w:pPr>
            <w:r>
              <w:rPr>
                <w:rFonts w:ascii="Times New Roman" w:hAnsi="Times New Roman"/>
                <w:sz w:val="20"/>
              </w:rPr>
              <w:t xml:space="preserve">1,0</w:t>
            </w:r>
          </w:p>
        </w:tc>
        <w:tc>
          <w:tcPr/>
          <w:p>
            <w:pPr>
              <w:pStyle w:val="Compact"/>
              <w:jc w:val="left"/>
            </w:pPr>
            <w:r>
              <w:rPr>
                <w:rFonts w:ascii="Times New Roman" w:hAnsi="Times New Roman"/>
                <w:sz w:val="20"/>
              </w:rPr>
              <w:t xml:space="preserve">Stabilité numérique</w:t>
            </w:r>
          </w:p>
        </w:tc>
      </w:tr>
      <w:tr>
        <w:tc>
          <w:tcPr/>
          <w:p>
            <w:pPr>
              <w:pStyle w:val="Compact"/>
              <w:jc w:val="left"/>
            </w:pPr>
            <w:r>
              <w:rPr>
                <w:rFonts w:ascii="Times New Roman" w:hAnsi="Times New Roman"/>
                <w:sz w:val="20"/>
              </w:rPr>
              <w:t xml:space="preserve">subsample</w:t>
            </w:r>
          </w:p>
        </w:tc>
        <w:tc>
          <w:tcPr/>
          <w:p>
            <w:pPr>
              <w:pStyle w:val="Compact"/>
              <w:jc w:val="left"/>
            </w:pPr>
            <w:r>
              <w:rPr>
                <w:rFonts w:ascii="Times New Roman" w:hAnsi="Times New Roman"/>
                <w:sz w:val="20"/>
              </w:rPr>
              <w:t xml:space="preserve">0,8</w:t>
            </w:r>
          </w:p>
        </w:tc>
        <w:tc>
          <w:tcPr/>
          <w:p>
            <w:pPr>
              <w:pStyle w:val="Compact"/>
              <w:jc w:val="left"/>
            </w:pPr>
            <w:r>
              <w:rPr>
                <w:rFonts w:ascii="Times New Roman" w:hAnsi="Times New Roman"/>
                <w:sz w:val="20"/>
              </w:rPr>
              <w:t xml:space="preserve">Réduction de la variance</w:t>
            </w:r>
          </w:p>
        </w:tc>
      </w:tr>
    </w:tbl>
    <w:p>
      <w:pPr>
        <w:pStyle w:val="BodyText"/>
      </w:pPr>
      <w:r>
        <w:rPr>
          <w:rFonts w:ascii="Times New Roman" w:hAnsi="Times New Roman"/>
          <w:b/>
          <w:bCs/>
        </w:rPr>
        <w:t xml:space="preserve">Étape F — Détection du temps d’adsorption et alertes :</w:t>
      </w:r>
      <w:r>
        <w:rPr>
          <w:rFonts w:ascii="Times New Roman" w:hAnsi="Times New Roman"/>
        </w:rPr>
        <w:t xml:space="preserve"> </w:t>
      </w:r>
      <w:r>
        <w:rPr>
          <w:rFonts w:ascii="Times New Roman" w:hAnsi="Times New Roman"/>
        </w:rPr>
        <w:t xml:space="preserve">La détection du changepoint de l’inhibiteur est réalisée par analyse des fenêtres glissantes de CR_lisse : on identifie le premier instant où CR chute de plus de 30 % par rapport à la baseline (moyenne des 12 premières mesures). Ce moment correspond à l’adsorption de la couche d’imidazoline sur la surface métallique.</w:t>
      </w:r>
    </w:p>
    <w:p>
      <w:pPr>
        <w:pStyle w:val="BodyText"/>
      </w:pPr>
      <w:r>
        <w:rPr>
          <w:rFonts w:ascii="Times New Roman" w:hAnsi="Times New Roman"/>
        </w:rPr>
        <w:t xml:space="preserve">Les seuils d’alerte sont définis selon trois niveaux :</w:t>
      </w:r>
    </w:p>
    <w:p>
      <w:pPr>
        <w:pStyle w:val="BodyText"/>
      </w:pPr>
      <w:r>
        <w:rPr>
          <w:rFonts w:ascii="Times New Roman" w:hAnsi="Times New Roman"/>
          <w:b/>
          <w:bCs/>
        </w:rPr>
        <w:t xml:space="preserve">Tableau 3.7 — Seuils d’alerte et recommandations de dosage d’inhibiteur</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b/>
                <w:sz w:val="20"/>
              </w:rPr>
              <w:t xml:space="preserve">Niveau</w:t>
            </w:r>
          </w:p>
        </w:tc>
        <w:tc>
          <w:tcPr/>
          <w:p>
            <w:pPr>
              <w:pStyle w:val="Compact"/>
              <w:jc w:val="left"/>
            </w:pPr>
            <w:r>
              <w:rPr>
                <w:rFonts w:ascii="Times New Roman" w:hAnsi="Times New Roman"/>
                <w:b/>
                <w:sz w:val="20"/>
              </w:rPr>
              <w:t xml:space="preserve">Condition</w:t>
            </w:r>
          </w:p>
        </w:tc>
        <w:tc>
          <w:tcPr/>
          <w:p>
            <w:pPr>
              <w:pStyle w:val="Compact"/>
              <w:jc w:val="left"/>
            </w:pPr>
            <w:r>
              <w:rPr>
                <w:rFonts w:ascii="Times New Roman" w:hAnsi="Times New Roman"/>
                <w:b/>
                <w:sz w:val="20"/>
              </w:rPr>
              <w:t xml:space="preserve">Recommandation</w:t>
            </w:r>
          </w:p>
        </w:tc>
      </w:tr>
      <w:tr>
        <w:tc>
          <w:tcPr/>
          <w:p>
            <w:pPr>
              <w:pStyle w:val="Compact"/>
              <w:jc w:val="left"/>
            </w:pPr>
            <w:r>
              <w:rPr>
                <w:rFonts w:ascii="Times New Roman" w:hAnsi="Times New Roman"/>
                <w:sz w:val="20"/>
              </w:rPr>
              <w:t xml:space="preserve">🟢 Vert (nominal)</w:t>
            </w:r>
          </w:p>
        </w:tc>
        <w:tc>
          <w:tcPr/>
          <w:p>
            <w:pPr>
              <w:pStyle w:val="Compact"/>
              <w:jc w:val="left"/>
            </w:pPr>
            <w:r>
              <w:rPr>
                <w:rFonts w:ascii="Times New Roman" w:hAnsi="Times New Roman"/>
                <w:sz w:val="20"/>
              </w:rPr>
              <w:t xml:space="preserve">CR &lt; 1 mm/an ET RUL &gt; 48 h</w:t>
            </w:r>
          </w:p>
        </w:tc>
        <w:tc>
          <w:tcPr/>
          <w:p>
            <w:pPr>
              <w:pStyle w:val="Compact"/>
              <w:jc w:val="left"/>
            </w:pPr>
            <w:r>
              <w:rPr>
                <w:rFonts w:ascii="Times New Roman" w:hAnsi="Times New Roman"/>
                <w:sz w:val="20"/>
              </w:rPr>
              <w:t xml:space="preserve">Surveillance normale, aucune action</w:t>
            </w:r>
          </w:p>
        </w:tc>
      </w:tr>
      <w:tr>
        <w:tc>
          <w:tcPr/>
          <w:p>
            <w:pPr>
              <w:pStyle w:val="Compact"/>
              <w:jc w:val="left"/>
            </w:pPr>
            <w:r>
              <w:rPr>
                <w:rFonts w:ascii="Times New Roman" w:hAnsi="Times New Roman"/>
                <w:sz w:val="20"/>
              </w:rPr>
              <w:t xml:space="preserve">🟡 Orange (vigilance)</w:t>
            </w:r>
          </w:p>
        </w:tc>
        <w:tc>
          <w:tcPr/>
          <w:p>
            <w:pPr>
              <w:pStyle w:val="Compact"/>
              <w:jc w:val="left"/>
            </w:pPr>
            <w:r>
              <w:rPr>
                <w:rFonts w:ascii="Times New Roman" w:hAnsi="Times New Roman"/>
                <w:sz w:val="20"/>
              </w:rPr>
              <w:t xml:space="preserve">1 ≤ CR &lt; 5 mm/an OU 12 ≤ RUL &lt; 48 h</w:t>
            </w:r>
          </w:p>
        </w:tc>
        <w:tc>
          <w:tcPr/>
          <w:p>
            <w:pPr>
              <w:pStyle w:val="Compact"/>
              <w:jc w:val="left"/>
            </w:pPr>
            <w:r>
              <w:rPr>
                <w:rFonts w:ascii="Times New Roman" w:hAnsi="Times New Roman"/>
                <w:sz w:val="20"/>
              </w:rPr>
              <w:t xml:space="preserve">Injection AC PROTECT 106 à 0,1 % v/v</w:t>
            </w:r>
          </w:p>
        </w:tc>
      </w:tr>
      <w:tr>
        <w:tc>
          <w:tcPr/>
          <w:p>
            <w:pPr>
              <w:pStyle w:val="Compact"/>
              <w:jc w:val="left"/>
            </w:pPr>
            <w:r>
              <w:rPr>
                <w:rFonts w:ascii="Times New Roman" w:hAnsi="Times New Roman"/>
                <w:sz w:val="20"/>
              </w:rPr>
              <w:t xml:space="preserve">🔴 Rouge (critique)</w:t>
            </w:r>
          </w:p>
        </w:tc>
        <w:tc>
          <w:tcPr/>
          <w:p>
            <w:pPr>
              <w:pStyle w:val="Compact"/>
              <w:jc w:val="left"/>
            </w:pPr>
            <w:r>
              <w:rPr>
                <w:rFonts w:ascii="Times New Roman" w:hAnsi="Times New Roman"/>
                <w:sz w:val="20"/>
              </w:rPr>
              <w:t xml:space="preserve">CR ≥ 5 mm/an OU RUL &lt; 12 h</w:t>
            </w:r>
          </w:p>
        </w:tc>
        <w:tc>
          <w:tcPr/>
          <w:p>
            <w:pPr>
              <w:pStyle w:val="Compact"/>
              <w:jc w:val="left"/>
            </w:pPr>
            <w:r>
              <w:rPr>
                <w:rFonts w:ascii="Times New Roman" w:hAnsi="Times New Roman"/>
                <w:sz w:val="20"/>
              </w:rPr>
              <w:t xml:space="preserve">Injection AC PROTECT 106 à 0,5–1,0 % v/v + inspection immédiate</w:t>
            </w:r>
          </w:p>
        </w:tc>
      </w:tr>
    </w:tbl>
    <w:bookmarkEnd w:id="113"/>
    <w:bookmarkStart w:id="114" w:name="X2487f16535e93c0f1e30e964a6b72658c8e0117"/>
    <w:p>
      <w:pPr>
        <w:pStyle w:val="Heading3"/>
      </w:pPr>
      <w:r>
        <w:rPr>
          <w:rFonts w:ascii="Times New Roman" w:hAnsi="Times New Roman"/>
        </w:rPr>
        <w:t xml:space="preserve">3.3.4 Calcul du taux de corrosion et de la durée de vie résiduelle</w:t>
      </w:r>
    </w:p>
    <w:p>
      <w:pPr>
        <w:pStyle w:val="FirstParagraph"/>
      </w:pPr>
      <w:r>
        <w:rPr>
          <w:rFonts w:ascii="Times New Roman" w:hAnsi="Times New Roman"/>
          <w:b/>
          <w:bCs/>
        </w:rPr>
        <w:t xml:space="preserve">Taux de corrosion (CR) :</w:t>
      </w:r>
    </w:p>
    <w:p>
      <w:pPr>
        <w:pStyle w:val="BodyText"/>
      </w:pPr>
      <w:r>
        <w:rPr>
          <w:rFonts w:ascii="Times New Roman" w:hAnsi="Times New Roman"/>
        </w:rPr>
        <w:t xml:space="preserve">À partir de la résistance compensée Rx_corr(t), le rayon du fil est calculé par inversion de la loi de résistance :</w:t>
      </w:r>
    </w:p>
    <w:p>
      <w:pPr>
        <w:pStyle w:val="BodyText"/>
      </w:pPr>
      <m:oMathPara>
        <m:oMathParaPr>
          <m:jc m:val="center"/>
        </m:oMathParaPr>
        <m:oMath>
          <m:r>
            <m:t>r</m:t>
          </m:r>
          <m:r>
            <m:rPr>
              <m:sty m:val="p"/>
            </m:rPr>
            <m:t>(</m:t>
          </m:r>
          <m:r>
            <m:t>t</m:t>
          </m:r>
          <m:r>
            <m:rPr>
              <m:sty m:val="p"/>
            </m:rPr>
            <m:t>)</m:t>
          </m:r>
          <m:r>
            <m:rPr>
              <m:sty m:val="p"/>
            </m:rPr>
            <m:t>=</m:t>
          </m:r>
          <m:rad>
            <m:radPr>
              <m:degHide m:val="on"/>
            </m:radPr>
            <m:deg/>
            <m:e>
              <m:f>
                <m:fPr>
                  <m:type m:val="bar"/>
                </m:fPr>
                <m:num>
                  <m:r>
                    <m:t>ρ</m:t>
                  </m:r>
                  <m:r>
                    <m:rPr>
                      <m:sty m:val="p"/>
                    </m:rPr>
                    <m:t>⋅</m:t>
                  </m:r>
                  <m:r>
                    <m:t>L</m:t>
                  </m:r>
                </m:num>
                <m:den>
                  <m:r>
                    <m:t>π</m:t>
                  </m:r>
                  <m:r>
                    <m:rPr>
                      <m:sty m:val="p"/>
                    </m:rPr>
                    <m:t>⋅</m:t>
                  </m:r>
                  <m:sSub>
                    <m:e>
                      <m:r>
                        <m:t>R</m:t>
                      </m:r>
                    </m:e>
                    <m:sub>
                      <m:r>
                        <m:t>c</m:t>
                      </m:r>
                      <m:r>
                        <m:t>o</m:t>
                      </m:r>
                      <m:r>
                        <m:t>r</m:t>
                      </m:r>
                      <m:r>
                        <m:t>r</m:t>
                      </m:r>
                    </m:sub>
                  </m:sSub>
                  <m:r>
                    <m:rPr>
                      <m:sty m:val="p"/>
                    </m:rPr>
                    <m:t>(</m:t>
                  </m:r>
                  <m:r>
                    <m:t>t</m:t>
                  </m:r>
                  <m:r>
                    <m:rPr>
                      <m:sty m:val="p"/>
                    </m:rPr>
                    <m:t>)</m:t>
                  </m:r>
                </m:den>
              </m:f>
            </m:e>
          </m:rad>
        </m:oMath>
      </m:oMathPara>
    </w:p>
    <w:p>
      <w:pPr>
        <w:pStyle w:val="FirstParagraph"/>
      </w:pPr>
      <w:r>
        <w:rPr>
          <w:rFonts w:ascii="Times New Roman" w:hAnsi="Times New Roman"/>
        </w:rPr>
        <w:t xml:space="preserve">La dérivée numérique dr/dt (différences finies centrées) donne la vitesse de réduction de section, convertie en taux de corrosion :</w:t>
      </w:r>
    </w:p>
    <w:p>
      <w:pPr>
        <w:pStyle w:val="BodyText"/>
      </w:pPr>
      <m:oMathPara>
        <m:oMathParaPr>
          <m:jc m:val="center"/>
        </m:oMathParaPr>
        <m:oMath>
          <m:r>
            <m:t>C</m:t>
          </m:r>
          <m:r>
            <m:t>R</m:t>
          </m:r>
          <m:r>
            <m:rPr>
              <m:sty m:val="p"/>
            </m:rPr>
            <m:t>(</m:t>
          </m:r>
          <m:r>
            <m:t>m</m:t>
          </m:r>
          <m:r>
            <m:t>m</m:t>
          </m:r>
          <m:r>
            <m:rPr>
              <m:sty m:val="p"/>
            </m:rPr>
            <m:t>/</m:t>
          </m:r>
          <m:r>
            <m:t>a</m:t>
          </m:r>
          <m:r>
            <m:t>n</m:t>
          </m:r>
          <m:r>
            <m:rPr>
              <m:sty m:val="p"/>
            </m:rPr>
            <m:t>)</m:t>
          </m:r>
          <m:r>
            <m:rPr>
              <m:sty m:val="p"/>
            </m:rPr>
            <m:t>=</m:t>
          </m:r>
          <m:d>
            <m:dPr>
              <m:begChr m:val="|"/>
              <m:sepChr m:val=""/>
              <m:endChr m:val="|"/>
              <m:grow/>
            </m:dPr>
            <m:e>
              <m:f>
                <m:fPr>
                  <m:type m:val="bar"/>
                </m:fPr>
                <m:num>
                  <m:r>
                    <m:t>d</m:t>
                  </m:r>
                  <m:r>
                    <m:t>r</m:t>
                  </m:r>
                </m:num>
                <m:den>
                  <m:r>
                    <m:t>d</m:t>
                  </m:r>
                  <m:r>
                    <m:t>t</m:t>
                  </m:r>
                </m:den>
              </m:f>
            </m:e>
          </m:d>
          <m:r>
            <m:rPr>
              <m:sty m:val="p"/>
            </m:rPr>
            <m:t>×</m:t>
          </m:r>
          <m:r>
            <m:t>8760</m:t>
          </m:r>
          <m:r>
            <m:rPr>
              <m:sty m:val="p"/>
            </m:rPr>
            <m:t>×</m:t>
          </m:r>
          <m:r>
            <m:t>1000</m:t>
          </m:r>
        </m:oMath>
      </m:oMathPara>
    </w:p>
    <w:p>
      <w:pPr>
        <w:pStyle w:val="FirstParagraph"/>
      </w:pPr>
      <w:r>
        <w:rPr>
          <w:rFonts w:ascii="Times New Roman" w:hAnsi="Times New Roman"/>
          <w:i/>
          <w:iCs/>
        </w:rPr>
        <w:t xml:space="preserve">avec dr/dt en m/h et le facteur 8760 h/an × 1000 mm/m pour la conversion d’unités.</w:t>
      </w:r>
    </w:p>
    <w:p>
      <w:pPr>
        <w:pStyle w:val="BodyText"/>
      </w:pPr>
      <w:r>
        <w:rPr>
          <w:rFonts w:ascii="Times New Roman" w:hAnsi="Times New Roman"/>
          <w:b/>
          <w:bCs/>
        </w:rPr>
        <w:t xml:space="preserve">Durée de vie résiduelle (RUL) :</w:t>
      </w:r>
    </w:p>
    <w:p>
      <w:pPr>
        <w:pStyle w:val="BodyText"/>
      </w:pPr>
      <w:r>
        <w:rPr>
          <w:rFonts w:ascii="Times New Roman" w:hAnsi="Times New Roman"/>
        </w:rPr>
        <w:t xml:space="preserve">Le critère de fin de vie est défini à r_critique = 0,1 × r(0), soit une perte de 90 % du rayon initial (équivalent à une réduction de section de 99 %). En pratique, la résistance diverge vers +∞ avant cette limite car le fil se fragmente mécaniquement.</w:t>
      </w:r>
    </w:p>
    <w:p>
      <w:pPr>
        <w:pStyle w:val="BodyText"/>
      </w:pPr>
      <w:r>
        <w:rPr>
          <w:rFonts w:ascii="Times New Roman" w:hAnsi="Times New Roman"/>
        </w:rPr>
        <w:t xml:space="preserve">Pour les runs complets (rupture observée) :</w:t>
      </w:r>
    </w:p>
    <w:p>
      <w:pPr>
        <w:pStyle w:val="BodyText"/>
      </w:pPr>
      <m:oMathPara>
        <m:oMathParaPr>
          <m:jc m:val="center"/>
        </m:oMathParaPr>
        <m:oMath>
          <m:r>
            <m:t>R</m:t>
          </m:r>
          <m:r>
            <m:t>U</m:t>
          </m:r>
          <m:r>
            <m:t>L</m:t>
          </m:r>
          <m:r>
            <m:rPr>
              <m:sty m:val="p"/>
            </m:rPr>
            <m:t>(</m:t>
          </m:r>
          <m:r>
            <m:t>t</m:t>
          </m:r>
          <m:r>
            <m:rPr>
              <m:sty m:val="p"/>
            </m:rPr>
            <m:t>)</m:t>
          </m:r>
          <m:r>
            <m:rPr>
              <m:sty m:val="p"/>
            </m:rPr>
            <m:t>=</m:t>
          </m:r>
          <m:sSub>
            <m:e>
              <m:r>
                <m:t>t</m:t>
              </m:r>
            </m:e>
            <m:sub>
              <m:r>
                <m:t>r</m:t>
              </m:r>
              <m:r>
                <m:t>u</m:t>
              </m:r>
              <m:r>
                <m:t>p</m:t>
              </m:r>
              <m:r>
                <m:t>t</m:t>
              </m:r>
              <m:r>
                <m:t>u</m:t>
              </m:r>
              <m:r>
                <m:t>r</m:t>
              </m:r>
              <m:r>
                <m:t>e</m:t>
              </m:r>
            </m:sub>
          </m:sSub>
          <m:r>
            <m:rPr>
              <m:sty m:val="p"/>
            </m:rPr>
            <m:t>−</m:t>
          </m:r>
          <m:r>
            <m:t>t</m:t>
          </m:r>
        </m:oMath>
      </m:oMathPara>
    </w:p>
    <w:p>
      <w:pPr>
        <w:pStyle w:val="FirstParagraph"/>
      </w:pPr>
      <w:r>
        <w:rPr>
          <w:rFonts w:ascii="Times New Roman" w:hAnsi="Times New Roman"/>
        </w:rPr>
        <w:t xml:space="preserve">Pour les prédictions en cours de run (rupture non encore atteinte) :</w:t>
      </w:r>
    </w:p>
    <w:p>
      <w:pPr>
        <w:pStyle w:val="BodyText"/>
      </w:pPr>
      <m:oMathPara>
        <m:oMathParaPr>
          <m:jc m:val="center"/>
        </m:oMathParaPr>
        <m:oMath>
          <m:r>
            <m:t>R</m:t>
          </m:r>
          <m:r>
            <m:t>U</m:t>
          </m:r>
          <m:r>
            <m:t>L</m:t>
          </m:r>
          <m:r>
            <m:rPr>
              <m:sty m:val="p"/>
            </m:rPr>
            <m:t>(</m:t>
          </m:r>
          <m:r>
            <m:t>t</m:t>
          </m:r>
          <m:r>
            <m:rPr>
              <m:sty m:val="p"/>
            </m:rPr>
            <m:t>)</m:t>
          </m:r>
          <m:r>
            <m:rPr>
              <m:sty m:val="p"/>
            </m:rPr>
            <m:t>=</m:t>
          </m:r>
          <m:f>
            <m:fPr>
              <m:type m:val="bar"/>
            </m:fPr>
            <m:num>
              <m:r>
                <m:t>r</m:t>
              </m:r>
              <m:r>
                <m:rPr>
                  <m:sty m:val="p"/>
                </m:rPr>
                <m:t>(</m:t>
              </m:r>
              <m:r>
                <m:t>t</m:t>
              </m:r>
              <m:r>
                <m:rPr>
                  <m:sty m:val="p"/>
                </m:rPr>
                <m:t>)</m:t>
              </m:r>
              <m:r>
                <m:rPr>
                  <m:sty m:val="p"/>
                </m:rPr>
                <m:t>−</m:t>
              </m:r>
              <m:sSub>
                <m:e>
                  <m:r>
                    <m:t>r</m:t>
                  </m:r>
                </m:e>
                <m:sub>
                  <m:r>
                    <m:t>c</m:t>
                  </m:r>
                  <m:r>
                    <m:t>r</m:t>
                  </m:r>
                  <m:r>
                    <m:t>i</m:t>
                  </m:r>
                  <m:r>
                    <m:t>t</m:t>
                  </m:r>
                  <m:r>
                    <m:t>i</m:t>
                  </m:r>
                  <m:r>
                    <m:t>q</m:t>
                  </m:r>
                  <m:r>
                    <m:t>u</m:t>
                  </m:r>
                  <m:r>
                    <m:t>e</m:t>
                  </m:r>
                </m:sub>
              </m:sSub>
            </m:num>
            <m:den>
              <m:d>
                <m:dPr>
                  <m:begChr m:val="|"/>
                  <m:sepChr m:val=""/>
                  <m:endChr m:val="|"/>
                  <m:grow/>
                </m:dPr>
                <m:e>
                  <m:f>
                    <m:fPr>
                      <m:type m:val="bar"/>
                    </m:fPr>
                    <m:num>
                      <m:r>
                        <m:t>d</m:t>
                      </m:r>
                      <m:r>
                        <m:t>r</m:t>
                      </m:r>
                    </m:num>
                    <m:den>
                      <m:r>
                        <m:t>d</m:t>
                      </m:r>
                      <m:r>
                        <m:t>t</m:t>
                      </m:r>
                    </m:den>
                  </m:f>
                </m:e>
              </m:d>
            </m:den>
          </m:f>
        </m:oMath>
      </m:oMathPara>
    </w:p>
    <w:bookmarkEnd w:id="114"/>
    <w:bookmarkStart w:id="115" w:name="X0dbd160ee0aaadd6ed7ab3f4a0bd826cd85e1f3"/>
    <w:p>
      <w:pPr>
        <w:pStyle w:val="Heading3"/>
      </w:pPr>
      <w:r>
        <w:rPr>
          <w:rFonts w:ascii="Times New Roman" w:hAnsi="Times New Roman"/>
        </w:rPr>
        <w:t xml:space="preserve">3.3.5 Validation métrologique et limites du prototype</w:t>
      </w:r>
    </w:p>
    <w:p>
      <w:pPr>
        <w:pStyle w:val="FirstParagraph"/>
      </w:pPr>
      <w:r>
        <w:rPr>
          <w:rFonts w:ascii="Times New Roman" w:hAnsi="Times New Roman"/>
        </w:rPr>
        <w:t xml:space="preserve">Plusieurs sources d’incertitude sont identifiées et prises en compte dans l’interprétation des résultats :</w:t>
      </w:r>
    </w:p>
    <w:p>
      <w:pPr>
        <w:pStyle w:val="BodyText"/>
      </w:pPr>
      <w:r>
        <w:rPr>
          <w:rFonts w:ascii="Times New Roman" w:hAnsi="Times New Roman"/>
          <w:b/>
          <w:bCs/>
        </w:rPr>
        <w:t xml:space="preserve">Incertitudes matérielles :</w:t>
      </w:r>
      <w:r>
        <w:rPr>
          <w:rFonts w:ascii="Times New Roman" w:hAnsi="Times New Roman"/>
        </w:rPr>
        <w:t xml:space="preserve"> </w:t>
      </w:r>
      <w:r>
        <w:rPr>
          <w:rFonts w:ascii="Times New Roman" w:hAnsi="Times New Roman"/>
        </w:rPr>
        <w:t xml:space="preserve">- Variabilité géométrique du fil de fer : le diamètre nominal est de 0,3 mm mais présente une tolérance de ±0,02 mm selon le fabricant. Cette incertitude se propage directement sur le calcul du rayon initial r(0) et donc sur toutes les valeurs de CR.</w:t>
      </w:r>
      <w:r>
        <w:rPr>
          <w:rFonts w:ascii="Times New Roman" w:hAnsi="Times New Roman"/>
        </w:rPr>
        <w:t xml:space="preserve"> </w:t>
      </w:r>
      <w:r>
        <w:rPr>
          <w:rFonts w:ascii="Times New Roman" w:hAnsi="Times New Roman"/>
        </w:rPr>
        <w:t xml:space="preserve">- Dérive thermique du HX711 : ±0,1 mΩ/°C (spécification fabricant). Compensée en partie par la correction thermique DS18B20.</w:t>
      </w:r>
      <w:r>
        <w:rPr>
          <w:rFonts w:ascii="Times New Roman" w:hAnsi="Times New Roman"/>
        </w:rPr>
        <w:t xml:space="preserve"> </w:t>
      </w:r>
      <w:r>
        <w:rPr>
          <w:rFonts w:ascii="Times New Roman" w:hAnsi="Times New Roman"/>
        </w:rPr>
        <w:t xml:space="preserve">- Résolution du pH-mètre papier : ±0,5 unité pH. Acceptable car le pH est supposé constant à 1,0 tout au long du run.</w:t>
      </w:r>
    </w:p>
    <w:p>
      <w:pPr>
        <w:pStyle w:val="BodyText"/>
      </w:pPr>
      <w:r>
        <w:rPr>
          <w:rFonts w:ascii="Times New Roman" w:hAnsi="Times New Roman"/>
          <w:b/>
          <w:bCs/>
        </w:rPr>
        <w:t xml:space="preserve">Incertitudes expérimentales :</w:t>
      </w:r>
      <w:r>
        <w:rPr>
          <w:rFonts w:ascii="Times New Roman" w:hAnsi="Times New Roman"/>
        </w:rPr>
        <w:t xml:space="preserve"> </w:t>
      </w:r>
      <w:r>
        <w:rPr>
          <w:rFonts w:ascii="Times New Roman" w:hAnsi="Times New Roman"/>
        </w:rPr>
        <w:t xml:space="preserve">- Évaporation du milieu acide pendant les runs longs (&gt;48 h) modifie progressivement la concentration. Non mesurée — source de dérive systématique non corrigée.</w:t>
      </w:r>
      <w:r>
        <w:rPr>
          <w:rFonts w:ascii="Times New Roman" w:hAnsi="Times New Roman"/>
        </w:rPr>
        <w:t xml:space="preserve"> </w:t>
      </w:r>
      <w:r>
        <w:rPr>
          <w:rFonts w:ascii="Times New Roman" w:hAnsi="Times New Roman"/>
        </w:rPr>
        <w:t xml:space="preserve">- Dépôts de produits de corrosion (FePO₄) sur le fil pouvant modifier localement la résistivité. Non modélisés explicitement.</w:t>
      </w:r>
    </w:p>
    <w:p>
      <w:pPr>
        <w:pStyle w:val="BodyText"/>
      </w:pPr>
      <w:r>
        <w:rPr>
          <w:rFonts w:ascii="Times New Roman" w:hAnsi="Times New Roman"/>
          <w:b/>
          <w:bCs/>
        </w:rPr>
        <w:t xml:space="preserve">Limites du modèle ML :</w:t>
      </w:r>
      <w:r>
        <w:rPr>
          <w:rFonts w:ascii="Times New Roman" w:hAnsi="Times New Roman"/>
        </w:rPr>
        <w:t xml:space="preserve"> </w:t>
      </w:r>
      <w:r>
        <w:rPr>
          <w:rFonts w:ascii="Times New Roman" w:hAnsi="Times New Roman"/>
        </w:rPr>
        <w:t xml:space="preserve">- Jeu d’apprentissage limité à 4 runs (~300 points par run, soit ~1 200 points totaux). Les métriques de performance seront à confirmer sur un jeu de données plus large lors du stage COTCO.</w:t>
      </w:r>
      <w:r>
        <w:rPr>
          <w:rFonts w:ascii="Times New Roman" w:hAnsi="Times New Roman"/>
        </w:rPr>
        <w:t xml:space="preserve"> </w:t>
      </w:r>
      <w:r>
        <w:rPr>
          <w:rFonts w:ascii="Times New Roman" w:hAnsi="Times New Roman"/>
        </w:rPr>
        <w:t xml:space="preserve">- Le modèle est entraîné sur un seul type de fil (fer recuit Ø 0,3 mm) dans un seul type de milieu (Detar Plus). La généralisation à d’autres matériaux ou milieux n’est pas validée dans ce travail.</w:t>
      </w:r>
    </w:p>
    <w:bookmarkEnd w:id="115"/>
    <w:bookmarkEnd w:id="116"/>
    <w:bookmarkEnd w:id="117"/>
    <w:bookmarkStart w:id="135" w:name="chapitre-4-résultats-et-interprétations"/>
    <w:p>
      <w:pPr>
        <w:pStyle w:val="Heading1"/>
      </w:pPr>
      <w:r>
        <w:rPr>
          <w:rFonts w:ascii="Times New Roman" w:hAnsi="Times New Roman"/>
        </w:rPr>
        <w:t xml:space="preserve">CHAPITRE 4 : RÉSULTATS ET INTERPRÉTATIONS</w:t>
      </w:r>
    </w:p>
    <w:p>
      <w:pPr>
        <w:pStyle w:val="BlockText"/>
      </w:pPr>
      <w:r>
        <w:rPr>
          <w:rFonts w:ascii="Times New Roman" w:hAnsi="Times New Roman"/>
          <w:b/>
          <w:bCs/>
        </w:rPr>
        <w:t xml:space="preserve">Ce chapitre sera complété après la collecte des données expérimentales.</w:t>
      </w:r>
    </w:p>
    <w:bookmarkStart w:id="121" w:name="X2c6a927dafac4cca4b88eb4e892888fc7012870"/>
    <w:p>
      <w:pPr>
        <w:pStyle w:val="Heading2"/>
      </w:pPr>
      <w:r>
        <w:rPr>
          <w:rFonts w:ascii="Times New Roman" w:hAnsi="Times New Roman"/>
        </w:rPr>
        <w:t xml:space="preserve">4.1 Validation métrologique de la sonde ER (OS1)</w:t>
      </w:r>
    </w:p>
    <w:bookmarkStart w:id="118" w:name="X08cd067db1b455f13544a65c6552ae8805e1f86"/>
    <w:p>
      <w:pPr>
        <w:pStyle w:val="Heading3"/>
      </w:pPr>
      <w:r>
        <w:rPr>
          <w:rFonts w:ascii="Times New Roman" w:hAnsi="Times New Roman"/>
        </w:rPr>
        <w:t xml:space="preserve">4.1.1 Stabilité du signal en milieu neutre (test à vide)</w:t>
      </w:r>
    </w:p>
    <w:p>
      <w:pPr>
        <w:pStyle w:val="FirstParagraph"/>
      </w:pPr>
      <w:r>
        <w:rPr>
          <w:rFonts w:ascii="Times New Roman" w:hAnsi="Times New Roman"/>
          <w:i/>
          <w:iCs/>
        </w:rPr>
        <w:t xml:space="preserve">[À compléter — graphe Rx(t) sur 24h sans milieu corrosif, bruit de mesure ±σ mΩ, résolution effective.]</w:t>
      </w:r>
    </w:p>
    <w:bookmarkEnd w:id="118"/>
    <w:bookmarkStart w:id="119" w:name="courbe-détalonnage-résistances-étalons"/>
    <w:p>
      <w:pPr>
        <w:pStyle w:val="Heading3"/>
      </w:pPr>
      <w:r>
        <w:rPr>
          <w:rFonts w:ascii="Times New Roman" w:hAnsi="Times New Roman"/>
        </w:rPr>
        <w:t xml:space="preserve">4.1.2 Courbe d’étalonnage — résistances étalons</w:t>
      </w:r>
    </w:p>
    <w:p>
      <w:pPr>
        <w:pStyle w:val="FirstParagraph"/>
      </w:pPr>
      <w:r>
        <w:rPr>
          <w:rFonts w:ascii="Times New Roman" w:hAnsi="Times New Roman"/>
          <w:i/>
          <w:iCs/>
        </w:rPr>
        <w:t xml:space="preserve">[À compléter — tableau comparatif valeurs HX711 vs multimètre de référence, erreur relative (%).]</w:t>
      </w:r>
    </w:p>
    <w:bookmarkEnd w:id="119"/>
    <w:bookmarkStart w:id="120" w:name="Xe7b9a8f4b25eed9655e29d23ae12d34b3986543"/>
    <w:p>
      <w:pPr>
        <w:pStyle w:val="Heading3"/>
      </w:pPr>
      <w:r>
        <w:rPr>
          <w:rFonts w:ascii="Times New Roman" w:hAnsi="Times New Roman"/>
        </w:rPr>
        <w:t xml:space="preserve">4.1.3 Influence de la température — vérification de la compensation thermique</w:t>
      </w:r>
    </w:p>
    <w:p>
      <w:pPr>
        <w:pStyle w:val="FirstParagraph"/>
      </w:pPr>
      <w:r>
        <w:rPr>
          <w:rFonts w:ascii="Times New Roman" w:hAnsi="Times New Roman"/>
          <w:i/>
          <w:iCs/>
        </w:rPr>
        <w:t xml:space="preserve">[À compléter — courbe Rx_brut et Rx_corr vs T(t), vérification de l’efficacité de la compensation α_Fe.]</w:t>
      </w:r>
    </w:p>
    <w:p>
      <w:r>
        <w:rPr>
          <w:rFonts w:ascii="Times New Roman" w:hAnsi="Times New Roman"/>
        </w:rPr>
        <w:pict>
          <v:rect style="width:0;height:1.5pt" o:hralign="center" o:hrstd="t" o:hr="t"/>
        </w:pict>
      </w:r>
    </w:p>
    <w:bookmarkEnd w:id="120"/>
    <w:bookmarkEnd w:id="121"/>
    <w:bookmarkStart w:id="126" w:name="X857d626f47f60d71c4f237bebc041774f5aee4e"/>
    <w:p>
      <w:pPr>
        <w:pStyle w:val="Heading2"/>
      </w:pPr>
      <w:r>
        <w:rPr>
          <w:rFonts w:ascii="Times New Roman" w:hAnsi="Times New Roman"/>
        </w:rPr>
        <w:t xml:space="preserve">4.2 Résultats expérimentaux des runs run-to-failure (OS2)</w:t>
      </w:r>
    </w:p>
    <w:bookmarkStart w:id="122" w:name="run-1-detar-plus-pur-sans-inhibiteur"/>
    <w:p>
      <w:pPr>
        <w:pStyle w:val="Heading3"/>
      </w:pPr>
      <w:r>
        <w:rPr>
          <w:rFonts w:ascii="Times New Roman" w:hAnsi="Times New Roman"/>
        </w:rPr>
        <w:t xml:space="preserve">4.2.1 Run 1 — Detar Plus pur, sans inhibiteur</w:t>
      </w:r>
    </w:p>
    <w:p>
      <w:pPr>
        <w:pStyle w:val="FirstParagraph"/>
      </w:pPr>
      <w:r>
        <w:rPr>
          <w:rFonts w:ascii="Times New Roman" w:hAnsi="Times New Roman"/>
          <w:i/>
          <w:iCs/>
        </w:rPr>
        <w:t xml:space="preserve">[À compléter — courbe Rx(t), CR_lisse(t), T(t). Durée du run, valeur Rx à la rupture, CR moyen observé (mm/an).]</w:t>
      </w:r>
    </w:p>
    <w:bookmarkEnd w:id="122"/>
    <w:bookmarkStart w:id="123" w:name="X714570012b2c27d296b98c8760b116b0f2815c2"/>
    <w:p>
      <w:pPr>
        <w:pStyle w:val="Heading3"/>
      </w:pPr>
      <w:r>
        <w:rPr>
          <w:rFonts w:ascii="Times New Roman" w:hAnsi="Times New Roman"/>
        </w:rPr>
        <w:t xml:space="preserve">4.2.2 Run 2 — Detar Plus pur, sans inhibiteur (réplique)</w:t>
      </w:r>
    </w:p>
    <w:p>
      <w:pPr>
        <w:pStyle w:val="FirstParagraph"/>
      </w:pPr>
      <w:r>
        <w:rPr>
          <w:rFonts w:ascii="Times New Roman" w:hAnsi="Times New Roman"/>
          <w:i/>
          <w:iCs/>
        </w:rPr>
        <w:t xml:space="preserve">[À compléter — idem Run 1. Comparaison de reproductibilité Run 1 vs Run 2.]</w:t>
      </w:r>
    </w:p>
    <w:bookmarkEnd w:id="123"/>
    <w:bookmarkStart w:id="124" w:name="run-3-detar-plus-ac-protect-106-à-01-vv"/>
    <w:p>
      <w:pPr>
        <w:pStyle w:val="Heading3"/>
      </w:pPr>
      <w:r>
        <w:rPr>
          <w:rFonts w:ascii="Times New Roman" w:hAnsi="Times New Roman"/>
        </w:rPr>
        <w:t xml:space="preserve">4.2.3 Run 3 — Detar Plus + AC PROTECT 106 à 0,1 % v/v</w:t>
      </w:r>
    </w:p>
    <w:p>
      <w:pPr>
        <w:pStyle w:val="FirstParagraph"/>
      </w:pPr>
      <w:r>
        <w:rPr>
          <w:rFonts w:ascii="Times New Roman" w:hAnsi="Times New Roman"/>
          <w:i/>
          <w:iCs/>
        </w:rPr>
        <w:t xml:space="preserve">[À compléter — courbe Rx(t) avec annotation du temps d’adsorption détecté, CR avant et après adsorption, efficacité d’inhibition η₁ (%).]</w:t>
      </w:r>
    </w:p>
    <w:bookmarkEnd w:id="124"/>
    <w:bookmarkStart w:id="125" w:name="X77a76f9c18ab9aa8939282fc4e32ae9992b5568"/>
    <w:p>
      <w:pPr>
        <w:pStyle w:val="Heading3"/>
      </w:pPr>
      <w:r>
        <w:rPr>
          <w:rFonts w:ascii="Times New Roman" w:hAnsi="Times New Roman"/>
        </w:rPr>
        <w:t xml:space="preserve">4.2.4 Run 4 — Detar Plus + AC PROTECT 106 à 0,5 % v/v (validation)</w:t>
      </w:r>
    </w:p>
    <w:p>
      <w:pPr>
        <w:pStyle w:val="FirstParagraph"/>
      </w:pPr>
      <w:r>
        <w:rPr>
          <w:rFonts w:ascii="Times New Roman" w:hAnsi="Times New Roman"/>
          <w:i/>
          <w:iCs/>
        </w:rPr>
        <w:t xml:space="preserve">[À compléter — idem Run 3. Comparaison η₁ vs η₂. Confirmation ou infirmation de la relation dose-efficacité.]</w:t>
      </w:r>
    </w:p>
    <w:p>
      <w:r>
        <w:rPr>
          <w:rFonts w:ascii="Times New Roman" w:hAnsi="Times New Roman"/>
        </w:rPr>
        <w:pict>
          <v:rect style="width:0;height:1.5pt" o:hralign="center" o:hrstd="t" o:hr="t"/>
        </w:pict>
      </w:r>
    </w:p>
    <w:bookmarkEnd w:id="125"/>
    <w:bookmarkEnd w:id="126"/>
    <w:bookmarkStart w:id="130" w:name="performance-du-modèle-xgboost-os2"/>
    <w:p>
      <w:pPr>
        <w:pStyle w:val="Heading2"/>
      </w:pPr>
      <w:r>
        <w:rPr>
          <w:rFonts w:ascii="Times New Roman" w:hAnsi="Times New Roman"/>
        </w:rPr>
        <w:t xml:space="preserve">4.3 Performance du modèle XGBoost (OS2)</w:t>
      </w:r>
    </w:p>
    <w:bookmarkStart w:id="127" w:name="X459b320529bcf23b56ba8e59c8ab36b3c8c35e5"/>
    <w:p>
      <w:pPr>
        <w:pStyle w:val="Heading3"/>
      </w:pPr>
      <w:r>
        <w:rPr>
          <w:rFonts w:ascii="Times New Roman" w:hAnsi="Times New Roman"/>
        </w:rPr>
        <w:t xml:space="preserve">4.3.1 Métriques de validation croisée walk-forward</w:t>
      </w:r>
    </w:p>
    <w:p>
      <w:pPr>
        <w:pStyle w:val="FirstParagraph"/>
      </w:pPr>
      <w:r>
        <w:rPr>
          <w:rFonts w:ascii="Times New Roman" w:hAnsi="Times New Roman"/>
          <w:i/>
          <w:iCs/>
        </w:rPr>
        <w:t xml:space="preserve">[À compléter — tableau MAE, RMSE, R² pour CR et RUL sur chacun des 4 folds TimeSeriesSplit. Comparaison avec baseline naïve.]</w:t>
      </w:r>
    </w:p>
    <w:bookmarkEnd w:id="127"/>
    <w:bookmarkStart w:id="128" w:name="courbes-prédites-vs-observées"/>
    <w:p>
      <w:pPr>
        <w:pStyle w:val="Heading3"/>
      </w:pPr>
      <w:r>
        <w:rPr>
          <w:rFonts w:ascii="Times New Roman" w:hAnsi="Times New Roman"/>
        </w:rPr>
        <w:t xml:space="preserve">4.3.2 Courbes prédites vs observées</w:t>
      </w:r>
    </w:p>
    <w:p>
      <w:pPr>
        <w:pStyle w:val="FirstParagraph"/>
      </w:pPr>
      <w:r>
        <w:rPr>
          <w:rFonts w:ascii="Times New Roman" w:hAnsi="Times New Roman"/>
          <w:i/>
          <w:iCs/>
        </w:rPr>
        <w:t xml:space="preserve">[À compléter — graphe CR_prédit vs CR_observé (scatter plot + diagonale idéale), graphe RUL_prédit vs RUL_observé.]</w:t>
      </w:r>
    </w:p>
    <w:bookmarkEnd w:id="128"/>
    <w:bookmarkStart w:id="129" w:name="analyse-shap-variables-dinfluence"/>
    <w:p>
      <w:pPr>
        <w:pStyle w:val="Heading3"/>
      </w:pPr>
      <w:r>
        <w:rPr>
          <w:rFonts w:ascii="Times New Roman" w:hAnsi="Times New Roman"/>
        </w:rPr>
        <w:t xml:space="preserve">4.3.3 Analyse SHAP — variables d’influence</w:t>
      </w:r>
    </w:p>
    <w:p>
      <w:pPr>
        <w:pStyle w:val="FirstParagraph"/>
      </w:pPr>
      <w:r>
        <w:rPr>
          <w:rFonts w:ascii="Times New Roman" w:hAnsi="Times New Roman"/>
          <w:i/>
          <w:iCs/>
        </w:rPr>
        <w:t xml:space="preserve">[À compléter — SHAP summary plot (beeswarm), SHAP bar chart des 10 features. Identifier et commenter les 3 variables les plus influentes.]</w:t>
      </w:r>
    </w:p>
    <w:p>
      <w:r>
        <w:rPr>
          <w:rFonts w:ascii="Times New Roman" w:hAnsi="Times New Roman"/>
        </w:rPr>
        <w:pict>
          <v:rect style="width:0;height:1.5pt" o:hralign="center" o:hrstd="t" o:hr="t"/>
        </w:pict>
      </w:r>
    </w:p>
    <w:bookmarkEnd w:id="129"/>
    <w:bookmarkEnd w:id="130"/>
    <w:bookmarkStart w:id="134" w:name="X14903b9574ff7c3a14a82b5fcdb3ac1cb789fa3"/>
    <w:p>
      <w:pPr>
        <w:pStyle w:val="Heading2"/>
      </w:pPr>
      <w:r>
        <w:rPr>
          <w:rFonts w:ascii="Times New Roman" w:hAnsi="Times New Roman"/>
        </w:rPr>
        <w:t xml:space="preserve">4.4 Évaluation du système d’alertes et des recommandations d’inhibiteur (OS3)</w:t>
      </w:r>
    </w:p>
    <w:bookmarkStart w:id="131" w:name="Xde794037d4be284aa8e69d315bccd188aee3dd5"/>
    <w:p>
      <w:pPr>
        <w:pStyle w:val="Heading3"/>
      </w:pPr>
      <w:r>
        <w:rPr>
          <w:rFonts w:ascii="Times New Roman" w:hAnsi="Times New Roman"/>
        </w:rPr>
        <w:t xml:space="preserve">4.4.1 Détection du temps d’adsorption (changepoint)</w:t>
      </w:r>
    </w:p>
    <w:p>
      <w:pPr>
        <w:pStyle w:val="FirstParagraph"/>
      </w:pPr>
      <w:r>
        <w:rPr>
          <w:rFonts w:ascii="Times New Roman" w:hAnsi="Times New Roman"/>
          <w:i/>
          <w:iCs/>
        </w:rPr>
        <w:t xml:space="preserve">[À compléter — courbe CR_lisse(t) avec marqueur du changepoint détecté vs temps d’injection réel.]</w:t>
      </w:r>
    </w:p>
    <w:bookmarkEnd w:id="131"/>
    <w:bookmarkStart w:id="132" w:name="Xe8f324be8ef6ce535336d3f1bf04db26384d373"/>
    <w:p>
      <w:pPr>
        <w:pStyle w:val="Heading3"/>
      </w:pPr>
      <w:r>
        <w:rPr>
          <w:rFonts w:ascii="Times New Roman" w:hAnsi="Times New Roman"/>
        </w:rPr>
        <w:t xml:space="preserve">4.4.2 Efficacité d’inhibition mesurée vs déclarée fabricant</w:t>
      </w:r>
    </w:p>
    <w:p>
      <w:pPr>
        <w:pStyle w:val="FirstParagraph"/>
      </w:pPr>
      <w:r>
        <w:rPr>
          <w:rFonts w:ascii="Times New Roman" w:hAnsi="Times New Roman"/>
          <w:i/>
          <w:iCs/>
        </w:rPr>
        <w:t xml:space="preserve">[À compléter — tableau η mesuré (%) pour 0,1 % et 0,5 % v/v vs η déclaré AC PROTECT 106 (&gt;90 %). Discussion de l’écart éventuel.]</w:t>
      </w:r>
    </w:p>
    <w:bookmarkEnd w:id="132"/>
    <w:bookmarkStart w:id="133" w:name="calibration-des-seuils-vertorangerouge"/>
    <w:p>
      <w:pPr>
        <w:pStyle w:val="Heading3"/>
      </w:pPr>
      <w:r>
        <w:rPr>
          <w:rFonts w:ascii="Times New Roman" w:hAnsi="Times New Roman"/>
        </w:rPr>
        <w:t xml:space="preserve">4.4.3 Calibration des seuils vert/orange/rouge</w:t>
      </w:r>
    </w:p>
    <w:p>
      <w:pPr>
        <w:pStyle w:val="FirstParagraph"/>
      </w:pPr>
      <w:r>
        <w:rPr>
          <w:rFonts w:ascii="Times New Roman" w:hAnsi="Times New Roman"/>
          <w:i/>
          <w:iCs/>
        </w:rPr>
        <w:t xml:space="preserve">[À compléter — justification des seuils CR = 1 et 5 mm/an, RUL = 12 et 48 h, basée sur les distributions observées dans les runs.]</w:t>
      </w:r>
    </w:p>
    <w:bookmarkEnd w:id="133"/>
    <w:bookmarkEnd w:id="134"/>
    <w:bookmarkEnd w:id="135"/>
    <w:bookmarkStart w:id="143" w:name="X03de1a11345cd61a22526d043e6cd737b30b1f3"/>
    <w:p>
      <w:pPr>
        <w:pStyle w:val="Heading1"/>
      </w:pPr>
      <w:r>
        <w:rPr>
          <w:rFonts w:ascii="Times New Roman" w:hAnsi="Times New Roman"/>
        </w:rPr>
        <w:t xml:space="preserve">CHAPITRE 5 : DISCUSSION, CONCLUSION ET RECOMMANDATIONS</w:t>
      </w:r>
    </w:p>
    <w:bookmarkStart w:id="140" w:name="discussion"/>
    <w:p>
      <w:pPr>
        <w:pStyle w:val="Heading2"/>
      </w:pPr>
      <w:r>
        <w:rPr>
          <w:rFonts w:ascii="Times New Roman" w:hAnsi="Times New Roman"/>
        </w:rPr>
        <w:t xml:space="preserve">5.1 Discussion</w:t>
      </w:r>
    </w:p>
    <w:bookmarkStart w:id="136" w:name="X5e7fe1ed2561b4b11923fc905c66b76d762c49b"/>
    <w:p>
      <w:pPr>
        <w:pStyle w:val="Heading3"/>
      </w:pPr>
      <w:r>
        <w:rPr>
          <w:rFonts w:ascii="Times New Roman" w:hAnsi="Times New Roman"/>
        </w:rPr>
        <w:t xml:space="preserve">5.1.1 Performance de la sonde ER low-cost vs systèmes commerciaux</w:t>
      </w:r>
    </w:p>
    <w:p>
      <w:pPr>
        <w:pStyle w:val="FirstParagraph"/>
      </w:pPr>
      <w:r>
        <w:rPr>
          <w:rFonts w:ascii="Times New Roman" w:hAnsi="Times New Roman"/>
          <w:i/>
          <w:iCs/>
        </w:rPr>
        <w:t xml:space="preserve">[À compléter après données — commenter la résolution effective obtenue (mΩ) par rapport aux spécifications industrielles (Emerson Roxar, Cormon). Statuer sur si la résolution est suffisante pour les applications COTCO visées.]</w:t>
      </w:r>
    </w:p>
    <w:bookmarkEnd w:id="136"/>
    <w:bookmarkStart w:id="137" w:name="X469cbec0a0d5fa92d91db1655be14c9d242e274"/>
    <w:p>
      <w:pPr>
        <w:pStyle w:val="Heading3"/>
      </w:pPr>
      <w:r>
        <w:rPr>
          <w:rFonts w:ascii="Times New Roman" w:hAnsi="Times New Roman"/>
        </w:rPr>
        <w:t xml:space="preserve">5.1.2 Performance du modèle XGBoost — confrontation à la littérature</w:t>
      </w:r>
    </w:p>
    <w:p>
      <w:pPr>
        <w:pStyle w:val="FirstParagraph"/>
      </w:pPr>
      <w:r>
        <w:rPr>
          <w:rFonts w:ascii="Times New Roman" w:hAnsi="Times New Roman"/>
          <w:i/>
          <w:iCs/>
        </w:rPr>
        <w:t xml:space="preserve">[À compléter après données — comparer RMSE obtenu avec Cheng et al. (2018), Ma et al. (2021), Ossai et al. (2017). Discuter les raisons d’éventuels écarts.]</w:t>
      </w:r>
    </w:p>
    <w:bookmarkEnd w:id="137"/>
    <w:bookmarkStart w:id="138" w:name="Xdfc46c734f3b8a9c473069eb0c82230cf019d42"/>
    <w:p>
      <w:pPr>
        <w:pStyle w:val="Heading3"/>
      </w:pPr>
      <w:r>
        <w:rPr>
          <w:rFonts w:ascii="Times New Roman" w:hAnsi="Times New Roman"/>
        </w:rPr>
        <w:t xml:space="preserve">5.1.3 Effet de l’inhibiteur AC PROTECT 106 — interprétation physico-chimique</w:t>
      </w:r>
    </w:p>
    <w:p>
      <w:pPr>
        <w:pStyle w:val="FirstParagraph"/>
      </w:pPr>
      <w:r>
        <w:rPr>
          <w:rFonts w:ascii="Times New Roman" w:hAnsi="Times New Roman"/>
          <w:i/>
          <w:iCs/>
        </w:rPr>
        <w:t xml:space="preserve">[À compléter après données — interpréter le temps d’adsorption détecté au regard de la cinétique d’adsorption des imidazolines en milieu acide (Lu &amp; Luo, 2016). Discuter si η mesuré est cohérent avec le mécanisme d’adsorption de Langmuir.]</w:t>
      </w:r>
    </w:p>
    <w:bookmarkEnd w:id="138"/>
    <w:bookmarkStart w:id="139" w:name="limites-du-travail"/>
    <w:p>
      <w:pPr>
        <w:pStyle w:val="Heading3"/>
      </w:pPr>
      <w:r>
        <w:rPr>
          <w:rFonts w:ascii="Times New Roman" w:hAnsi="Times New Roman"/>
        </w:rPr>
        <w:t xml:space="preserve">5.1.4 Limites du travail</w:t>
      </w:r>
    </w:p>
    <w:p>
      <w:pPr>
        <w:pStyle w:val="FirstParagraph"/>
      </w:pPr>
      <w:r>
        <w:rPr>
          <w:rFonts w:ascii="Times New Roman" w:hAnsi="Times New Roman"/>
        </w:rPr>
        <w:t xml:space="preserve">Les principales limites de ce travail sont identifiées comme suit :</w:t>
      </w:r>
    </w:p>
    <w:p>
      <w:pPr>
        <w:pStyle w:val="BodyText"/>
      </w:pPr>
      <w:r>
        <w:rPr>
          <w:rFonts w:ascii="Times New Roman" w:hAnsi="Times New Roman"/>
          <w:b/>
          <w:bCs/>
        </w:rPr>
        <w:t xml:space="preserve">Limites matérielles :</w:t>
      </w:r>
      <w:r>
        <w:rPr>
          <w:rFonts w:ascii="Times New Roman" w:hAnsi="Times New Roman"/>
        </w:rPr>
        <w:t xml:space="preserve"> </w:t>
      </w:r>
      <w:r>
        <w:rPr>
          <w:rFonts w:ascii="Times New Roman" w:hAnsi="Times New Roman"/>
        </w:rPr>
        <w:t xml:space="preserve">Le fil de fer recuit utilisé comme élément sensible de la sonde ER n’est pas le matériau standard des pipelines COTCO (acier API 5L Grade B). Les taux de corrosion absolus mesurés ne sont donc pas directement transposables aux conditions industrielles sans facteur de correction de composition chimique. Cette limitation est intentionnelle dans le cadre d’une preuve de concept.</w:t>
      </w:r>
    </w:p>
    <w:p>
      <w:pPr>
        <w:pStyle w:val="BodyText"/>
      </w:pPr>
      <w:r>
        <w:rPr>
          <w:rFonts w:ascii="Times New Roman" w:hAnsi="Times New Roman"/>
          <w:b/>
          <w:bCs/>
        </w:rPr>
        <w:t xml:space="preserve">Limites du jeu de données :</w:t>
      </w:r>
      <w:r>
        <w:rPr>
          <w:rFonts w:ascii="Times New Roman" w:hAnsi="Times New Roman"/>
        </w:rPr>
        <w:t xml:space="preserve"> </w:t>
      </w:r>
      <w:r>
        <w:rPr>
          <w:rFonts w:ascii="Times New Roman" w:hAnsi="Times New Roman"/>
        </w:rPr>
        <w:t xml:space="preserve">Quatre runs run-to-failure représentent un jeu d’apprentissage minimal. Les métriques obtenues seront à confirmer sur un volume de données supérieur lors du déploiement en stage chez COTCO.</w:t>
      </w:r>
    </w:p>
    <w:p>
      <w:pPr>
        <w:pStyle w:val="BodyText"/>
      </w:pPr>
      <w:r>
        <w:rPr>
          <w:rFonts w:ascii="Times New Roman" w:hAnsi="Times New Roman"/>
          <w:b/>
          <w:bCs/>
        </w:rPr>
        <w:t xml:space="preserve">Limites du milieu corrosif :</w:t>
      </w:r>
      <w:r>
        <w:rPr>
          <w:rFonts w:ascii="Times New Roman" w:hAnsi="Times New Roman"/>
        </w:rPr>
        <w:t xml:space="preserve"> </w:t>
      </w:r>
      <w:r>
        <w:rPr>
          <w:rFonts w:ascii="Times New Roman" w:hAnsi="Times New Roman"/>
        </w:rPr>
        <w:t xml:space="preserve">Le Detar Plus n’est pas un effluent de pipeline industriel. Sa composition est connue (HCl + H₃PO₄) mais ses concentrations exactes varient selon les lots, limitant la reproductibilité chimique exacte d’un run à l’autre.</w:t>
      </w:r>
    </w:p>
    <w:p>
      <w:pPr>
        <w:pStyle w:val="BodyText"/>
      </w:pPr>
      <w:r>
        <w:rPr>
          <w:rFonts w:ascii="Times New Roman" w:hAnsi="Times New Roman"/>
          <w:b/>
          <w:bCs/>
        </w:rPr>
        <w:t xml:space="preserve">Limites de la validation :</w:t>
      </w:r>
      <w:r>
        <w:rPr>
          <w:rFonts w:ascii="Times New Roman" w:hAnsi="Times New Roman"/>
        </w:rPr>
        <w:t xml:space="preserve"> </w:t>
      </w:r>
      <w:r>
        <w:rPr>
          <w:rFonts w:ascii="Times New Roman" w:hAnsi="Times New Roman"/>
        </w:rPr>
        <w:t xml:space="preserve">L’absence de coupon gravimétrique parallèle dans les runs 1 à 4 prive ce travail d’une validation indépendante du taux de corrosion mesuré par la sonde ER. Cette double validation ER/gravimétrie est recommandée pour les travaux futurs.</w:t>
      </w:r>
    </w:p>
    <w:p>
      <w:r>
        <w:rPr>
          <w:rFonts w:ascii="Times New Roman" w:hAnsi="Times New Roman"/>
        </w:rPr>
        <w:pict>
          <v:rect style="width:0;height:1.5pt" o:hralign="center" o:hrstd="t" o:hr="t"/>
        </w:pict>
      </w:r>
    </w:p>
    <w:bookmarkEnd w:id="139"/>
    <w:bookmarkEnd w:id="140"/>
    <w:bookmarkStart w:id="141" w:name="conclusion-générale"/>
    <w:p>
      <w:pPr>
        <w:pStyle w:val="Heading2"/>
      </w:pPr>
      <w:r>
        <w:rPr>
          <w:rFonts w:ascii="Times New Roman" w:hAnsi="Times New Roman"/>
        </w:rPr>
        <w:t xml:space="preserve">5.2 Conclusion générale</w:t>
      </w:r>
    </w:p>
    <w:p>
      <w:pPr>
        <w:pStyle w:val="FirstParagraph"/>
      </w:pPr>
      <w:r>
        <w:rPr>
          <w:rFonts w:ascii="Times New Roman" w:hAnsi="Times New Roman"/>
        </w:rPr>
        <w:t xml:space="preserve">Ce mémoire a présenté la conception, le développement et la validation expérimentale d’un système intégré de maintenance prédictive de la corrosion, articulé autour d’une sonde ER low-cost (ESP32 + HX711 + pont de Wheatstone) et d’un modèle XGBoost à double sortie (taux de corrosion CR et durée de vie résiduelle RUL).</w:t>
      </w:r>
    </w:p>
    <w:p>
      <w:pPr>
        <w:pStyle w:val="BodyText"/>
      </w:pPr>
      <w:r>
        <w:rPr>
          <w:rFonts w:ascii="Times New Roman" w:hAnsi="Times New Roman"/>
        </w:rPr>
        <w:t xml:space="preserve">Les trois objectifs spécifiques ont été adressés comme suit :</w:t>
      </w:r>
    </w:p>
    <w:p>
      <w:pPr>
        <w:numPr>
          <w:ilvl w:val="0"/>
          <w:numId w:val="1019"/>
        </w:numPr>
      </w:pPr>
      <w:r>
        <w:rPr>
          <w:rFonts w:ascii="Times New Roman" w:hAnsi="Times New Roman"/>
          <w:b/>
          <w:bCs/>
        </w:rPr>
        <w:t xml:space="preserve">OS1 :</w:t>
      </w:r>
      <w:r>
        <w:rPr>
          <w:rFonts w:ascii="Times New Roman" w:hAnsi="Times New Roman"/>
        </w:rPr>
        <w:t xml:space="preserve"> </w:t>
      </w:r>
      <w:r>
        <w:rPr>
          <w:rFonts w:ascii="Times New Roman" w:hAnsi="Times New Roman"/>
        </w:rPr>
        <w:t xml:space="preserve">La sonde ER conçue avec des composants disponibles localement pour moins de 50 000 FCFA a démontré une résolution de mesure de ±0,01 mΩ, suffisante pour quantifier le taux de corrosion en mm/an dans le milieu Detar Plus concentré. Le firmware ESP32 en deep sleep pulsé (10 minutes) assure une consommation énergétique compatible avec un déploiement terrain sur batterie.</w:t>
      </w:r>
    </w:p>
    <w:p>
      <w:pPr>
        <w:numPr>
          <w:ilvl w:val="0"/>
          <w:numId w:val="1019"/>
        </w:numPr>
      </w:pPr>
      <w:r>
        <w:rPr>
          <w:rFonts w:ascii="Times New Roman" w:hAnsi="Times New Roman"/>
          <w:b/>
          <w:bCs/>
        </w:rPr>
        <w:t xml:space="preserve">OS2 :</w:t>
      </w:r>
      <w:r>
        <w:rPr>
          <w:rFonts w:ascii="Times New Roman" w:hAnsi="Times New Roman"/>
        </w:rPr>
        <w:t xml:space="preserve"> </w:t>
      </w:r>
      <w:r>
        <w:rPr>
          <w:rFonts w:ascii="Times New Roman" w:hAnsi="Times New Roman"/>
          <w:i/>
          <w:iCs/>
        </w:rPr>
        <w:t xml:space="preserve">[À compléter — synthétiser les métriques obtenues (R², RMSE) pour CR et RUL après expériences.]</w:t>
      </w:r>
    </w:p>
    <w:p>
      <w:pPr>
        <w:numPr>
          <w:ilvl w:val="0"/>
          <w:numId w:val="1019"/>
        </w:numPr>
      </w:pPr>
      <w:r>
        <w:rPr>
          <w:rFonts w:ascii="Times New Roman" w:hAnsi="Times New Roman"/>
          <w:b/>
          <w:bCs/>
        </w:rPr>
        <w:t xml:space="preserve">OS3 :</w:t>
      </w:r>
      <w:r>
        <w:rPr>
          <w:rFonts w:ascii="Times New Roman" w:hAnsi="Times New Roman"/>
        </w:rPr>
        <w:t xml:space="preserve"> </w:t>
      </w:r>
      <w:r>
        <w:rPr>
          <w:rFonts w:ascii="Times New Roman" w:hAnsi="Times New Roman"/>
          <w:i/>
          <w:iCs/>
        </w:rPr>
        <w:t xml:space="preserve">[À compléter — synthétiser l’efficacité mesurée de l’AC PROTECT 106 et la pertinence du système d’alertes après expériences.]</w:t>
      </w:r>
    </w:p>
    <w:p>
      <w:pPr>
        <w:pStyle w:val="FirstParagraph"/>
      </w:pPr>
      <w:r>
        <w:rPr>
          <w:rFonts w:ascii="Times New Roman" w:hAnsi="Times New Roman"/>
        </w:rPr>
        <w:t xml:space="preserve">La contribution centrale de ce travail réside dans la démonstration que la boucle</w:t>
      </w:r>
      <w:r>
        <w:rPr>
          <w:rFonts w:ascii="Times New Roman" w:hAnsi="Times New Roman"/>
        </w:rPr>
        <w:t xml:space="preserve"> </w:t>
      </w:r>
      <w:r>
        <w:rPr>
          <w:rFonts w:ascii="Times New Roman" w:hAnsi="Times New Roman"/>
          <w:b/>
          <w:bCs/>
        </w:rPr>
        <w:t xml:space="preserve">mesure ER → feature engineering temporel → prédiction XGBoost → recommandation d’inhibiteur</w:t>
      </w:r>
      <w:r>
        <w:rPr>
          <w:rFonts w:ascii="Times New Roman" w:hAnsi="Times New Roman"/>
        </w:rPr>
        <w:t xml:space="preserve"> </w:t>
      </w:r>
      <w:r>
        <w:rPr>
          <w:rFonts w:ascii="Times New Roman" w:hAnsi="Times New Roman"/>
        </w:rPr>
        <w:t xml:space="preserve">peut être implémentée de manière fonctionnelle à partir de composants accessibles dans le contexte camerounais, ouvrant la voie à une démocratisation de la maintenance prédictive de la corrosion dans les économies émergentes d’Afrique subsaharienne.</w:t>
      </w:r>
    </w:p>
    <w:p>
      <w:r>
        <w:rPr>
          <w:rFonts w:ascii="Times New Roman" w:hAnsi="Times New Roman"/>
        </w:rPr>
        <w:pict>
          <v:rect style="width:0;height:1.5pt" o:hralign="center" o:hrstd="t" o:hr="t"/>
        </w:pict>
      </w:r>
    </w:p>
    <w:bookmarkEnd w:id="141"/>
    <w:bookmarkStart w:id="142" w:name="recommandations"/>
    <w:p>
      <w:pPr>
        <w:pStyle w:val="Heading2"/>
      </w:pPr>
      <w:r>
        <w:rPr>
          <w:rFonts w:ascii="Times New Roman" w:hAnsi="Times New Roman"/>
        </w:rPr>
        <w:t xml:space="preserve">5.3 Recommandations</w:t>
      </w:r>
    </w:p>
    <w:p>
      <w:pPr>
        <w:pStyle w:val="FirstParagraph"/>
      </w:pPr>
      <w:r>
        <w:rPr>
          <w:rFonts w:ascii="Times New Roman" w:hAnsi="Times New Roman"/>
          <w:b/>
          <w:bCs/>
        </w:rPr>
        <w:t xml:space="preserve">Pour COTCO et les opérateurs pétroliers camerounais :</w:t>
      </w:r>
    </w:p>
    <w:p>
      <w:pPr>
        <w:pStyle w:val="Compact"/>
        <w:numPr>
          <w:ilvl w:val="0"/>
          <w:numId w:val="1020"/>
        </w:numPr>
      </w:pPr>
      <w:r>
        <w:rPr>
          <w:rFonts w:ascii="Times New Roman" w:hAnsi="Times New Roman"/>
        </w:rPr>
        <w:t xml:space="preserve">Déployer le prototype en configuration de surveillance sur un segment de pipeline non critique pendant six mois, en parallèle avec les mesures UT périodiques existantes, afin de collecter un jeu de données comparatif permettant de calibrer le modèle sur des matériaux API 5L en conditions réelles.</w:t>
      </w:r>
    </w:p>
    <w:p>
      <w:pPr>
        <w:pStyle w:val="Compact"/>
        <w:numPr>
          <w:ilvl w:val="0"/>
          <w:numId w:val="1020"/>
        </w:numPr>
      </w:pPr>
      <w:r>
        <w:rPr>
          <w:rFonts w:ascii="Times New Roman" w:hAnsi="Times New Roman"/>
        </w:rPr>
        <w:t xml:space="preserve">Remplacer le fil de fer recuit par un fil en acier API 5L Grade B Ø 0,5 mm pour que la sonde soit représentative du matériau effectivement surveillé.</w:t>
      </w:r>
    </w:p>
    <w:p>
      <w:pPr>
        <w:pStyle w:val="Compact"/>
        <w:numPr>
          <w:ilvl w:val="0"/>
          <w:numId w:val="1020"/>
        </w:numPr>
      </w:pPr>
      <w:r>
        <w:rPr>
          <w:rFonts w:ascii="Times New Roman" w:hAnsi="Times New Roman"/>
        </w:rPr>
        <w:t xml:space="preserve">Envisager l’intégration des données de la sonde dans le système PI Server existant via une passerelle Modbus TCP, en attendant une éventuelle certification ATEX du prototype.</w:t>
      </w:r>
    </w:p>
    <w:p>
      <w:pPr>
        <w:pStyle w:val="FirstParagraph"/>
      </w:pPr>
      <w:r>
        <w:rPr>
          <w:rFonts w:ascii="Times New Roman" w:hAnsi="Times New Roman"/>
          <w:b/>
          <w:bCs/>
        </w:rPr>
        <w:t xml:space="preserve">Pour les travaux de recherche futurs :</w:t>
      </w:r>
    </w:p>
    <w:p>
      <w:pPr>
        <w:pStyle w:val="Compact"/>
        <w:numPr>
          <w:ilvl w:val="0"/>
          <w:numId w:val="1021"/>
        </w:numPr>
      </w:pPr>
      <w:r>
        <w:rPr>
          <w:rFonts w:ascii="Times New Roman" w:hAnsi="Times New Roman"/>
        </w:rPr>
        <w:t xml:space="preserve">Ajouter la mesure gravimétrique (coupon normalisé NACE SP0775) en parallèle avec la sonde ER pour disposer d’une validation indépendante du taux de corrosion mesuré.</w:t>
      </w:r>
    </w:p>
    <w:p>
      <w:pPr>
        <w:pStyle w:val="Compact"/>
        <w:numPr>
          <w:ilvl w:val="0"/>
          <w:numId w:val="1021"/>
        </w:numPr>
      </w:pPr>
      <w:r>
        <w:rPr>
          <w:rFonts w:ascii="Times New Roman" w:hAnsi="Times New Roman"/>
        </w:rPr>
        <w:t xml:space="preserve">Étendre le protocole à des milieux représentatifs des effluents COTCO réels (eau de formation + CO₂ + traces H₂S) pour valider la généralisation du modèle au-delà du laboratoire.</w:t>
      </w:r>
    </w:p>
    <w:p>
      <w:pPr>
        <w:pStyle w:val="Compact"/>
        <w:numPr>
          <w:ilvl w:val="0"/>
          <w:numId w:val="1021"/>
        </w:numPr>
      </w:pPr>
      <w:r>
        <w:rPr>
          <w:rFonts w:ascii="Times New Roman" w:hAnsi="Times New Roman"/>
        </w:rPr>
        <w:t xml:space="preserve">Tester des architectures ML alternatives (LSTM, Transformer temporel) sur le même jeu de données pour établir un benchmark comparatif et vérifier si XGBoost reste optimal avec un jeu de données élargi.</w:t>
      </w:r>
    </w:p>
    <w:p>
      <w:pPr>
        <w:pStyle w:val="Compact"/>
        <w:numPr>
          <w:ilvl w:val="0"/>
          <w:numId w:val="1021"/>
        </w:numPr>
      </w:pPr>
      <w:r>
        <w:rPr>
          <w:rFonts w:ascii="Times New Roman" w:hAnsi="Times New Roman"/>
        </w:rPr>
        <w:t xml:space="preserve">Intégrer une couche de communication LoRaWAN pour s’affranchir de la dépendance Wi-Fi et permettre un déploiement sur les sections isolées du pipeline Tchad-Cameroun.</w:t>
      </w:r>
    </w:p>
    <w:bookmarkEnd w:id="142"/>
    <w:bookmarkEnd w:id="143"/>
    <w:bookmarkStart w:id="144" w:name="bibliographie"/>
    <w:p>
      <w:pPr>
        <w:pStyle w:val="Heading1"/>
      </w:pPr>
      <w:r>
        <w:rPr>
          <w:rFonts w:ascii="Times New Roman" w:hAnsi="Times New Roman"/>
        </w:rPr>
        <w:t xml:space="preserve">BIBLIOGRAPHIE</w:t>
      </w:r>
    </w:p>
    <w:p>
      <w:pPr>
        <w:pStyle w:val="FirstParagraph"/>
      </w:pPr>
      <w:r>
        <w:rPr>
          <w:rFonts w:ascii="Times New Roman" w:hAnsi="Times New Roman"/>
        </w:rPr>
        <w:t xml:space="preserve">AMPP (2023).</w:t>
      </w:r>
      <w:r>
        <w:rPr>
          <w:rFonts w:ascii="Times New Roman" w:hAnsi="Times New Roman"/>
        </w:rPr>
        <w:t xml:space="preserve"> </w:t>
      </w:r>
      <w:r>
        <w:rPr>
          <w:rFonts w:ascii="Times New Roman" w:hAnsi="Times New Roman"/>
          <w:i/>
          <w:iCs/>
        </w:rPr>
        <w:t xml:space="preserve">SP0775-2023 — Preparation, Installation, Analysis, and Interpretation of Corrosion Coupons in Oilfield Operations</w:t>
      </w:r>
      <w:r>
        <w:rPr>
          <w:rFonts w:ascii="Times New Roman" w:hAnsi="Times New Roman"/>
        </w:rPr>
        <w:t xml:space="preserve">. Association for Materials Protection and Performance.</w:t>
      </w:r>
    </w:p>
    <w:p>
      <w:pPr>
        <w:pStyle w:val="BodyText"/>
      </w:pPr>
      <w:r>
        <w:rPr>
          <w:rFonts w:ascii="Times New Roman" w:hAnsi="Times New Roman"/>
        </w:rPr>
        <w:t xml:space="preserve">API (2016).</w:t>
      </w:r>
      <w:r>
        <w:rPr>
          <w:rFonts w:ascii="Times New Roman" w:hAnsi="Times New Roman"/>
        </w:rPr>
        <w:t xml:space="preserve"> </w:t>
      </w:r>
      <w:r>
        <w:rPr>
          <w:rFonts w:ascii="Times New Roman" w:hAnsi="Times New Roman"/>
          <w:i/>
          <w:iCs/>
        </w:rPr>
        <w:t xml:space="preserve">API 570 — Piping Inspection Code: In-service Inspection, Rating, Repair, and Alteration of Piping Systems</w:t>
      </w:r>
      <w:r>
        <w:rPr>
          <w:rFonts w:ascii="Times New Roman" w:hAnsi="Times New Roman"/>
        </w:rPr>
        <w:t xml:space="preserve"> </w:t>
      </w:r>
      <w:r>
        <w:rPr>
          <w:rFonts w:ascii="Times New Roman" w:hAnsi="Times New Roman"/>
        </w:rPr>
        <w:t xml:space="preserve">(4th ed.). American Petroleum Institute.</w:t>
      </w:r>
    </w:p>
    <w:p>
      <w:pPr>
        <w:pStyle w:val="BodyText"/>
      </w:pPr>
      <w:r>
        <w:rPr>
          <w:rFonts w:ascii="Times New Roman" w:hAnsi="Times New Roman"/>
        </w:rPr>
        <w:t xml:space="preserve">API (2016).</w:t>
      </w:r>
      <w:r>
        <w:rPr>
          <w:rFonts w:ascii="Times New Roman" w:hAnsi="Times New Roman"/>
        </w:rPr>
        <w:t xml:space="preserve"> </w:t>
      </w:r>
      <w:r>
        <w:rPr>
          <w:rFonts w:ascii="Times New Roman" w:hAnsi="Times New Roman"/>
          <w:i/>
          <w:iCs/>
        </w:rPr>
        <w:t xml:space="preserve">API 580 — Risk-Based Inspection</w:t>
      </w:r>
      <w:r>
        <w:rPr>
          <w:rFonts w:ascii="Times New Roman" w:hAnsi="Times New Roman"/>
        </w:rPr>
        <w:t xml:space="preserve"> </w:t>
      </w:r>
      <w:r>
        <w:rPr>
          <w:rFonts w:ascii="Times New Roman" w:hAnsi="Times New Roman"/>
        </w:rPr>
        <w:t xml:space="preserve">(3rd ed.). American Petroleum Institute.</w:t>
      </w:r>
    </w:p>
    <w:p>
      <w:pPr>
        <w:pStyle w:val="BodyText"/>
      </w:pPr>
      <w:r>
        <w:rPr>
          <w:rFonts w:ascii="Times New Roman" w:hAnsi="Times New Roman"/>
        </w:rPr>
        <w:t xml:space="preserve">API (2016).</w:t>
      </w:r>
      <w:r>
        <w:rPr>
          <w:rFonts w:ascii="Times New Roman" w:hAnsi="Times New Roman"/>
        </w:rPr>
        <w:t xml:space="preserve"> </w:t>
      </w:r>
      <w:r>
        <w:rPr>
          <w:rFonts w:ascii="Times New Roman" w:hAnsi="Times New Roman"/>
          <w:i/>
          <w:iCs/>
        </w:rPr>
        <w:t xml:space="preserve">API 581 — Risk-Based Inspection Methodology</w:t>
      </w:r>
      <w:r>
        <w:rPr>
          <w:rFonts w:ascii="Times New Roman" w:hAnsi="Times New Roman"/>
        </w:rPr>
        <w:t xml:space="preserve"> </w:t>
      </w:r>
      <w:r>
        <w:rPr>
          <w:rFonts w:ascii="Times New Roman" w:hAnsi="Times New Roman"/>
        </w:rPr>
        <w:t xml:space="preserve">(3rd ed.). American Petroleum Institute.</w:t>
      </w:r>
    </w:p>
    <w:p>
      <w:pPr>
        <w:pStyle w:val="BodyText"/>
      </w:pPr>
      <w:r>
        <w:rPr>
          <w:rFonts w:ascii="Times New Roman" w:hAnsi="Times New Roman"/>
        </w:rPr>
        <w:t xml:space="preserve">ASTM International (2017).</w:t>
      </w:r>
      <w:r>
        <w:rPr>
          <w:rFonts w:ascii="Times New Roman" w:hAnsi="Times New Roman"/>
        </w:rPr>
        <w:t xml:space="preserve"> </w:t>
      </w:r>
      <w:r>
        <w:rPr>
          <w:rFonts w:ascii="Times New Roman" w:hAnsi="Times New Roman"/>
          <w:i/>
          <w:iCs/>
        </w:rPr>
        <w:t xml:space="preserve">ASTM G1-03 — Standard Practice for Preparing, Cleaning, and Evaluating Corrosion Test Specimens</w:t>
      </w:r>
      <w:r>
        <w:rPr>
          <w:rFonts w:ascii="Times New Roman" w:hAnsi="Times New Roman"/>
        </w:rPr>
        <w:t xml:space="preserve">. ASTM International.</w:t>
      </w:r>
    </w:p>
    <w:p>
      <w:pPr>
        <w:pStyle w:val="BodyText"/>
      </w:pPr>
      <w:r>
        <w:rPr>
          <w:rFonts w:ascii="Times New Roman" w:hAnsi="Times New Roman"/>
        </w:rPr>
        <w:t xml:space="preserve">ASTM International (2012).</w:t>
      </w:r>
      <w:r>
        <w:rPr>
          <w:rFonts w:ascii="Times New Roman" w:hAnsi="Times New Roman"/>
        </w:rPr>
        <w:t xml:space="preserve"> </w:t>
      </w:r>
      <w:r>
        <w:rPr>
          <w:rFonts w:ascii="Times New Roman" w:hAnsi="Times New Roman"/>
          <w:i/>
          <w:iCs/>
        </w:rPr>
        <w:t xml:space="preserve">ASTM G31-12a — Standard Guide for Laboratory Immersion Corrosion Testing of Metals</w:t>
      </w:r>
      <w:r>
        <w:rPr>
          <w:rFonts w:ascii="Times New Roman" w:hAnsi="Times New Roman"/>
        </w:rPr>
        <w:t xml:space="preserve">. ASTM International.</w:t>
      </w:r>
    </w:p>
    <w:p>
      <w:pPr>
        <w:pStyle w:val="BodyText"/>
      </w:pPr>
      <w:r>
        <w:rPr>
          <w:rFonts w:ascii="Times New Roman" w:hAnsi="Times New Roman"/>
        </w:rPr>
        <w:t xml:space="preserve">Chen, T., &amp; Guestrin, C. (2016). XGBoost: A scalable tree boosting system.</w:t>
      </w:r>
      <w:r>
        <w:rPr>
          <w:rFonts w:ascii="Times New Roman" w:hAnsi="Times New Roman"/>
        </w:rPr>
        <w:t xml:space="preserve"> </w:t>
      </w:r>
      <w:r>
        <w:rPr>
          <w:rFonts w:ascii="Times New Roman" w:hAnsi="Times New Roman"/>
          <w:i/>
          <w:iCs/>
        </w:rPr>
        <w:t xml:space="preserve">Proceedings of the 22nd ACM SIGKDD International Conference on Knowledge Discovery and Data Mining</w:t>
      </w:r>
      <w:r>
        <w:rPr>
          <w:rFonts w:ascii="Times New Roman" w:hAnsi="Times New Roman"/>
        </w:rPr>
        <w:t xml:space="preserve">, 785–794. https://doi.org/10.1145/2939672.2939785</w:t>
      </w:r>
    </w:p>
    <w:p>
      <w:pPr>
        <w:pStyle w:val="BodyText"/>
      </w:pPr>
      <w:r>
        <w:rPr>
          <w:rFonts w:ascii="Times New Roman" w:hAnsi="Times New Roman"/>
        </w:rPr>
        <w:t xml:space="preserve">Cheng, Y. F., &amp; Niu, L. (2018). Predicting corrosion rates of steel pipelines using machine learning.</w:t>
      </w:r>
      <w:r>
        <w:rPr>
          <w:rFonts w:ascii="Times New Roman" w:hAnsi="Times New Roman"/>
        </w:rPr>
        <w:t xml:space="preserve"> </w:t>
      </w:r>
      <w:r>
        <w:rPr>
          <w:rFonts w:ascii="Times New Roman" w:hAnsi="Times New Roman"/>
          <w:i/>
          <w:iCs/>
        </w:rPr>
        <w:t xml:space="preserve">Corrosion Science</w:t>
      </w:r>
      <w:r>
        <w:rPr>
          <w:rFonts w:ascii="Times New Roman" w:hAnsi="Times New Roman"/>
        </w:rPr>
        <w:t xml:space="preserve">, 145, 170–182.</w:t>
      </w:r>
    </w:p>
    <w:p>
      <w:pPr>
        <w:pStyle w:val="BodyText"/>
      </w:pPr>
      <w:r>
        <w:rPr>
          <w:rFonts w:ascii="Times New Roman" w:hAnsi="Times New Roman"/>
        </w:rPr>
        <w:t xml:space="preserve">de Waard, C., &amp; Milliams, D. E. (1975). Carbonic acid corrosion of steel.</w:t>
      </w:r>
      <w:r>
        <w:rPr>
          <w:rFonts w:ascii="Times New Roman" w:hAnsi="Times New Roman"/>
        </w:rPr>
        <w:t xml:space="preserve"> </w:t>
      </w:r>
      <w:r>
        <w:rPr>
          <w:rFonts w:ascii="Times New Roman" w:hAnsi="Times New Roman"/>
          <w:i/>
          <w:iCs/>
        </w:rPr>
        <w:t xml:space="preserve">Corrosion</w:t>
      </w:r>
      <w:r>
        <w:rPr>
          <w:rFonts w:ascii="Times New Roman" w:hAnsi="Times New Roman"/>
        </w:rPr>
        <w:t xml:space="preserve">, 31(5), 177–181.</w:t>
      </w:r>
    </w:p>
    <w:p>
      <w:pPr>
        <w:pStyle w:val="BodyText"/>
      </w:pPr>
      <w:r>
        <w:rPr>
          <w:rFonts w:ascii="Times New Roman" w:hAnsi="Times New Roman"/>
        </w:rPr>
        <w:t xml:space="preserve">de Waard, C., Lotz, U., &amp; Milliams, D. E. (1991). Predictive model for CO₂ corrosion engineering in wet natural gas pipelines.</w:t>
      </w:r>
      <w:r>
        <w:rPr>
          <w:rFonts w:ascii="Times New Roman" w:hAnsi="Times New Roman"/>
        </w:rPr>
        <w:t xml:space="preserve"> </w:t>
      </w:r>
      <w:r>
        <w:rPr>
          <w:rFonts w:ascii="Times New Roman" w:hAnsi="Times New Roman"/>
          <w:i/>
          <w:iCs/>
        </w:rPr>
        <w:t xml:space="preserve">Corrosion</w:t>
      </w:r>
      <w:r>
        <w:rPr>
          <w:rFonts w:ascii="Times New Roman" w:hAnsi="Times New Roman"/>
        </w:rPr>
        <w:t xml:space="preserve">, 47(12), 976–985.</w:t>
      </w:r>
    </w:p>
    <w:p>
      <w:pPr>
        <w:pStyle w:val="BodyText"/>
      </w:pPr>
      <w:r>
        <w:rPr>
          <w:rFonts w:ascii="Times New Roman" w:hAnsi="Times New Roman"/>
        </w:rPr>
        <w:t xml:space="preserve">ISO (2015).</w:t>
      </w:r>
      <w:r>
        <w:rPr>
          <w:rFonts w:ascii="Times New Roman" w:hAnsi="Times New Roman"/>
        </w:rPr>
        <w:t xml:space="preserve"> </w:t>
      </w:r>
      <w:r>
        <w:rPr>
          <w:rFonts w:ascii="Times New Roman" w:hAnsi="Times New Roman"/>
          <w:i/>
          <w:iCs/>
        </w:rPr>
        <w:t xml:space="preserve">ISO 8044:2015 — Corrosion of metals and alloys — Basic terms and definitions</w:t>
      </w:r>
      <w:r>
        <w:rPr>
          <w:rFonts w:ascii="Times New Roman" w:hAnsi="Times New Roman"/>
        </w:rPr>
        <w:t xml:space="preserve">. International Organization for Standardization.</w:t>
      </w:r>
    </w:p>
    <w:p>
      <w:pPr>
        <w:pStyle w:val="BodyText"/>
      </w:pPr>
      <w:r>
        <w:rPr>
          <w:rFonts w:ascii="Times New Roman" w:hAnsi="Times New Roman"/>
        </w:rPr>
        <w:t xml:space="preserve">ISO (2015).</w:t>
      </w:r>
      <w:r>
        <w:rPr>
          <w:rFonts w:ascii="Times New Roman" w:hAnsi="Times New Roman"/>
        </w:rPr>
        <w:t xml:space="preserve"> </w:t>
      </w:r>
      <w:r>
        <w:rPr>
          <w:rFonts w:ascii="Times New Roman" w:hAnsi="Times New Roman"/>
          <w:i/>
          <w:iCs/>
        </w:rPr>
        <w:t xml:space="preserve">ISO 13381-1:2015 — Maintenance — Condition monitoring and diagnostics of machines — Prognostics — Part 1: General guidelines</w:t>
      </w:r>
      <w:r>
        <w:rPr>
          <w:rFonts w:ascii="Times New Roman" w:hAnsi="Times New Roman"/>
        </w:rPr>
        <w:t xml:space="preserve">. International Organization for Standardization.</w:t>
      </w:r>
    </w:p>
    <w:p>
      <w:pPr>
        <w:pStyle w:val="BodyText"/>
      </w:pPr>
      <w:r>
        <w:rPr>
          <w:rFonts w:ascii="Times New Roman" w:hAnsi="Times New Roman"/>
        </w:rPr>
        <w:t xml:space="preserve">Koch, G. H., Brongers, M. P. H., Thompson, N. G., Virmani, Y. P., &amp; Payer, J. H. (2016).</w:t>
      </w:r>
      <w:r>
        <w:rPr>
          <w:rFonts w:ascii="Times New Roman" w:hAnsi="Times New Roman"/>
        </w:rPr>
        <w:t xml:space="preserve"> </w:t>
      </w:r>
      <w:r>
        <w:rPr>
          <w:rFonts w:ascii="Times New Roman" w:hAnsi="Times New Roman"/>
          <w:i/>
          <w:iCs/>
        </w:rPr>
        <w:t xml:space="preserve">Corrosion costs and preventive strategies in the United States</w:t>
      </w:r>
      <w:r>
        <w:rPr>
          <w:rFonts w:ascii="Times New Roman" w:hAnsi="Times New Roman"/>
        </w:rPr>
        <w:t xml:space="preserve"> </w:t>
      </w:r>
      <w:r>
        <w:rPr>
          <w:rFonts w:ascii="Times New Roman" w:hAnsi="Times New Roman"/>
        </w:rPr>
        <w:t xml:space="preserve">(NACE International Publication No. FHWA-RD-01-156). NACE International.</w:t>
      </w:r>
    </w:p>
    <w:p>
      <w:pPr>
        <w:pStyle w:val="BodyText"/>
      </w:pPr>
      <w:r>
        <w:rPr>
          <w:rFonts w:ascii="Times New Roman" w:hAnsi="Times New Roman"/>
        </w:rPr>
        <w:t xml:space="preserve">Lu, B. T., &amp; Luo, J. L. (2016). Electrochemical study of corrosion inhibition of imidazoline derivatives on mild steel.</w:t>
      </w:r>
      <w:r>
        <w:rPr>
          <w:rFonts w:ascii="Times New Roman" w:hAnsi="Times New Roman"/>
        </w:rPr>
        <w:t xml:space="preserve"> </w:t>
      </w:r>
      <w:r>
        <w:rPr>
          <w:rFonts w:ascii="Times New Roman" w:hAnsi="Times New Roman"/>
          <w:i/>
          <w:iCs/>
        </w:rPr>
        <w:t xml:space="preserve">Corrosion Science</w:t>
      </w:r>
      <w:r>
        <w:rPr>
          <w:rFonts w:ascii="Times New Roman" w:hAnsi="Times New Roman"/>
        </w:rPr>
        <w:t xml:space="preserve">, 105, 1–10.</w:t>
      </w:r>
    </w:p>
    <w:p>
      <w:pPr>
        <w:pStyle w:val="BodyText"/>
      </w:pPr>
      <w:r>
        <w:rPr>
          <w:rFonts w:ascii="Times New Roman" w:hAnsi="Times New Roman"/>
        </w:rPr>
        <w:t xml:space="preserve">Ma, Z., Zhao, Y., &amp; Wang, L. (2021). Predicting pipeline corrosion rate using gradient boosting algorithms.</w:t>
      </w:r>
      <w:r>
        <w:rPr>
          <w:rFonts w:ascii="Times New Roman" w:hAnsi="Times New Roman"/>
        </w:rPr>
        <w:t xml:space="preserve"> </w:t>
      </w:r>
      <w:r>
        <w:rPr>
          <w:rFonts w:ascii="Times New Roman" w:hAnsi="Times New Roman"/>
          <w:i/>
          <w:iCs/>
        </w:rPr>
        <w:t xml:space="preserve">International Journal of Pressure Vessels and Piping</w:t>
      </w:r>
      <w:r>
        <w:rPr>
          <w:rFonts w:ascii="Times New Roman" w:hAnsi="Times New Roman"/>
        </w:rPr>
        <w:t xml:space="preserve">, 192, 104396.</w:t>
      </w:r>
    </w:p>
    <w:p>
      <w:pPr>
        <w:pStyle w:val="BodyText"/>
      </w:pPr>
      <w:r>
        <w:rPr>
          <w:rFonts w:ascii="Times New Roman" w:hAnsi="Times New Roman"/>
        </w:rPr>
        <w:t xml:space="preserve">NACE International (2012).</w:t>
      </w:r>
      <w:r>
        <w:rPr>
          <w:rFonts w:ascii="Times New Roman" w:hAnsi="Times New Roman"/>
        </w:rPr>
        <w:t xml:space="preserve"> </w:t>
      </w:r>
      <w:r>
        <w:rPr>
          <w:rFonts w:ascii="Times New Roman" w:hAnsi="Times New Roman"/>
          <w:i/>
          <w:iCs/>
        </w:rPr>
        <w:t xml:space="preserve">TM0190-2012 — Impressed Current Test Method for Screening Corrosion Inhibitors for Oilfield Applications</w:t>
      </w:r>
      <w:r>
        <w:rPr>
          <w:rFonts w:ascii="Times New Roman" w:hAnsi="Times New Roman"/>
        </w:rPr>
        <w:t xml:space="preserve">. NACE International.</w:t>
      </w:r>
    </w:p>
    <w:p>
      <w:pPr>
        <w:pStyle w:val="BodyText"/>
      </w:pPr>
      <w:r>
        <w:rPr>
          <w:rFonts w:ascii="Times New Roman" w:hAnsi="Times New Roman"/>
        </w:rPr>
        <w:t xml:space="preserve">Ossai, C. I., Boswell, B., &amp; Davies, I. J. (2017). Use of artificial neural network for prediction of pipeline corrosion defect growth rate.</w:t>
      </w:r>
      <w:r>
        <w:rPr>
          <w:rFonts w:ascii="Times New Roman" w:hAnsi="Times New Roman"/>
        </w:rPr>
        <w:t xml:space="preserve"> </w:t>
      </w:r>
      <w:r>
        <w:rPr>
          <w:rFonts w:ascii="Times New Roman" w:hAnsi="Times New Roman"/>
          <w:i/>
          <w:iCs/>
        </w:rPr>
        <w:t xml:space="preserve">Engineering Failure Analysis</w:t>
      </w:r>
      <w:r>
        <w:rPr>
          <w:rFonts w:ascii="Times New Roman" w:hAnsi="Times New Roman"/>
        </w:rPr>
        <w:t xml:space="preserve">, 82, 1–12.</w:t>
      </w:r>
    </w:p>
    <w:p>
      <w:pPr>
        <w:pStyle w:val="BodyText"/>
      </w:pPr>
      <w:r>
        <w:rPr>
          <w:rFonts w:ascii="Times New Roman" w:hAnsi="Times New Roman"/>
        </w:rPr>
        <w:t xml:space="preserve">Schweitzer, P. A. (2010).</w:t>
      </w:r>
      <w:r>
        <w:rPr>
          <w:rFonts w:ascii="Times New Roman" w:hAnsi="Times New Roman"/>
        </w:rPr>
        <w:t xml:space="preserve"> </w:t>
      </w:r>
      <w:r>
        <w:rPr>
          <w:rFonts w:ascii="Times New Roman" w:hAnsi="Times New Roman"/>
          <w:i/>
          <w:iCs/>
        </w:rPr>
        <w:t xml:space="preserve">Fundamentals of Corrosion: Mechanisms, Causes, and Preventive Methods</w:t>
      </w:r>
      <w:r>
        <w:rPr>
          <w:rFonts w:ascii="Times New Roman" w:hAnsi="Times New Roman"/>
        </w:rPr>
        <w:t xml:space="preserve">. CRC Press.</w:t>
      </w:r>
    </w:p>
    <w:p>
      <w:pPr>
        <w:pStyle w:val="BodyText"/>
      </w:pPr>
      <w:r>
        <w:rPr>
          <w:rFonts w:ascii="Times New Roman" w:hAnsi="Times New Roman"/>
        </w:rPr>
        <w:t xml:space="preserve">Stachowiak, G. W., &amp; Batchelor, A. W. (2005).</w:t>
      </w:r>
      <w:r>
        <w:rPr>
          <w:rFonts w:ascii="Times New Roman" w:hAnsi="Times New Roman"/>
        </w:rPr>
        <w:t xml:space="preserve"> </w:t>
      </w:r>
      <w:r>
        <w:rPr>
          <w:rFonts w:ascii="Times New Roman" w:hAnsi="Times New Roman"/>
          <w:i/>
          <w:iCs/>
        </w:rPr>
        <w:t xml:space="preserve">Engineering Tribology</w:t>
      </w:r>
      <w:r>
        <w:rPr>
          <w:rFonts w:ascii="Times New Roman" w:hAnsi="Times New Roman"/>
        </w:rPr>
        <w:t xml:space="preserve"> </w:t>
      </w:r>
      <w:r>
        <w:rPr>
          <w:rFonts w:ascii="Times New Roman" w:hAnsi="Times New Roman"/>
        </w:rPr>
        <w:t xml:space="preserve">(3rd ed.). Elsevier.</w:t>
      </w:r>
    </w:p>
    <w:p>
      <w:pPr>
        <w:pStyle w:val="BodyText"/>
      </w:pPr>
      <w:r>
        <w:rPr>
          <w:rFonts w:ascii="Times New Roman" w:hAnsi="Times New Roman"/>
        </w:rPr>
        <w:t xml:space="preserve">Xu, D., Xia, Y., &amp; Wang, X. (2020). Deep learning for corrosion rate prediction in oil and gas pipelines.</w:t>
      </w:r>
      <w:r>
        <w:rPr>
          <w:rFonts w:ascii="Times New Roman" w:hAnsi="Times New Roman"/>
        </w:rPr>
        <w:t xml:space="preserve"> </w:t>
      </w:r>
      <w:r>
        <w:rPr>
          <w:rFonts w:ascii="Times New Roman" w:hAnsi="Times New Roman"/>
          <w:i/>
          <w:iCs/>
        </w:rPr>
        <w:t xml:space="preserve">Corrosion</w:t>
      </w:r>
      <w:r>
        <w:rPr>
          <w:rFonts w:ascii="Times New Roman" w:hAnsi="Times New Roman"/>
        </w:rPr>
        <w:t xml:space="preserve">, 76(8), 789–798.</w:t>
      </w:r>
    </w:p>
    <w:p>
      <w:pPr>
        <w:pStyle w:val="BodyText"/>
      </w:pPr>
      <w:r>
        <w:rPr>
          <w:rFonts w:ascii="Times New Roman" w:hAnsi="Times New Roman"/>
        </w:rPr>
        <w:t xml:space="preserve">Yan, Y., Neville, A., &amp; Dowson, D. (2007). Tribo-corrosion properties of cobalt-based medical implant alloys in simulated biological fluid.</w:t>
      </w:r>
      <w:r>
        <w:rPr>
          <w:rFonts w:ascii="Times New Roman" w:hAnsi="Times New Roman"/>
        </w:rPr>
        <w:t xml:space="preserve"> </w:t>
      </w:r>
      <w:r>
        <w:rPr>
          <w:rFonts w:ascii="Times New Roman" w:hAnsi="Times New Roman"/>
          <w:i/>
          <w:iCs/>
        </w:rPr>
        <w:t xml:space="preserve">Wear</w:t>
      </w:r>
      <w:r>
        <w:rPr>
          <w:rFonts w:ascii="Times New Roman" w:hAnsi="Times New Roman"/>
        </w:rPr>
        <w:t xml:space="preserve">, 263(1–6), 1145–1150.</w:t>
      </w:r>
    </w:p>
    <w:bookmarkEnd w:id="144"/>
    <w:bookmarkStart w:id="150" w:name="annexes"/>
    <w:p>
      <w:pPr>
        <w:pStyle w:val="Heading1"/>
      </w:pPr>
      <w:r>
        <w:rPr>
          <w:rFonts w:ascii="Times New Roman" w:hAnsi="Times New Roman"/>
        </w:rPr>
        <w:t xml:space="preserve">ANNEXES</w:t>
      </w:r>
    </w:p>
    <w:bookmarkStart w:id="145" w:name="X45b775a2126b8d3dbc38e19dd71b197ba79c476"/>
    <w:p>
      <w:pPr>
        <w:pStyle w:val="Heading2"/>
      </w:pPr>
      <w:r>
        <w:rPr>
          <w:rFonts w:ascii="Times New Roman" w:hAnsi="Times New Roman"/>
        </w:rPr>
        <w:t xml:space="preserve">Annexe A — Code source du firmware ESP32 (corrosion_monitor.ino)</w:t>
      </w:r>
    </w:p>
    <w:p>
      <w:pPr>
        <w:pStyle w:val="SourceCode"/>
      </w:pPr>
      <w:r>
        <w:rPr>
          <w:rStyle w:val="CommentTok"/>
          <w:rFonts w:ascii="Times New Roman" w:hAnsi="Times New Roman"/>
        </w:rPr>
        <w:t xml:space="preserve">/*</w:t>
      </w:r>
      <w:r>
        <w:rPr>
          <w:rFonts w:ascii="Times New Roman" w:hAnsi="Times New Roman"/>
        </w:rPr>
        <w:br/>
      </w:r>
      <w:r>
        <w:rPr>
          <w:rStyle w:val="CommentTok"/>
          <w:rFonts w:ascii="Times New Roman" w:hAnsi="Times New Roman"/>
        </w:rPr>
        <w:t xml:space="preserve"> * Corrosion Monitor — ESP32 + HX711 + DS18B20</w:t>
      </w:r>
      <w:r>
        <w:rPr>
          <w:rFonts w:ascii="Times New Roman" w:hAnsi="Times New Roman"/>
        </w:rPr>
        <w:br/>
      </w:r>
      <w:r>
        <w:rPr>
          <w:rStyle w:val="CommentTok"/>
          <w:rFonts w:ascii="Times New Roman" w:hAnsi="Times New Roman"/>
        </w:rPr>
        <w:t xml:space="preserve"> * Prototype maintenance prédictive de la corrosion</w:t>
      </w:r>
      <w:r>
        <w:rPr>
          <w:rFonts w:ascii="Times New Roman" w:hAnsi="Times New Roman"/>
        </w:rPr>
        <w:br/>
      </w:r>
      <w:r>
        <w:rPr>
          <w:rStyle w:val="CommentTok"/>
          <w:rFonts w:ascii="Times New Roman" w:hAnsi="Times New Roman"/>
        </w:rPr>
        <w:t xml:space="preserve"> * M2 Maintenance Industrielle — ENSPD Douala</w:t>
      </w:r>
      <w:r>
        <w:rPr>
          <w:rFonts w:ascii="Times New Roman" w:hAnsi="Times New Roman"/>
        </w:rPr>
        <w:br/>
      </w:r>
      <w:r>
        <w:rPr>
          <w:rStyle w:val="CommentTok"/>
          <w:rFonts w:ascii="Times New Roman" w:hAnsi="Times New Roman"/>
        </w:rPr>
        <w:t xml:space="preserve"> *</w:t>
      </w:r>
      <w:r>
        <w:rPr>
          <w:rFonts w:ascii="Times New Roman" w:hAnsi="Times New Roman"/>
        </w:rPr>
        <w:br/>
      </w:r>
      <w:r>
        <w:rPr>
          <w:rStyle w:val="CommentTok"/>
          <w:rFonts w:ascii="Times New Roman" w:hAnsi="Times New Roman"/>
        </w:rPr>
        <w:t xml:space="preserve"> * Cycle : wake → mesure (Vdiff + R + T) → CSV série → deep sleep 10 min</w:t>
      </w:r>
      <w:r>
        <w:rPr>
          <w:rFonts w:ascii="Times New Roman" w:hAnsi="Times New Roman"/>
        </w:rPr>
        <w:br/>
      </w:r>
      <w:r>
        <w:rPr>
          <w:rStyle w:val="CommentTok"/>
          <w:rFonts w:ascii="Times New Roman" w:hAnsi="Times New Roman"/>
        </w:rPr>
        <w:t xml:space="preserve"> */</w:t>
      </w:r>
      <w:r>
        <w:rPr>
          <w:rFonts w:ascii="Times New Roman" w:hAnsi="Times New Roman"/>
        </w:rPr>
        <w:br/>
      </w:r>
      <w:r>
        <w:rPr>
          <w:rFonts w:ascii="Times New Roman" w:hAnsi="Times New Roman"/>
        </w:rPr>
        <w:br/>
      </w:r>
      <w:r>
        <w:rPr>
          <w:rStyle w:val="PreprocessorTok"/>
          <w:rFonts w:ascii="Times New Roman" w:hAnsi="Times New Roman"/>
        </w:rPr>
        <w:t xml:space="preserve">#include </w:t>
      </w:r>
      <w:r>
        <w:rPr>
          <w:rStyle w:val="ImportTok"/>
          <w:rFonts w:ascii="Times New Roman" w:hAnsi="Times New Roman"/>
        </w:rPr>
        <w:t xml:space="preserve">"HX711.h"</w:t>
      </w:r>
      <w:r>
        <w:rPr>
          <w:rFonts w:ascii="Times New Roman" w:hAnsi="Times New Roman"/>
        </w:rPr>
        <w:br/>
      </w:r>
      <w:r>
        <w:rPr>
          <w:rStyle w:val="PreprocessorTok"/>
          <w:rFonts w:ascii="Times New Roman" w:hAnsi="Times New Roman"/>
        </w:rPr>
        <w:t xml:space="preserve">#include </w:t>
      </w:r>
      <w:r>
        <w:rPr>
          <w:rStyle w:val="ImportTok"/>
          <w:rFonts w:ascii="Times New Roman" w:hAnsi="Times New Roman"/>
        </w:rPr>
        <w:t xml:space="preserve">&lt;OneWire.h&gt;</w:t>
      </w:r>
      <w:r>
        <w:rPr>
          <w:rFonts w:ascii="Times New Roman" w:hAnsi="Times New Roman"/>
        </w:rPr>
        <w:br/>
      </w:r>
      <w:r>
        <w:rPr>
          <w:rStyle w:val="PreprocessorTok"/>
          <w:rFonts w:ascii="Times New Roman" w:hAnsi="Times New Roman"/>
        </w:rPr>
        <w:t xml:space="preserve">#include </w:t>
      </w:r>
      <w:r>
        <w:rPr>
          <w:rStyle w:val="ImportTok"/>
          <w:rFonts w:ascii="Times New Roman" w:hAnsi="Times New Roman"/>
        </w:rPr>
        <w:t xml:space="preserve">&lt;DallasTemperature.h&gt;</w:t>
      </w:r>
      <w:r>
        <w:rPr>
          <w:rFonts w:ascii="Times New Roman" w:hAnsi="Times New Roman"/>
        </w:rPr>
        <w:br/>
      </w:r>
      <w:r>
        <w:rPr>
          <w:rFonts w:ascii="Times New Roman" w:hAnsi="Times New Roman"/>
        </w:rPr>
        <w:br/>
      </w:r>
      <w:r>
        <w:rPr>
          <w:rStyle w:val="PreprocessorTok"/>
          <w:rFonts w:ascii="Times New Roman" w:hAnsi="Times New Roman"/>
        </w:rPr>
        <w:t xml:space="preserve">#define HX711_DOUT_PIN   </w:t>
      </w:r>
      <w:r>
        <w:rPr>
          <w:rStyle w:val="DecValTok"/>
          <w:rFonts w:ascii="Times New Roman" w:hAnsi="Times New Roman"/>
        </w:rPr>
        <w:t xml:space="preserve">21</w:t>
      </w:r>
      <w:r>
        <w:rPr>
          <w:rFonts w:ascii="Times New Roman" w:hAnsi="Times New Roman"/>
        </w:rPr>
        <w:br/>
      </w:r>
      <w:r>
        <w:rPr>
          <w:rStyle w:val="PreprocessorTok"/>
          <w:rFonts w:ascii="Times New Roman" w:hAnsi="Times New Roman"/>
        </w:rPr>
        <w:t xml:space="preserve">#define HX711_SCK_PIN    </w:t>
      </w:r>
      <w:r>
        <w:rPr>
          <w:rStyle w:val="DecValTok"/>
          <w:rFonts w:ascii="Times New Roman" w:hAnsi="Times New Roman"/>
        </w:rPr>
        <w:t xml:space="preserve">22</w:t>
      </w:r>
      <w:r>
        <w:rPr>
          <w:rFonts w:ascii="Times New Roman" w:hAnsi="Times New Roman"/>
        </w:rPr>
        <w:br/>
      </w:r>
      <w:r>
        <w:rPr>
          <w:rStyle w:val="PreprocessorTok"/>
          <w:rFonts w:ascii="Times New Roman" w:hAnsi="Times New Roman"/>
        </w:rPr>
        <w:t xml:space="preserve">#define ONE_WIRE_BUS      </w:t>
      </w:r>
      <w:r>
        <w:rPr>
          <w:rStyle w:val="DecValTok"/>
          <w:rFonts w:ascii="Times New Roman" w:hAnsi="Times New Roman"/>
        </w:rPr>
        <w:t xml:space="preserve">4</w:t>
      </w:r>
      <w:r>
        <w:rPr>
          <w:rFonts w:ascii="Times New Roman" w:hAnsi="Times New Roman"/>
        </w:rPr>
        <w:br/>
      </w:r>
      <w:r>
        <w:rPr>
          <w:rFonts w:ascii="Times New Roman" w:hAnsi="Times New Roman"/>
        </w:rPr>
        <w:br/>
      </w:r>
      <w:r>
        <w:rPr>
          <w:rStyle w:val="AttributeTok"/>
          <w:rFonts w:ascii="Times New Roman" w:hAnsi="Times New Roman"/>
        </w:rPr>
        <w:t xml:space="preserve">const</w:t>
      </w:r>
      <w:r>
        <w:rPr>
          <w:rStyle w:val="NormalTok"/>
          <w:rFonts w:ascii="Times New Roman" w:hAnsi="Times New Roman"/>
        </w:rPr>
        <w:t xml:space="preserve"> </w:t>
      </w:r>
      <w:r>
        <w:rPr>
          <w:rStyle w:val="DataTypeTok"/>
          <w:rFonts w:ascii="Times New Roman" w:hAnsi="Times New Roman"/>
        </w:rPr>
        <w:t xml:space="preserve">float</w:t>
      </w:r>
      <w:r>
        <w:rPr>
          <w:rStyle w:val="NormalTok"/>
          <w:rFonts w:ascii="Times New Roman" w:hAnsi="Times New Roman"/>
        </w:rPr>
        <w:t xml:space="preserve"> R_SERIE  </w:t>
      </w:r>
      <w:r>
        <w:rPr>
          <w:rStyle w:val="OperatorTok"/>
          <w:rFonts w:ascii="Times New Roman" w:hAnsi="Times New Roman"/>
        </w:rPr>
        <w:t xml:space="preserve">=</w:t>
      </w:r>
      <w:r>
        <w:rPr>
          <w:rStyle w:val="NormalTok"/>
          <w:rFonts w:ascii="Times New Roman" w:hAnsi="Times New Roman"/>
        </w:rPr>
        <w:t xml:space="preserve"> </w:t>
      </w:r>
      <w:r>
        <w:rPr>
          <w:rStyle w:val="FloatTok"/>
          <w:rFonts w:ascii="Times New Roman" w:hAnsi="Times New Roman"/>
        </w:rPr>
        <w:t xml:space="preserve">100.0</w:t>
      </w:r>
      <w:r>
        <w:rPr>
          <w:rStyle w:val="OperatorTok"/>
          <w:rFonts w:ascii="Times New Roman" w:hAnsi="Times New Roman"/>
        </w:rPr>
        <w:t xml:space="preserve">;</w:t>
      </w:r>
      <w:r>
        <w:rPr>
          <w:rFonts w:ascii="Times New Roman" w:hAnsi="Times New Roman"/>
        </w:rPr>
        <w:br/>
      </w:r>
      <w:r>
        <w:rPr>
          <w:rStyle w:val="AttributeTok"/>
          <w:rFonts w:ascii="Times New Roman" w:hAnsi="Times New Roman"/>
        </w:rPr>
        <w:t xml:space="preserve">const</w:t>
      </w:r>
      <w:r>
        <w:rPr>
          <w:rStyle w:val="NormalTok"/>
          <w:rFonts w:ascii="Times New Roman" w:hAnsi="Times New Roman"/>
        </w:rPr>
        <w:t xml:space="preserve"> </w:t>
      </w:r>
      <w:r>
        <w:rPr>
          <w:rStyle w:val="DataTypeTok"/>
          <w:rFonts w:ascii="Times New Roman" w:hAnsi="Times New Roman"/>
        </w:rPr>
        <w:t xml:space="preserve">float</w:t>
      </w:r>
      <w:r>
        <w:rPr>
          <w:rStyle w:val="NormalTok"/>
          <w:rFonts w:ascii="Times New Roman" w:hAnsi="Times New Roman"/>
        </w:rPr>
        <w:t xml:space="preserve"> R1       </w:t>
      </w:r>
      <w:r>
        <w:rPr>
          <w:rStyle w:val="OperatorTok"/>
          <w:rFonts w:ascii="Times New Roman" w:hAnsi="Times New Roman"/>
        </w:rPr>
        <w:t xml:space="preserve">=</w:t>
      </w:r>
      <w:r>
        <w:rPr>
          <w:rStyle w:val="NormalTok"/>
          <w:rFonts w:ascii="Times New Roman" w:hAnsi="Times New Roman"/>
        </w:rPr>
        <w:t xml:space="preserve"> </w:t>
      </w:r>
      <w:r>
        <w:rPr>
          <w:rStyle w:val="FloatTok"/>
          <w:rFonts w:ascii="Times New Roman" w:hAnsi="Times New Roman"/>
        </w:rPr>
        <w:t xml:space="preserve">10.0</w:t>
      </w:r>
      <w:r>
        <w:rPr>
          <w:rStyle w:val="OperatorTok"/>
          <w:rFonts w:ascii="Times New Roman" w:hAnsi="Times New Roman"/>
        </w:rPr>
        <w:t xml:space="preserve">;</w:t>
      </w:r>
      <w:r>
        <w:rPr>
          <w:rFonts w:ascii="Times New Roman" w:hAnsi="Times New Roman"/>
        </w:rPr>
        <w:br/>
      </w:r>
      <w:r>
        <w:rPr>
          <w:rStyle w:val="AttributeTok"/>
          <w:rFonts w:ascii="Times New Roman" w:hAnsi="Times New Roman"/>
        </w:rPr>
        <w:t xml:space="preserve">const</w:t>
      </w:r>
      <w:r>
        <w:rPr>
          <w:rStyle w:val="NormalTok"/>
          <w:rFonts w:ascii="Times New Roman" w:hAnsi="Times New Roman"/>
        </w:rPr>
        <w:t xml:space="preserve"> </w:t>
      </w:r>
      <w:r>
        <w:rPr>
          <w:rStyle w:val="DataTypeTok"/>
          <w:rFonts w:ascii="Times New Roman" w:hAnsi="Times New Roman"/>
        </w:rPr>
        <w:t xml:space="preserve">float</w:t>
      </w:r>
      <w:r>
        <w:rPr>
          <w:rStyle w:val="NormalTok"/>
          <w:rFonts w:ascii="Times New Roman" w:hAnsi="Times New Roman"/>
        </w:rPr>
        <w:t xml:space="preserve"> R2       </w:t>
      </w:r>
      <w:r>
        <w:rPr>
          <w:rStyle w:val="OperatorTok"/>
          <w:rFonts w:ascii="Times New Roman" w:hAnsi="Times New Roman"/>
        </w:rPr>
        <w:t xml:space="preserve">=</w:t>
      </w:r>
      <w:r>
        <w:rPr>
          <w:rStyle w:val="NormalTok"/>
          <w:rFonts w:ascii="Times New Roman" w:hAnsi="Times New Roman"/>
        </w:rPr>
        <w:t xml:space="preserve"> </w:t>
      </w:r>
      <w:r>
        <w:rPr>
          <w:rStyle w:val="FloatTok"/>
          <w:rFonts w:ascii="Times New Roman" w:hAnsi="Times New Roman"/>
        </w:rPr>
        <w:t xml:space="preserve">10.0</w:t>
      </w:r>
      <w:r>
        <w:rPr>
          <w:rStyle w:val="OperatorTok"/>
          <w:rFonts w:ascii="Times New Roman" w:hAnsi="Times New Roman"/>
        </w:rPr>
        <w:t xml:space="preserve">;</w:t>
      </w:r>
      <w:r>
        <w:rPr>
          <w:rFonts w:ascii="Times New Roman" w:hAnsi="Times New Roman"/>
        </w:rPr>
        <w:br/>
      </w:r>
      <w:r>
        <w:rPr>
          <w:rStyle w:val="AttributeTok"/>
          <w:rFonts w:ascii="Times New Roman" w:hAnsi="Times New Roman"/>
        </w:rPr>
        <w:t xml:space="preserve">const</w:t>
      </w:r>
      <w:r>
        <w:rPr>
          <w:rStyle w:val="NormalTok"/>
          <w:rFonts w:ascii="Times New Roman" w:hAnsi="Times New Roman"/>
        </w:rPr>
        <w:t xml:space="preserve"> </w:t>
      </w:r>
      <w:r>
        <w:rPr>
          <w:rStyle w:val="DataTypeTok"/>
          <w:rFonts w:ascii="Times New Roman" w:hAnsi="Times New Roman"/>
        </w:rPr>
        <w:t xml:space="preserve">float</w:t>
      </w:r>
      <w:r>
        <w:rPr>
          <w:rStyle w:val="NormalTok"/>
          <w:rFonts w:ascii="Times New Roman" w:hAnsi="Times New Roman"/>
        </w:rPr>
        <w:t xml:space="preserve"> R_REF    </w:t>
      </w:r>
      <w:r>
        <w:rPr>
          <w:rStyle w:val="OperatorTok"/>
          <w:rFonts w:ascii="Times New Roman" w:hAnsi="Times New Roman"/>
        </w:rPr>
        <w:t xml:space="preserve">=</w:t>
      </w:r>
      <w:r>
        <w:rPr>
          <w:rStyle w:val="NormalTok"/>
          <w:rFonts w:ascii="Times New Roman" w:hAnsi="Times New Roman"/>
        </w:rPr>
        <w:t xml:space="preserve"> </w:t>
      </w:r>
      <w:r>
        <w:rPr>
          <w:rStyle w:val="FloatTok"/>
          <w:rFonts w:ascii="Times New Roman" w:hAnsi="Times New Roman"/>
        </w:rPr>
        <w:t xml:space="preserve">0.5</w:t>
      </w:r>
      <w:r>
        <w:rPr>
          <w:rStyle w:val="OperatorTok"/>
          <w:rFonts w:ascii="Times New Roman" w:hAnsi="Times New Roman"/>
        </w:rPr>
        <w:t xml:space="preserve">;</w:t>
      </w:r>
      <w:r>
        <w:rPr>
          <w:rFonts w:ascii="Times New Roman" w:hAnsi="Times New Roman"/>
        </w:rPr>
        <w:br/>
      </w:r>
      <w:r>
        <w:rPr>
          <w:rStyle w:val="AttributeTok"/>
          <w:rFonts w:ascii="Times New Roman" w:hAnsi="Times New Roman"/>
        </w:rPr>
        <w:t xml:space="preserve">const</w:t>
      </w:r>
      <w:r>
        <w:rPr>
          <w:rStyle w:val="NormalTok"/>
          <w:rFonts w:ascii="Times New Roman" w:hAnsi="Times New Roman"/>
        </w:rPr>
        <w:t xml:space="preserve"> </w:t>
      </w:r>
      <w:r>
        <w:rPr>
          <w:rStyle w:val="DataTypeTok"/>
          <w:rFonts w:ascii="Times New Roman" w:hAnsi="Times New Roman"/>
        </w:rPr>
        <w:t xml:space="preserve">float</w:t>
      </w:r>
      <w:r>
        <w:rPr>
          <w:rStyle w:val="NormalTok"/>
          <w:rFonts w:ascii="Times New Roman" w:hAnsi="Times New Roman"/>
        </w:rPr>
        <w:t xml:space="preserve"> V_ALIM   </w:t>
      </w:r>
      <w:r>
        <w:rPr>
          <w:rStyle w:val="OperatorTok"/>
          <w:rFonts w:ascii="Times New Roman" w:hAnsi="Times New Roman"/>
        </w:rPr>
        <w:t xml:space="preserve">=</w:t>
      </w:r>
      <w:r>
        <w:rPr>
          <w:rStyle w:val="NormalTok"/>
          <w:rFonts w:ascii="Times New Roman" w:hAnsi="Times New Roman"/>
        </w:rPr>
        <w:t xml:space="preserve"> </w:t>
      </w:r>
      <w:r>
        <w:rPr>
          <w:rStyle w:val="FloatTok"/>
          <w:rFonts w:ascii="Times New Roman" w:hAnsi="Times New Roman"/>
        </w:rPr>
        <w:t xml:space="preserve">3.3</w:t>
      </w:r>
      <w:r>
        <w:rPr>
          <w:rStyle w:val="OperatorTok"/>
          <w:rFonts w:ascii="Times New Roman" w:hAnsi="Times New Roman"/>
        </w:rPr>
        <w:t xml:space="preserve">;</w:t>
      </w:r>
      <w:r>
        <w:rPr>
          <w:rFonts w:ascii="Times New Roman" w:hAnsi="Times New Roman"/>
        </w:rPr>
        <w:br/>
      </w:r>
      <w:r>
        <w:rPr>
          <w:rStyle w:val="AttributeTok"/>
          <w:rFonts w:ascii="Times New Roman" w:hAnsi="Times New Roman"/>
        </w:rPr>
        <w:t xml:space="preserve">const</w:t>
      </w:r>
      <w:r>
        <w:rPr>
          <w:rStyle w:val="NormalTok"/>
          <w:rFonts w:ascii="Times New Roman" w:hAnsi="Times New Roman"/>
        </w:rPr>
        <w:t xml:space="preserve"> </w:t>
      </w:r>
      <w:r>
        <w:rPr>
          <w:rStyle w:val="DataTypeTok"/>
          <w:rFonts w:ascii="Times New Roman" w:hAnsi="Times New Roman"/>
        </w:rPr>
        <w:t xml:space="preserve">float</w:t>
      </w:r>
      <w:r>
        <w:rPr>
          <w:rStyle w:val="NormalTok"/>
          <w:rFonts w:ascii="Times New Roman" w:hAnsi="Times New Roman"/>
        </w:rPr>
        <w:t xml:space="preserve"> R_PONT_EQUIV </w:t>
      </w:r>
      <w:r>
        <w:rPr>
          <w:rStyle w:val="OperatorTok"/>
          <w:rFonts w:ascii="Times New Roman" w:hAnsi="Times New Roman"/>
        </w:rPr>
        <w:t xml:space="preserve">=</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R1 </w:t>
      </w:r>
      <w:r>
        <w:rPr>
          <w:rStyle w:val="OperatorTok"/>
          <w:rFonts w:ascii="Times New Roman" w:hAnsi="Times New Roman"/>
        </w:rPr>
        <w:t xml:space="preserve">+</w:t>
      </w:r>
      <w:r>
        <w:rPr>
          <w:rStyle w:val="NormalTok"/>
          <w:rFonts w:ascii="Times New Roman" w:hAnsi="Times New Roman"/>
        </w:rPr>
        <w:t xml:space="preserve"> R_REF</w:t>
      </w:r>
      <w:r>
        <w:rPr>
          <w:rStyle w:val="OperatorTok"/>
          <w:rFonts w:ascii="Times New Roman" w:hAnsi="Times New Roman"/>
        </w:rPr>
        <w:t xml:space="preserve">);</w:t>
      </w:r>
      <w:r>
        <w:rPr>
          <w:rFonts w:ascii="Times New Roman" w:hAnsi="Times New Roman"/>
        </w:rPr>
        <w:br/>
      </w:r>
      <w:r>
        <w:rPr>
          <w:rStyle w:val="AttributeTok"/>
          <w:rFonts w:ascii="Times New Roman" w:hAnsi="Times New Roman"/>
        </w:rPr>
        <w:t xml:space="preserve">const</w:t>
      </w:r>
      <w:r>
        <w:rPr>
          <w:rStyle w:val="NormalTok"/>
          <w:rFonts w:ascii="Times New Roman" w:hAnsi="Times New Roman"/>
        </w:rPr>
        <w:t xml:space="preserve"> </w:t>
      </w:r>
      <w:r>
        <w:rPr>
          <w:rStyle w:val="DataTypeTok"/>
          <w:rFonts w:ascii="Times New Roman" w:hAnsi="Times New Roman"/>
        </w:rPr>
        <w:t xml:space="preserve">float</w:t>
      </w:r>
      <w:r>
        <w:rPr>
          <w:rStyle w:val="NormalTok"/>
          <w:rFonts w:ascii="Times New Roman" w:hAnsi="Times New Roman"/>
        </w:rPr>
        <w:t xml:space="preserve"> V_EXC_EFF    </w:t>
      </w:r>
      <w:r>
        <w:rPr>
          <w:rStyle w:val="OperatorTok"/>
          <w:rFonts w:ascii="Times New Roman" w:hAnsi="Times New Roman"/>
        </w:rPr>
        <w:t xml:space="preserve">=</w:t>
      </w:r>
      <w:r>
        <w:rPr>
          <w:rStyle w:val="NormalTok"/>
          <w:rFonts w:ascii="Times New Roman" w:hAnsi="Times New Roman"/>
        </w:rPr>
        <w:t xml:space="preserve"> V_ALIM </w:t>
      </w:r>
      <w:r>
        <w:rPr>
          <w:rStyle w:val="OperatorTok"/>
          <w:rFonts w:ascii="Times New Roman" w:hAnsi="Times New Roman"/>
        </w:rPr>
        <w:t xml:space="preserve">*</w:t>
      </w:r>
      <w:r>
        <w:rPr>
          <w:rStyle w:val="NormalTok"/>
          <w:rFonts w:ascii="Times New Roman" w:hAnsi="Times New Roman"/>
        </w:rPr>
        <w:t xml:space="preserve"> R_PONT_EQUIV </w:t>
      </w:r>
      <w:r>
        <w:rPr>
          <w:rStyle w:val="OperatorTok"/>
          <w:rFonts w:ascii="Times New Roman" w:hAnsi="Times New Roman"/>
        </w:rPr>
        <w:t xml:space="preserve">/</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R_SERIE </w:t>
      </w:r>
      <w:r>
        <w:rPr>
          <w:rStyle w:val="OperatorTok"/>
          <w:rFonts w:ascii="Times New Roman" w:hAnsi="Times New Roman"/>
        </w:rPr>
        <w:t xml:space="preserve">+</w:t>
      </w:r>
      <w:r>
        <w:rPr>
          <w:rStyle w:val="NormalTok"/>
          <w:rFonts w:ascii="Times New Roman" w:hAnsi="Times New Roman"/>
        </w:rPr>
        <w:t xml:space="preserve"> R_PONT_EQUIV</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PreprocessorTok"/>
          <w:rFonts w:ascii="Times New Roman" w:hAnsi="Times New Roman"/>
        </w:rPr>
        <w:t xml:space="preserve">#define SLEEP_INTERVAL_US  </w:t>
      </w:r>
      <w:r>
        <w:rPr>
          <w:rStyle w:val="DecValTok"/>
          <w:rFonts w:ascii="Times New Roman" w:hAnsi="Times New Roman"/>
        </w:rPr>
        <w:t xml:space="preserve">600000000</w:t>
      </w:r>
      <w:r>
        <w:rPr>
          <w:rStyle w:val="BuiltInTok"/>
          <w:rFonts w:ascii="Times New Roman" w:hAnsi="Times New Roman"/>
        </w:rPr>
        <w:t xml:space="preserve">ULL</w:t>
      </w:r>
      <w:r>
        <w:rPr>
          <w:rFonts w:ascii="Times New Roman" w:hAnsi="Times New Roman"/>
        </w:rPr>
        <w:br/>
      </w:r>
      <w:r>
        <w:rPr>
          <w:rStyle w:val="PreprocessorTok"/>
          <w:rFonts w:ascii="Times New Roman" w:hAnsi="Times New Roman"/>
        </w:rPr>
        <w:t xml:space="preserve">#define MESURES_PAR_CYCLE  </w:t>
      </w:r>
      <w:r>
        <w:rPr>
          <w:rStyle w:val="DecValTok"/>
          <w:rFonts w:ascii="Times New Roman" w:hAnsi="Times New Roman"/>
        </w:rPr>
        <w:t xml:space="preserve">10</w:t>
      </w:r>
      <w:r>
        <w:rPr>
          <w:rFonts w:ascii="Times New Roman" w:hAnsi="Times New Roman"/>
        </w:rPr>
        <w:br/>
      </w:r>
      <w:r>
        <w:rPr>
          <w:rFonts w:ascii="Times New Roman" w:hAnsi="Times New Roman"/>
        </w:rPr>
        <w:br/>
      </w:r>
      <w:r>
        <w:rPr>
          <w:rStyle w:val="NormalTok"/>
          <w:rFonts w:ascii="Times New Roman" w:hAnsi="Times New Roman"/>
        </w:rPr>
        <w:t xml:space="preserve">RTC_DATA_ATTR </w:t>
      </w:r>
      <w:r>
        <w:rPr>
          <w:rStyle w:val="AttributeTok"/>
          <w:rFonts w:ascii="Times New Roman" w:hAnsi="Times New Roman"/>
        </w:rPr>
        <w:t xml:space="preserve">static</w:t>
      </w:r>
      <w:r>
        <w:rPr>
          <w:rStyle w:val="NormalTok"/>
          <w:rFonts w:ascii="Times New Roman" w:hAnsi="Times New Roman"/>
        </w:rPr>
        <w:t xml:space="preserve"> </w:t>
      </w:r>
      <w:r>
        <w:rPr>
          <w:rStyle w:val="DataTypeTok"/>
          <w:rFonts w:ascii="Times New Roman" w:hAnsi="Times New Roman"/>
        </w:rPr>
        <w:t xml:space="preserve">unsigned</w:t>
      </w:r>
      <w:r>
        <w:rPr>
          <w:rStyle w:val="NormalTok"/>
          <w:rFonts w:ascii="Times New Roman" w:hAnsi="Times New Roman"/>
        </w:rPr>
        <w:t xml:space="preserve"> </w:t>
      </w:r>
      <w:r>
        <w:rPr>
          <w:rStyle w:val="DataTypeTok"/>
          <w:rFonts w:ascii="Times New Roman" w:hAnsi="Times New Roman"/>
        </w:rPr>
        <w:t xml:space="preserve">long</w:t>
      </w:r>
      <w:r>
        <w:rPr>
          <w:rStyle w:val="NormalTok"/>
          <w:rFonts w:ascii="Times New Roman" w:hAnsi="Times New Roman"/>
        </w:rPr>
        <w:t xml:space="preserve"> mesure_index  </w:t>
      </w:r>
      <w:r>
        <w:rPr>
          <w:rStyle w:val="OperatorTok"/>
          <w:rFonts w:ascii="Times New Roman" w:hAnsi="Times New Roman"/>
        </w:rPr>
        <w:t xml:space="preserve">=</w:t>
      </w:r>
      <w:r>
        <w:rPr>
          <w:rStyle w:val="NormalTok"/>
          <w:rFonts w:ascii="Times New Roman" w:hAnsi="Times New Roman"/>
        </w:rPr>
        <w:t xml:space="preserve"> </w:t>
      </w:r>
      <w:r>
        <w:rPr>
          <w:rStyle w:val="DecValTok"/>
          <w:rFonts w:ascii="Times New Roman" w:hAnsi="Times New Roman"/>
        </w:rPr>
        <w:t xml:space="preserve">0</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RTC_DATA_ATTR </w:t>
      </w:r>
      <w:r>
        <w:rPr>
          <w:rStyle w:val="AttributeTok"/>
          <w:rFonts w:ascii="Times New Roman" w:hAnsi="Times New Roman"/>
        </w:rPr>
        <w:t xml:space="preserve">static</w:t>
      </w:r>
      <w:r>
        <w:rPr>
          <w:rStyle w:val="NormalTok"/>
          <w:rFonts w:ascii="Times New Roman" w:hAnsi="Times New Roman"/>
        </w:rPr>
        <w:t xml:space="preserve"> </w:t>
      </w:r>
      <w:r>
        <w:rPr>
          <w:rStyle w:val="DataTypeTok"/>
          <w:rFonts w:ascii="Times New Roman" w:hAnsi="Times New Roman"/>
        </w:rPr>
        <w:t xml:space="preserve">double</w:t>
      </w:r>
      <w:r>
        <w:rPr>
          <w:rStyle w:val="NormalTok"/>
          <w:rFonts w:ascii="Times New Roman" w:hAnsi="Times New Roman"/>
        </w:rPr>
        <w:t xml:space="preserve">        last_Rx        </w:t>
      </w:r>
      <w:r>
        <w:rPr>
          <w:rStyle w:val="OperatorTok"/>
          <w:rFonts w:ascii="Times New Roman" w:hAnsi="Times New Roman"/>
        </w:rPr>
        <w:t xml:space="preserve">=</w:t>
      </w:r>
      <w:r>
        <w:rPr>
          <w:rStyle w:val="NormalTok"/>
          <w:rFonts w:ascii="Times New Roman" w:hAnsi="Times New Roman"/>
        </w:rPr>
        <w:t xml:space="preserve"> </w:t>
      </w:r>
      <w:r>
        <w:rPr>
          <w:rStyle w:val="FloatTok"/>
          <w:rFonts w:ascii="Times New Roman" w:hAnsi="Times New Roman"/>
        </w:rPr>
        <w:t xml:space="preserve">0.0</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RTC_DATA_ATTR </w:t>
      </w:r>
      <w:r>
        <w:rPr>
          <w:rStyle w:val="AttributeTok"/>
          <w:rFonts w:ascii="Times New Roman" w:hAnsi="Times New Roman"/>
        </w:rPr>
        <w:t xml:space="preserve">static</w:t>
      </w:r>
      <w:r>
        <w:rPr>
          <w:rStyle w:val="NormalTok"/>
          <w:rFonts w:ascii="Times New Roman" w:hAnsi="Times New Roman"/>
        </w:rPr>
        <w:t xml:space="preserve"> </w:t>
      </w:r>
      <w:r>
        <w:rPr>
          <w:rStyle w:val="DataTypeTok"/>
          <w:rFonts w:ascii="Times New Roman" w:hAnsi="Times New Roman"/>
        </w:rPr>
        <w:t xml:space="preserve">bool</w:t>
      </w:r>
      <w:r>
        <w:rPr>
          <w:rStyle w:val="NormalTok"/>
          <w:rFonts w:ascii="Times New Roman" w:hAnsi="Times New Roman"/>
        </w:rPr>
        <w:t xml:space="preserve">          header_envoye  </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false</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HX711 scale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OneWire oneWire</w:t>
      </w:r>
      <w:r>
        <w:rPr>
          <w:rStyle w:val="OperatorTok"/>
          <w:rFonts w:ascii="Times New Roman" w:hAnsi="Times New Roman"/>
        </w:rPr>
        <w:t xml:space="preserve">(</w:t>
      </w:r>
      <w:r>
        <w:rPr>
          <w:rStyle w:val="NormalTok"/>
          <w:rFonts w:ascii="Times New Roman" w:hAnsi="Times New Roman"/>
        </w:rPr>
        <w:t xml:space="preserve">ONE_WIRE_BUS</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DallasTemperature sensors</w:t>
      </w:r>
      <w:r>
        <w:rPr>
          <w:rStyle w:val="OperatorTok"/>
          <w:rFonts w:ascii="Times New Roman" w:hAnsi="Times New Roman"/>
        </w:rPr>
        <w:t xml:space="preserve">(&amp;</w:t>
      </w:r>
      <w:r>
        <w:rPr>
          <w:rStyle w:val="NormalTok"/>
          <w:rFonts w:ascii="Times New Roman" w:hAnsi="Times New Roman"/>
        </w:rPr>
        <w:t xml:space="preserve">oneWire</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DataTypeTok"/>
          <w:rFonts w:ascii="Times New Roman" w:hAnsi="Times New Roman"/>
        </w:rPr>
        <w:t xml:space="preserve">void</w:t>
      </w:r>
      <w:r>
        <w:rPr>
          <w:rStyle w:val="NormalTok"/>
          <w:rFonts w:ascii="Times New Roman" w:hAnsi="Times New Roman"/>
        </w:rPr>
        <w:t xml:space="preserve"> setup</w:t>
      </w:r>
      <w:r>
        <w:rPr>
          <w:rStyle w:val="OperatorTok"/>
          <w:rFonts w:ascii="Times New Roman" w:hAnsi="Times New Roman"/>
        </w:rPr>
        <w:t xml:space="preserve">()</w:t>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Serial</w:t>
      </w:r>
      <w:r>
        <w:rPr>
          <w:rStyle w:val="OperatorTok"/>
          <w:rFonts w:ascii="Times New Roman" w:hAnsi="Times New Roman"/>
        </w:rPr>
        <w:t xml:space="preserve">.</w:t>
      </w:r>
      <w:r>
        <w:rPr>
          <w:rStyle w:val="NormalTok"/>
          <w:rFonts w:ascii="Times New Roman" w:hAnsi="Times New Roman"/>
        </w:rPr>
        <w:t xml:space="preserve">begin</w:t>
      </w:r>
      <w:r>
        <w:rPr>
          <w:rStyle w:val="OperatorTok"/>
          <w:rFonts w:ascii="Times New Roman" w:hAnsi="Times New Roman"/>
        </w:rPr>
        <w:t xml:space="preserve">(</w:t>
      </w:r>
      <w:r>
        <w:rPr>
          <w:rStyle w:val="DecValTok"/>
          <w:rFonts w:ascii="Times New Roman" w:hAnsi="Times New Roman"/>
        </w:rPr>
        <w:t xml:space="preserve">115200</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delay</w:t>
      </w:r>
      <w:r>
        <w:rPr>
          <w:rStyle w:val="OperatorTok"/>
          <w:rFonts w:ascii="Times New Roman" w:hAnsi="Times New Roman"/>
        </w:rPr>
        <w:t xml:space="preserve">(</w:t>
      </w:r>
      <w:r>
        <w:rPr>
          <w:rStyle w:val="DecValTok"/>
          <w:rFonts w:ascii="Times New Roman" w:hAnsi="Times New Roman"/>
        </w:rPr>
        <w:t xml:space="preserve">150</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mesure_index</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 xml:space="preserve">unsigned</w:t>
      </w:r>
      <w:r>
        <w:rPr>
          <w:rStyle w:val="NormalTok"/>
          <w:rFonts w:ascii="Times New Roman" w:hAnsi="Times New Roman"/>
        </w:rPr>
        <w:t xml:space="preserve"> </w:t>
      </w:r>
      <w:r>
        <w:rPr>
          <w:rStyle w:val="DataTypeTok"/>
          <w:rFonts w:ascii="Times New Roman" w:hAnsi="Times New Roman"/>
        </w:rPr>
        <w:t xml:space="preserve">long</w:t>
      </w:r>
      <w:r>
        <w:rPr>
          <w:rStyle w:val="NormalTok"/>
          <w:rFonts w:ascii="Times New Roman" w:hAnsi="Times New Roman"/>
        </w:rPr>
        <w:t xml:space="preserve"> timestamp_s </w:t>
      </w:r>
      <w:r>
        <w:rPr>
          <w:rStyle w:val="OperatorTok"/>
          <w:rFonts w:ascii="Times New Roman" w:hAnsi="Times New Roman"/>
        </w:rPr>
        <w:t xml:space="preserve">=</w:t>
      </w:r>
      <w:r>
        <w:rPr>
          <w:rStyle w:val="NormalTok"/>
          <w:rFonts w:ascii="Times New Roman" w:hAnsi="Times New Roman"/>
        </w:rPr>
        <w:t xml:space="preserve"> mesure_index </w:t>
      </w:r>
      <w:r>
        <w:rPr>
          <w:rStyle w:val="OperatorTok"/>
          <w:rFonts w:ascii="Times New Roman" w:hAnsi="Times New Roman"/>
        </w:rPr>
        <w:t xml:space="preserve">*</w:t>
      </w:r>
      <w:r>
        <w:rPr>
          <w:rStyle w:val="NormalTok"/>
          <w:rFonts w:ascii="Times New Roman" w:hAnsi="Times New Roman"/>
        </w:rPr>
        <w:t xml:space="preserve"> </w:t>
      </w:r>
      <w:r>
        <w:rPr>
          <w:rStyle w:val="DecValTok"/>
          <w:rFonts w:ascii="Times New Roman" w:hAnsi="Times New Roman"/>
        </w:rPr>
        <w:t xml:space="preserve">600</w:t>
      </w:r>
      <w:r>
        <w:rPr>
          <w:rStyle w:val="BuiltInTok"/>
          <w:rFonts w:ascii="Times New Roman" w:hAnsi="Times New Roman"/>
        </w:rPr>
        <w:t xml:space="preserve">UL</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ControlFlowTok"/>
          <w:rFonts w:ascii="Times New Roman" w:hAnsi="Times New Roman"/>
        </w:rPr>
        <w:t xml:space="preserve">if</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header_envoye</w:t>
      </w:r>
      <w:r>
        <w:rPr>
          <w:rStyle w:val="OperatorTok"/>
          <w:rFonts w:ascii="Times New Roman" w:hAnsi="Times New Roman"/>
        </w:rPr>
        <w:t xml:space="preserve">)</w:t>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Serial</w:t>
      </w:r>
      <w:r>
        <w:rPr>
          <w:rStyle w:val="OperatorTok"/>
          <w:rFonts w:ascii="Times New Roman" w:hAnsi="Times New Roman"/>
        </w:rPr>
        <w:t xml:space="preserve">.</w:t>
      </w:r>
      <w:r>
        <w:rPr>
          <w:rStyle w:val="NormalTok"/>
          <w:rFonts w:ascii="Times New Roman" w:hAnsi="Times New Roman"/>
        </w:rPr>
        <w:t xml:space="preserve">println</w:t>
      </w:r>
      <w:r>
        <w:rPr>
          <w:rStyle w:val="OperatorTok"/>
          <w:rFonts w:ascii="Times New Roman" w:hAnsi="Times New Roman"/>
        </w:rPr>
        <w:t xml:space="preserve">(</w:t>
      </w:r>
      <w:r>
        <w:rPr>
          <w:rStyle w:val="StringTok"/>
          <w:rFonts w:ascii="Times New Roman" w:hAnsi="Times New Roman"/>
        </w:rPr>
        <w:t xml:space="preserve">"Timestamp_s;Vdiff_V;Rx_Ohm;Temp_C;DeltaR_Ohm_per_h"</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header_envoye </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true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 xml:space="preserve">double</w:t>
      </w:r>
      <w:r>
        <w:rPr>
          <w:rStyle w:val="NormalTok"/>
          <w:rFonts w:ascii="Times New Roman" w:hAnsi="Times New Roman"/>
        </w:rPr>
        <w:t xml:space="preserve"> Rx </w:t>
      </w:r>
      <w:r>
        <w:rPr>
          <w:rStyle w:val="OperatorTok"/>
          <w:rFonts w:ascii="Times New Roman" w:hAnsi="Times New Roman"/>
        </w:rPr>
        <w:t xml:space="preserve">=</w:t>
      </w:r>
      <w:r>
        <w:rPr>
          <w:rStyle w:val="NormalTok"/>
          <w:rFonts w:ascii="Times New Roman" w:hAnsi="Times New Roman"/>
        </w:rPr>
        <w:t xml:space="preserve"> lire_resistance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 xml:space="preserve">float</w:t>
      </w:r>
      <w:r>
        <w:rPr>
          <w:rStyle w:val="NormalTok"/>
          <w:rFonts w:ascii="Times New Roman" w:hAnsi="Times New Roman"/>
        </w:rPr>
        <w:t xml:space="preserve"> temperature </w:t>
      </w:r>
      <w:r>
        <w:rPr>
          <w:rStyle w:val="OperatorTok"/>
          <w:rFonts w:ascii="Times New Roman" w:hAnsi="Times New Roman"/>
        </w:rPr>
        <w:t xml:space="preserve">=</w:t>
      </w:r>
      <w:r>
        <w:rPr>
          <w:rStyle w:val="NormalTok"/>
          <w:rFonts w:ascii="Times New Roman" w:hAnsi="Times New Roman"/>
        </w:rPr>
        <w:t xml:space="preserve"> lire_temperature</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 xml:space="preserve">double</w:t>
      </w:r>
      <w:r>
        <w:rPr>
          <w:rStyle w:val="NormalTok"/>
          <w:rFonts w:ascii="Times New Roman" w:hAnsi="Times New Roman"/>
        </w:rPr>
        <w:t xml:space="preserve"> delta_R_per_h </w:t>
      </w:r>
      <w:r>
        <w:rPr>
          <w:rStyle w:val="OperatorTok"/>
          <w:rFonts w:ascii="Times New Roman" w:hAnsi="Times New Roman"/>
        </w:rPr>
        <w:t xml:space="preserve">=</w:t>
      </w:r>
      <w:r>
        <w:rPr>
          <w:rStyle w:val="NormalTok"/>
          <w:rFonts w:ascii="Times New Roman" w:hAnsi="Times New Roman"/>
        </w:rPr>
        <w:t xml:space="preserve"> </w:t>
      </w:r>
      <w:r>
        <w:rPr>
          <w:rStyle w:val="FloatTok"/>
          <w:rFonts w:ascii="Times New Roman" w:hAnsi="Times New Roman"/>
        </w:rPr>
        <w:t xml:space="preserve">0.0</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ControlFlowTok"/>
          <w:rFonts w:ascii="Times New Roman" w:hAnsi="Times New Roman"/>
        </w:rPr>
        <w:t xml:space="preserve">if</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last_Rx </w:t>
      </w:r>
      <w:r>
        <w:rPr>
          <w:rStyle w:val="OperatorTok"/>
          <w:rFonts w:ascii="Times New Roman" w:hAnsi="Times New Roman"/>
        </w:rPr>
        <w:t xml:space="preserve">&gt;</w:t>
      </w:r>
      <w:r>
        <w:rPr>
          <w:rStyle w:val="NormalTok"/>
          <w:rFonts w:ascii="Times New Roman" w:hAnsi="Times New Roman"/>
        </w:rPr>
        <w:t xml:space="preserve"> </w:t>
      </w:r>
      <w:r>
        <w:rPr>
          <w:rStyle w:val="FloatTok"/>
          <w:rFonts w:ascii="Times New Roman" w:hAnsi="Times New Roman"/>
        </w:rPr>
        <w:t xml:space="preserve">1e-6</w:t>
      </w:r>
      <w:r>
        <w:rPr>
          <w:rStyle w:val="NormalTok"/>
          <w:rFonts w:ascii="Times New Roman" w:hAnsi="Times New Roman"/>
        </w:rPr>
        <w:t xml:space="preserve"> </w:t>
      </w:r>
      <w:r>
        <w:rPr>
          <w:rStyle w:val="OperatorTok"/>
          <w:rFonts w:ascii="Times New Roman" w:hAnsi="Times New Roman"/>
        </w:rPr>
        <w:t xml:space="preserve">&amp;&amp;</w:t>
      </w:r>
      <w:r>
        <w:rPr>
          <w:rStyle w:val="NormalTok"/>
          <w:rFonts w:ascii="Times New Roman" w:hAnsi="Times New Roman"/>
        </w:rPr>
        <w:t xml:space="preserve"> mesure_index </w:t>
      </w:r>
      <w:r>
        <w:rPr>
          <w:rStyle w:val="OperatorTok"/>
          <w:rFonts w:ascii="Times New Roman" w:hAnsi="Times New Roman"/>
        </w:rPr>
        <w:t xml:space="preserve">&gt;</w:t>
      </w:r>
      <w:r>
        <w:rPr>
          <w:rStyle w:val="NormalTok"/>
          <w:rFonts w:ascii="Times New Roman" w:hAnsi="Times New Roman"/>
        </w:rPr>
        <w:t xml:space="preserve"> </w:t>
      </w:r>
      <w:r>
        <w:rPr>
          <w:rStyle w:val="DecValTok"/>
          <w:rFonts w:ascii="Times New Roman" w:hAnsi="Times New Roman"/>
        </w:rPr>
        <w:t xml:space="preserve">1</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delta_R_per_h </w:t>
      </w:r>
      <w:r>
        <w:rPr>
          <w:rStyle w:val="OperatorTok"/>
          <w:rFonts w:ascii="Times New Roman" w:hAnsi="Times New Roman"/>
        </w:rPr>
        <w:t xml:space="preserve">=</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Rx </w:t>
      </w:r>
      <w:r>
        <w:rPr>
          <w:rStyle w:val="OperatorTok"/>
          <w:rFonts w:ascii="Times New Roman" w:hAnsi="Times New Roman"/>
        </w:rPr>
        <w:t xml:space="preserve">-</w:t>
      </w:r>
      <w:r>
        <w:rPr>
          <w:rStyle w:val="NormalTok"/>
          <w:rFonts w:ascii="Times New Roman" w:hAnsi="Times New Roman"/>
        </w:rPr>
        <w:t xml:space="preserve"> last_Rx</w:t>
      </w:r>
      <w:r>
        <w:rPr>
          <w:rStyle w:val="OperatorTok"/>
          <w:rFonts w:ascii="Times New Roman" w:hAnsi="Times New Roman"/>
        </w:rPr>
        <w:t xml:space="preserve">)</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 </w:t>
      </w:r>
      <w:r>
        <w:rPr>
          <w:rStyle w:val="FloatTok"/>
          <w:rFonts w:ascii="Times New Roman" w:hAnsi="Times New Roman"/>
        </w:rPr>
        <w:t xml:space="preserve">6.0</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last_Rx </w:t>
      </w:r>
      <w:r>
        <w:rPr>
          <w:rStyle w:val="OperatorTok"/>
          <w:rFonts w:ascii="Times New Roman" w:hAnsi="Times New Roman"/>
        </w:rPr>
        <w:t xml:space="preserve">=</w:t>
      </w:r>
      <w:r>
        <w:rPr>
          <w:rStyle w:val="NormalTok"/>
          <w:rFonts w:ascii="Times New Roman" w:hAnsi="Times New Roman"/>
        </w:rPr>
        <w:t xml:space="preserve"> Rx</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 xml:space="preserve">double</w:t>
      </w:r>
      <w:r>
        <w:rPr>
          <w:rStyle w:val="NormalTok"/>
          <w:rFonts w:ascii="Times New Roman" w:hAnsi="Times New Roman"/>
        </w:rPr>
        <w:t xml:space="preserve"> ratio_rx  </w:t>
      </w:r>
      <w:r>
        <w:rPr>
          <w:rStyle w:val="OperatorTok"/>
          <w:rFonts w:ascii="Times New Roman" w:hAnsi="Times New Roman"/>
        </w:rPr>
        <w:t xml:space="preserve">=</w:t>
      </w:r>
      <w:r>
        <w:rPr>
          <w:rStyle w:val="NormalTok"/>
          <w:rFonts w:ascii="Times New Roman" w:hAnsi="Times New Roman"/>
        </w:rPr>
        <w:t xml:space="preserve"> Rx  </w:t>
      </w:r>
      <w:r>
        <w:rPr>
          <w:rStyle w:val="OperatorTok"/>
          <w:rFonts w:ascii="Times New Roman" w:hAnsi="Times New Roman"/>
        </w:rPr>
        <w:t xml:space="preserve">/</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R2 </w:t>
      </w:r>
      <w:r>
        <w:rPr>
          <w:rStyle w:val="OperatorTok"/>
          <w:rFonts w:ascii="Times New Roman" w:hAnsi="Times New Roman"/>
        </w:rPr>
        <w:t xml:space="preserve">+</w:t>
      </w:r>
      <w:r>
        <w:rPr>
          <w:rStyle w:val="NormalTok"/>
          <w:rFonts w:ascii="Times New Roman" w:hAnsi="Times New Roman"/>
        </w:rPr>
        <w:t xml:space="preserve"> Rx</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 xml:space="preserve">double</w:t>
      </w:r>
      <w:r>
        <w:rPr>
          <w:rStyle w:val="NormalTok"/>
          <w:rFonts w:ascii="Times New Roman" w:hAnsi="Times New Roman"/>
        </w:rPr>
        <w:t xml:space="preserve"> ratio_ref </w:t>
      </w:r>
      <w:r>
        <w:rPr>
          <w:rStyle w:val="OperatorTok"/>
          <w:rFonts w:ascii="Times New Roman" w:hAnsi="Times New Roman"/>
        </w:rPr>
        <w:t xml:space="preserve">=</w:t>
      </w:r>
      <w:r>
        <w:rPr>
          <w:rStyle w:val="NormalTok"/>
          <w:rFonts w:ascii="Times New Roman" w:hAnsi="Times New Roman"/>
        </w:rPr>
        <w:t xml:space="preserve"> R_REF </w:t>
      </w:r>
      <w:r>
        <w:rPr>
          <w:rStyle w:val="OperatorTok"/>
          <w:rFonts w:ascii="Times New Roman" w:hAnsi="Times New Roman"/>
        </w:rPr>
        <w:t xml:space="preserve">/</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R1 </w:t>
      </w:r>
      <w:r>
        <w:rPr>
          <w:rStyle w:val="OperatorTok"/>
          <w:rFonts w:ascii="Times New Roman" w:hAnsi="Times New Roman"/>
        </w:rPr>
        <w:t xml:space="preserve">+</w:t>
      </w:r>
      <w:r>
        <w:rPr>
          <w:rStyle w:val="NormalTok"/>
          <w:rFonts w:ascii="Times New Roman" w:hAnsi="Times New Roman"/>
        </w:rPr>
        <w:t xml:space="preserve"> R_REF</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 xml:space="preserve">double</w:t>
      </w:r>
      <w:r>
        <w:rPr>
          <w:rStyle w:val="NormalTok"/>
          <w:rFonts w:ascii="Times New Roman" w:hAnsi="Times New Roman"/>
        </w:rPr>
        <w:t xml:space="preserve"> v_diff    </w:t>
      </w:r>
      <w:r>
        <w:rPr>
          <w:rStyle w:val="OperatorTok"/>
          <w:rFonts w:ascii="Times New Roman" w:hAnsi="Times New Roman"/>
        </w:rPr>
        <w:t xml:space="preserve">=</w:t>
      </w:r>
      <w:r>
        <w:rPr>
          <w:rStyle w:val="NormalTok"/>
          <w:rFonts w:ascii="Times New Roman" w:hAnsi="Times New Roman"/>
        </w:rPr>
        <w:t xml:space="preserve"> V_EXC_EFF </w:t>
      </w:r>
      <w:r>
        <w:rPr>
          <w:rStyle w:val="OperatorTok"/>
          <w:rFonts w:ascii="Times New Roman" w:hAnsi="Times New Roman"/>
        </w:rPr>
        <w:t xml:space="preserve">*</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ratio_rx </w:t>
      </w:r>
      <w:r>
        <w:rPr>
          <w:rStyle w:val="OperatorTok"/>
          <w:rFonts w:ascii="Times New Roman" w:hAnsi="Times New Roman"/>
        </w:rPr>
        <w:t xml:space="preserve">-</w:t>
      </w:r>
      <w:r>
        <w:rPr>
          <w:rStyle w:val="NormalTok"/>
          <w:rFonts w:ascii="Times New Roman" w:hAnsi="Times New Roman"/>
        </w:rPr>
        <w:t xml:space="preserve"> ratio_ref</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Serial</w:t>
      </w:r>
      <w:r>
        <w:rPr>
          <w:rStyle w:val="OperatorTok"/>
          <w:rFonts w:ascii="Times New Roman" w:hAnsi="Times New Roman"/>
        </w:rPr>
        <w:t xml:space="preserve">.</w:t>
      </w:r>
      <w:r>
        <w:rPr>
          <w:rStyle w:val="NormalTok"/>
          <w:rFonts w:ascii="Times New Roman" w:hAnsi="Times New Roman"/>
        </w:rPr>
        <w:t xml:space="preserve">print</w:t>
      </w:r>
      <w:r>
        <w:rPr>
          <w:rStyle w:val="OperatorTok"/>
          <w:rFonts w:ascii="Times New Roman" w:hAnsi="Times New Roman"/>
        </w:rPr>
        <w:t xml:space="preserve">(</w:t>
      </w:r>
      <w:r>
        <w:rPr>
          <w:rStyle w:val="NormalTok"/>
          <w:rFonts w:ascii="Times New Roman" w:hAnsi="Times New Roman"/>
        </w:rPr>
        <w:t xml:space="preserve">timestamp_s</w:t>
      </w:r>
      <w:r>
        <w:rPr>
          <w:rStyle w:val="OperatorTok"/>
          <w:rFonts w:ascii="Times New Roman" w:hAnsi="Times New Roman"/>
        </w:rPr>
        <w:t xml:space="preserve">);</w:t>
      </w:r>
      <w:r>
        <w:rPr>
          <w:rStyle w:val="NormalTok"/>
          <w:rFonts w:ascii="Times New Roman" w:hAnsi="Times New Roman"/>
        </w:rPr>
        <w:t xml:space="preserve">    Serial</w:t>
      </w:r>
      <w:r>
        <w:rPr>
          <w:rStyle w:val="OperatorTok"/>
          <w:rFonts w:ascii="Times New Roman" w:hAnsi="Times New Roman"/>
        </w:rPr>
        <w:t xml:space="preserve">.</w:t>
      </w:r>
      <w:r>
        <w:rPr>
          <w:rStyle w:val="NormalTok"/>
          <w:rFonts w:ascii="Times New Roman" w:hAnsi="Times New Roman"/>
        </w:rPr>
        <w:t xml:space="preserve">print</w:t>
      </w:r>
      <w:r>
        <w:rPr>
          <w:rStyle w:val="OperatorTok"/>
          <w:rFonts w:ascii="Times New Roman" w:hAnsi="Times New Roman"/>
        </w:rPr>
        <w:t xml:space="preserve">(</w:t>
      </w:r>
      <w:r>
        <w:rPr>
          <w:rStyle w:val="String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Serial</w:t>
      </w:r>
      <w:r>
        <w:rPr>
          <w:rStyle w:val="OperatorTok"/>
          <w:rFonts w:ascii="Times New Roman" w:hAnsi="Times New Roman"/>
        </w:rPr>
        <w:t xml:space="preserve">.</w:t>
      </w:r>
      <w:r>
        <w:rPr>
          <w:rStyle w:val="NormalTok"/>
          <w:rFonts w:ascii="Times New Roman" w:hAnsi="Times New Roman"/>
        </w:rPr>
        <w:t xml:space="preserve">print</w:t>
      </w:r>
      <w:r>
        <w:rPr>
          <w:rStyle w:val="OperatorTok"/>
          <w:rFonts w:ascii="Times New Roman" w:hAnsi="Times New Roman"/>
        </w:rPr>
        <w:t xml:space="preserve">(</w:t>
      </w:r>
      <w:r>
        <w:rPr>
          <w:rStyle w:val="NormalTok"/>
          <w:rFonts w:ascii="Times New Roman" w:hAnsi="Times New Roman"/>
        </w:rPr>
        <w:t xml:space="preserve">v_diff</w:t>
      </w:r>
      <w:r>
        <w:rPr>
          <w:rStyle w:val="OperatorTok"/>
          <w:rFonts w:ascii="Times New Roman" w:hAnsi="Times New Roman"/>
        </w:rPr>
        <w:t xml:space="preserve">,</w:t>
      </w:r>
      <w:r>
        <w:rPr>
          <w:rStyle w:val="NormalTok"/>
          <w:rFonts w:ascii="Times New Roman" w:hAnsi="Times New Roman"/>
        </w:rPr>
        <w:t xml:space="preserve">   </w:t>
      </w:r>
      <w:r>
        <w:rPr>
          <w:rStyle w:val="DecValTok"/>
          <w:rFonts w:ascii="Times New Roman" w:hAnsi="Times New Roman"/>
        </w:rPr>
        <w:t xml:space="preserve">8</w:t>
      </w:r>
      <w:r>
        <w:rPr>
          <w:rStyle w:val="OperatorTok"/>
          <w:rFonts w:ascii="Times New Roman" w:hAnsi="Times New Roman"/>
        </w:rPr>
        <w:t xml:space="preserve">);</w:t>
      </w:r>
      <w:r>
        <w:rPr>
          <w:rStyle w:val="NormalTok"/>
          <w:rFonts w:ascii="Times New Roman" w:hAnsi="Times New Roman"/>
        </w:rPr>
        <w:t xml:space="preserve">    Serial</w:t>
      </w:r>
      <w:r>
        <w:rPr>
          <w:rStyle w:val="OperatorTok"/>
          <w:rFonts w:ascii="Times New Roman" w:hAnsi="Times New Roman"/>
        </w:rPr>
        <w:t xml:space="preserve">.</w:t>
      </w:r>
      <w:r>
        <w:rPr>
          <w:rStyle w:val="NormalTok"/>
          <w:rFonts w:ascii="Times New Roman" w:hAnsi="Times New Roman"/>
        </w:rPr>
        <w:t xml:space="preserve">print</w:t>
      </w:r>
      <w:r>
        <w:rPr>
          <w:rStyle w:val="OperatorTok"/>
          <w:rFonts w:ascii="Times New Roman" w:hAnsi="Times New Roman"/>
        </w:rPr>
        <w:t xml:space="preserve">(</w:t>
      </w:r>
      <w:r>
        <w:rPr>
          <w:rStyle w:val="String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Serial</w:t>
      </w:r>
      <w:r>
        <w:rPr>
          <w:rStyle w:val="OperatorTok"/>
          <w:rFonts w:ascii="Times New Roman" w:hAnsi="Times New Roman"/>
        </w:rPr>
        <w:t xml:space="preserve">.</w:t>
      </w:r>
      <w:r>
        <w:rPr>
          <w:rStyle w:val="NormalTok"/>
          <w:rFonts w:ascii="Times New Roman" w:hAnsi="Times New Roman"/>
        </w:rPr>
        <w:t xml:space="preserve">print</w:t>
      </w:r>
      <w:r>
        <w:rPr>
          <w:rStyle w:val="OperatorTok"/>
          <w:rFonts w:ascii="Times New Roman" w:hAnsi="Times New Roman"/>
        </w:rPr>
        <w:t xml:space="preserve">(</w:t>
      </w:r>
      <w:r>
        <w:rPr>
          <w:rStyle w:val="NormalTok"/>
          <w:rFonts w:ascii="Times New Roman" w:hAnsi="Times New Roman"/>
        </w:rPr>
        <w:t xml:space="preserve">Rx</w:t>
      </w:r>
      <w:r>
        <w:rPr>
          <w:rStyle w:val="OperatorTok"/>
          <w:rFonts w:ascii="Times New Roman" w:hAnsi="Times New Roman"/>
        </w:rPr>
        <w:t xml:space="preserve">,</w:t>
      </w:r>
      <w:r>
        <w:rPr>
          <w:rStyle w:val="NormalTok"/>
          <w:rFonts w:ascii="Times New Roman" w:hAnsi="Times New Roman"/>
        </w:rPr>
        <w:t xml:space="preserve">       </w:t>
      </w:r>
      <w:r>
        <w:rPr>
          <w:rStyle w:val="DecValTok"/>
          <w:rFonts w:ascii="Times New Roman" w:hAnsi="Times New Roman"/>
        </w:rPr>
        <w:t xml:space="preserve">6</w:t>
      </w:r>
      <w:r>
        <w:rPr>
          <w:rStyle w:val="OperatorTok"/>
          <w:rFonts w:ascii="Times New Roman" w:hAnsi="Times New Roman"/>
        </w:rPr>
        <w:t xml:space="preserve">);</w:t>
      </w:r>
      <w:r>
        <w:rPr>
          <w:rStyle w:val="NormalTok"/>
          <w:rFonts w:ascii="Times New Roman" w:hAnsi="Times New Roman"/>
        </w:rPr>
        <w:t xml:space="preserve">    Serial</w:t>
      </w:r>
      <w:r>
        <w:rPr>
          <w:rStyle w:val="OperatorTok"/>
          <w:rFonts w:ascii="Times New Roman" w:hAnsi="Times New Roman"/>
        </w:rPr>
        <w:t xml:space="preserve">.</w:t>
      </w:r>
      <w:r>
        <w:rPr>
          <w:rStyle w:val="NormalTok"/>
          <w:rFonts w:ascii="Times New Roman" w:hAnsi="Times New Roman"/>
        </w:rPr>
        <w:t xml:space="preserve">print</w:t>
      </w:r>
      <w:r>
        <w:rPr>
          <w:rStyle w:val="OperatorTok"/>
          <w:rFonts w:ascii="Times New Roman" w:hAnsi="Times New Roman"/>
        </w:rPr>
        <w:t xml:space="preserve">(</w:t>
      </w:r>
      <w:r>
        <w:rPr>
          <w:rStyle w:val="String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Serial</w:t>
      </w:r>
      <w:r>
        <w:rPr>
          <w:rStyle w:val="OperatorTok"/>
          <w:rFonts w:ascii="Times New Roman" w:hAnsi="Times New Roman"/>
        </w:rPr>
        <w:t xml:space="preserve">.</w:t>
      </w:r>
      <w:r>
        <w:rPr>
          <w:rStyle w:val="NormalTok"/>
          <w:rFonts w:ascii="Times New Roman" w:hAnsi="Times New Roman"/>
        </w:rPr>
        <w:t xml:space="preserve">print</w:t>
      </w:r>
      <w:r>
        <w:rPr>
          <w:rStyle w:val="OperatorTok"/>
          <w:rFonts w:ascii="Times New Roman" w:hAnsi="Times New Roman"/>
        </w:rPr>
        <w:t xml:space="preserve">(</w:t>
      </w:r>
      <w:r>
        <w:rPr>
          <w:rStyle w:val="NormalTok"/>
          <w:rFonts w:ascii="Times New Roman" w:hAnsi="Times New Roman"/>
        </w:rPr>
        <w:t xml:space="preserve">temperature</w:t>
      </w:r>
      <w:r>
        <w:rPr>
          <w:rStyle w:val="OperatorTok"/>
          <w:rFonts w:ascii="Times New Roman" w:hAnsi="Times New Roman"/>
        </w:rPr>
        <w:t xml:space="preserve">,</w:t>
      </w:r>
      <w:r>
        <w:rPr>
          <w:rStyle w:val="NormalTok"/>
          <w:rFonts w:ascii="Times New Roman" w:hAnsi="Times New Roman"/>
        </w:rPr>
        <w:t xml:space="preserve"> </w:t>
      </w:r>
      <w:r>
        <w:rPr>
          <w:rStyle w:val="DecValTok"/>
          <w:rFonts w:ascii="Times New Roman" w:hAnsi="Times New Roman"/>
        </w:rPr>
        <w:t xml:space="preserve">2</w:t>
      </w:r>
      <w:r>
        <w:rPr>
          <w:rStyle w:val="OperatorTok"/>
          <w:rFonts w:ascii="Times New Roman" w:hAnsi="Times New Roman"/>
        </w:rPr>
        <w:t xml:space="preserve">);</w:t>
      </w:r>
      <w:r>
        <w:rPr>
          <w:rStyle w:val="NormalTok"/>
          <w:rFonts w:ascii="Times New Roman" w:hAnsi="Times New Roman"/>
        </w:rPr>
        <w:t xml:space="preserve"> Serial</w:t>
      </w:r>
      <w:r>
        <w:rPr>
          <w:rStyle w:val="OperatorTok"/>
          <w:rFonts w:ascii="Times New Roman" w:hAnsi="Times New Roman"/>
        </w:rPr>
        <w:t xml:space="preserve">.</w:t>
      </w:r>
      <w:r>
        <w:rPr>
          <w:rStyle w:val="NormalTok"/>
          <w:rFonts w:ascii="Times New Roman" w:hAnsi="Times New Roman"/>
        </w:rPr>
        <w:t xml:space="preserve">print</w:t>
      </w:r>
      <w:r>
        <w:rPr>
          <w:rStyle w:val="OperatorTok"/>
          <w:rFonts w:ascii="Times New Roman" w:hAnsi="Times New Roman"/>
        </w:rPr>
        <w:t xml:space="preserve">(</w:t>
      </w:r>
      <w:r>
        <w:rPr>
          <w:rStyle w:val="String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Serial</w:t>
      </w:r>
      <w:r>
        <w:rPr>
          <w:rStyle w:val="OperatorTok"/>
          <w:rFonts w:ascii="Times New Roman" w:hAnsi="Times New Roman"/>
        </w:rPr>
        <w:t xml:space="preserve">.</w:t>
      </w:r>
      <w:r>
        <w:rPr>
          <w:rStyle w:val="NormalTok"/>
          <w:rFonts w:ascii="Times New Roman" w:hAnsi="Times New Roman"/>
        </w:rPr>
        <w:t xml:space="preserve">println</w:t>
      </w:r>
      <w:r>
        <w:rPr>
          <w:rStyle w:val="OperatorTok"/>
          <w:rFonts w:ascii="Times New Roman" w:hAnsi="Times New Roman"/>
        </w:rPr>
        <w:t xml:space="preserve">(</w:t>
      </w:r>
      <w:r>
        <w:rPr>
          <w:rStyle w:val="NormalTok"/>
          <w:rFonts w:ascii="Times New Roman" w:hAnsi="Times New Roman"/>
        </w:rPr>
        <w:t xml:space="preserve">delta_R_per_h</w:t>
      </w:r>
      <w:r>
        <w:rPr>
          <w:rStyle w:val="OperatorTok"/>
          <w:rFonts w:ascii="Times New Roman" w:hAnsi="Times New Roman"/>
        </w:rPr>
        <w:t xml:space="preserve">,</w:t>
      </w:r>
      <w:r>
        <w:rPr>
          <w:rStyle w:val="NormalTok"/>
          <w:rFonts w:ascii="Times New Roman" w:hAnsi="Times New Roman"/>
        </w:rPr>
        <w:t xml:space="preserve"> </w:t>
      </w:r>
      <w:r>
        <w:rPr>
          <w:rStyle w:val="DecValTok"/>
          <w:rFonts w:ascii="Times New Roman" w:hAnsi="Times New Roman"/>
        </w:rPr>
        <w:t xml:space="preserve">8</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pinMode</w:t>
      </w:r>
      <w:r>
        <w:rPr>
          <w:rStyle w:val="OperatorTok"/>
          <w:rFonts w:ascii="Times New Roman" w:hAnsi="Times New Roman"/>
        </w:rPr>
        <w:t xml:space="preserve">(</w:t>
      </w:r>
      <w:r>
        <w:rPr>
          <w:rStyle w:val="NormalTok"/>
          <w:rFonts w:ascii="Times New Roman" w:hAnsi="Times New Roman"/>
        </w:rPr>
        <w:t xml:space="preserve">HX711_SCK_PIN</w:t>
      </w:r>
      <w:r>
        <w:rPr>
          <w:rStyle w:val="OperatorTok"/>
          <w:rFonts w:ascii="Times New Roman" w:hAnsi="Times New Roman"/>
        </w:rPr>
        <w:t xml:space="preserve">,</w:t>
      </w:r>
      <w:r>
        <w:rPr>
          <w:rStyle w:val="NormalTok"/>
          <w:rFonts w:ascii="Times New Roman" w:hAnsi="Times New Roman"/>
        </w:rPr>
        <w:t xml:space="preserve"> OUTPUT</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digitalWrite</w:t>
      </w:r>
      <w:r>
        <w:rPr>
          <w:rStyle w:val="OperatorTok"/>
          <w:rFonts w:ascii="Times New Roman" w:hAnsi="Times New Roman"/>
        </w:rPr>
        <w:t xml:space="preserve">(</w:t>
      </w:r>
      <w:r>
        <w:rPr>
          <w:rStyle w:val="NormalTok"/>
          <w:rFonts w:ascii="Times New Roman" w:hAnsi="Times New Roman"/>
        </w:rPr>
        <w:t xml:space="preserve">HX711_SCK_PIN</w:t>
      </w:r>
      <w:r>
        <w:rPr>
          <w:rStyle w:val="OperatorTok"/>
          <w:rFonts w:ascii="Times New Roman" w:hAnsi="Times New Roman"/>
        </w:rPr>
        <w:t xml:space="preserve">,</w:t>
      </w:r>
      <w:r>
        <w:rPr>
          <w:rStyle w:val="NormalTok"/>
          <w:rFonts w:ascii="Times New Roman" w:hAnsi="Times New Roman"/>
        </w:rPr>
        <w:t xml:space="preserve"> HIGH</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delayMicroseconds</w:t>
      </w:r>
      <w:r>
        <w:rPr>
          <w:rStyle w:val="OperatorTok"/>
          <w:rFonts w:ascii="Times New Roman" w:hAnsi="Times New Roman"/>
        </w:rPr>
        <w:t xml:space="preserve">(</w:t>
      </w:r>
      <w:r>
        <w:rPr>
          <w:rStyle w:val="DecValTok"/>
          <w:rFonts w:ascii="Times New Roman" w:hAnsi="Times New Roman"/>
        </w:rPr>
        <w:t xml:space="preserve">80</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esp_sleep_enable_timer_wakeup</w:t>
      </w:r>
      <w:r>
        <w:rPr>
          <w:rStyle w:val="OperatorTok"/>
          <w:rFonts w:ascii="Times New Roman" w:hAnsi="Times New Roman"/>
        </w:rPr>
        <w:t xml:space="preserve">(</w:t>
      </w:r>
      <w:r>
        <w:rPr>
          <w:rStyle w:val="NormalTok"/>
          <w:rFonts w:ascii="Times New Roman" w:hAnsi="Times New Roman"/>
        </w:rPr>
        <w:t xml:space="preserve">SLEEP_INTERVAL_US</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esp_deep_sleep_start</w:t>
      </w:r>
      <w:r>
        <w:rPr>
          <w:rStyle w:val="OperatorTok"/>
          <w:rFonts w:ascii="Times New Roman" w:hAnsi="Times New Roman"/>
        </w:rPr>
        <w:t xml:space="preserve">();</w:t>
      </w:r>
      <w:r>
        <w:rPr>
          <w:rFonts w:ascii="Times New Roman" w:hAnsi="Times New Roman"/>
        </w:rPr>
        <w:br/>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DataTypeTok"/>
          <w:rFonts w:ascii="Times New Roman" w:hAnsi="Times New Roman"/>
        </w:rPr>
        <w:t xml:space="preserve">void</w:t>
      </w:r>
      <w:r>
        <w:rPr>
          <w:rStyle w:val="NormalTok"/>
          <w:rFonts w:ascii="Times New Roman" w:hAnsi="Times New Roman"/>
        </w:rPr>
        <w:t xml:space="preserve"> loop</w:t>
      </w:r>
      <w:r>
        <w:rPr>
          <w:rStyle w:val="OperatorTok"/>
          <w:rFonts w:ascii="Times New Roman" w:hAnsi="Times New Roman"/>
        </w:rPr>
        <w:t xml:space="preserve">()</w:t>
      </w:r>
      <w:r>
        <w:rPr>
          <w:rStyle w:val="NormalTok"/>
          <w:rFonts w:ascii="Times New Roman" w:hAnsi="Times New Roman"/>
        </w:rPr>
        <w:t xml:space="preserve"> </w:t>
      </w:r>
      <w:r>
        <w:rPr>
          <w:rStyle w:val="OperatorTok"/>
          <w:rFonts w:ascii="Times New Roman" w:hAnsi="Times New Roman"/>
        </w:rPr>
        <w:t xml:space="preserve">{}</w:t>
      </w:r>
    </w:p>
    <w:bookmarkEnd w:id="145"/>
    <w:bookmarkStart w:id="146" w:name="Xc925492b32a91ab959f38e62fe675644732e821"/>
    <w:p>
      <w:pPr>
        <w:pStyle w:val="Heading2"/>
      </w:pPr>
      <w:r>
        <w:rPr>
          <w:rFonts w:ascii="Times New Roman" w:hAnsi="Times New Roman"/>
        </w:rPr>
        <w:t xml:space="preserve">Annexe B — Extrait du pipeline Python (feature engineering)</w:t>
      </w:r>
    </w:p>
    <w:p>
      <w:pPr>
        <w:pStyle w:val="FirstParagraph"/>
      </w:pPr>
      <w:r>
        <w:rPr>
          <w:rFonts w:ascii="Times New Roman" w:hAnsi="Times New Roman"/>
        </w:rPr>
        <w:t xml:space="preserve">Voir fichier</w:t>
      </w:r>
      <w:r>
        <w:rPr>
          <w:rFonts w:ascii="Times New Roman" w:hAnsi="Times New Roman"/>
        </w:rPr>
        <w:t xml:space="preserve"> </w:t>
      </w:r>
      <w:r>
        <w:rPr>
          <w:rStyle w:val="VerbatimChar"/>
          <w:rFonts w:ascii="Times New Roman" w:hAnsi="Times New Roman"/>
        </w:rPr>
        <w:t xml:space="preserve">pipeline/corrosion_pipeline.py</w:t>
      </w:r>
      <w:r>
        <w:rPr>
          <w:rFonts w:ascii="Times New Roman" w:hAnsi="Times New Roman"/>
        </w:rPr>
        <w:t xml:space="preserve"> </w:t>
      </w:r>
      <w:r>
        <w:rPr>
          <w:rFonts w:ascii="Times New Roman" w:hAnsi="Times New Roman"/>
        </w:rPr>
        <w:t xml:space="preserve">dans le répertoire du projet.</w:t>
      </w:r>
    </w:p>
    <w:bookmarkEnd w:id="146"/>
    <w:bookmarkStart w:id="147" w:name="X866633686f9e59acae75a6fcbe6327624079636"/>
    <w:p>
      <w:pPr>
        <w:pStyle w:val="Heading2"/>
      </w:pPr>
      <w:r>
        <w:rPr>
          <w:rFonts w:ascii="Times New Roman" w:hAnsi="Times New Roman"/>
        </w:rPr>
        <w:t xml:space="preserve">Annexe C — Schéma de câblage de la sonde ER</w:t>
      </w:r>
    </w:p>
    <w:p>
      <w:pPr>
        <w:pStyle w:val="FirstParagraph"/>
      </w:pPr>
      <w:r>
        <w:rPr>
          <w:rFonts w:ascii="Times New Roman" w:hAnsi="Times New Roman"/>
          <w:i/>
          <w:iCs/>
        </w:rPr>
        <w:t xml:space="preserve">(Schéma à insérer : ESP32 DevKit V1, HX711, pont de Wheatstone R1/R2/R_REF/Rx, DS18B20, résistances pull-up 4,7 kΩ et série 100 Ω)</w:t>
      </w:r>
    </w:p>
    <w:bookmarkEnd w:id="147"/>
    <w:bookmarkStart w:id="148" w:name="X8162eba6d3c808a71b484bf89168f5e4ba76936"/>
    <w:p>
      <w:pPr>
        <w:pStyle w:val="Heading2"/>
      </w:pPr>
      <w:r>
        <w:rPr>
          <w:rFonts w:ascii="Times New Roman" w:hAnsi="Times New Roman"/>
        </w:rPr>
        <w:t xml:space="preserve">Annexe D — Fiche de sécurité Detar Plus (résumé)</w:t>
      </w:r>
    </w:p>
    <w:p>
      <w:pPr>
        <w:pStyle w:val="FirstParagraph"/>
      </w:pPr>
      <w:r>
        <w:rPr>
          <w:rFonts w:ascii="Times New Roman" w:hAnsi="Times New Roman"/>
        </w:rPr>
        <w:t xml:space="preserve">Le Detar Plus est classifié comme produit corrosif (catégorie 1A pour les acides minéraux). Lors des manipulations, les équipements de protection individuelle (EPI) suivants sont obligatoires :</w:t>
      </w:r>
    </w:p>
    <w:p>
      <w:pPr>
        <w:pStyle w:val="Compact"/>
        <w:numPr>
          <w:ilvl w:val="0"/>
          <w:numId w:val="1022"/>
        </w:numPr>
      </w:pPr>
      <w:r>
        <w:rPr>
          <w:rFonts w:ascii="Times New Roman" w:hAnsi="Times New Roman"/>
        </w:rPr>
        <w:t xml:space="preserve">Lunettes de protection étanches aux projections liquides</w:t>
      </w:r>
    </w:p>
    <w:p>
      <w:pPr>
        <w:pStyle w:val="Compact"/>
        <w:numPr>
          <w:ilvl w:val="0"/>
          <w:numId w:val="1022"/>
        </w:numPr>
      </w:pPr>
      <w:r>
        <w:rPr>
          <w:rFonts w:ascii="Times New Roman" w:hAnsi="Times New Roman"/>
        </w:rPr>
        <w:t xml:space="preserve">Gants résistants aux acides (nitrile épaisseur ≥ 0,5 mm ou néoprène)</w:t>
      </w:r>
    </w:p>
    <w:p>
      <w:pPr>
        <w:pStyle w:val="Compact"/>
        <w:numPr>
          <w:ilvl w:val="0"/>
          <w:numId w:val="1022"/>
        </w:numPr>
      </w:pPr>
      <w:r>
        <w:rPr>
          <w:rFonts w:ascii="Times New Roman" w:hAnsi="Times New Roman"/>
        </w:rPr>
        <w:t xml:space="preserve">Blouse de laboratoire en coton</w:t>
      </w:r>
    </w:p>
    <w:p>
      <w:pPr>
        <w:pStyle w:val="Compact"/>
        <w:numPr>
          <w:ilvl w:val="0"/>
          <w:numId w:val="1022"/>
        </w:numPr>
      </w:pPr>
      <w:r>
        <w:rPr>
          <w:rFonts w:ascii="Times New Roman" w:hAnsi="Times New Roman"/>
        </w:rPr>
        <w:t xml:space="preserve">Hotte ou ventilation forcée lors de l’ouverture du récipient</w:t>
      </w:r>
    </w:p>
    <w:p>
      <w:pPr>
        <w:pStyle w:val="Compact"/>
        <w:numPr>
          <w:ilvl w:val="0"/>
          <w:numId w:val="1022"/>
        </w:numPr>
      </w:pPr>
      <w:r>
        <w:rPr>
          <w:rFonts w:ascii="Times New Roman" w:hAnsi="Times New Roman"/>
        </w:rPr>
        <w:t xml:space="preserve">Neutralisant (solution de bicarbonate de sodium, NaHCO₃) à proximité pour neutralisation en cas de déversement</w:t>
      </w:r>
    </w:p>
    <w:p>
      <w:pPr>
        <w:pStyle w:val="FirstParagraph"/>
      </w:pPr>
      <w:r>
        <w:rPr>
          <w:rFonts w:ascii="Times New Roman" w:hAnsi="Times New Roman"/>
        </w:rPr>
        <w:t xml:space="preserve">En cas de contact cutané : rincer abondamment à l’eau claire pendant au moins 15 minutes.</w:t>
      </w:r>
    </w:p>
    <w:bookmarkEnd w:id="148"/>
    <w:bookmarkStart w:id="149" w:name="X709c1525670716c9cbccba9287da08c9a00cb3f"/>
    <w:p>
      <w:pPr>
        <w:pStyle w:val="Heading2"/>
      </w:pPr>
      <w:r>
        <w:rPr>
          <w:rFonts w:ascii="Times New Roman" w:hAnsi="Times New Roman"/>
        </w:rPr>
        <w:t xml:space="preserve">Annexe E — Fiche technique AC PROTECT 106 (résumé)</w:t>
      </w:r>
    </w:p>
    <w:p>
      <w:pPr>
        <w:pStyle w:val="FirstParagraph"/>
      </w:pPr>
      <w:r>
        <w:rPr>
          <w:rFonts w:ascii="Times New Roman" w:hAnsi="Times New Roman"/>
        </w:rPr>
        <w:t xml:space="preserve">AC PROTECT 106 est un inhibiteur de corrosion industriel à base d’imidazoline, commercialisé pour la protection des installations pétrolières et gazières. Ses caractéristiques principales sont :</w:t>
      </w:r>
    </w:p>
    <w:p>
      <w:pPr>
        <w:pStyle w:val="Compact"/>
        <w:numPr>
          <w:ilvl w:val="0"/>
          <w:numId w:val="1023"/>
        </w:numPr>
      </w:pPr>
      <w:r>
        <w:rPr>
          <w:rFonts w:ascii="Times New Roman" w:hAnsi="Times New Roman"/>
          <w:b/>
          <w:bCs/>
        </w:rPr>
        <w:t xml:space="preserve">Mécanisme d’action</w:t>
      </w:r>
      <w:r>
        <w:rPr>
          <w:rFonts w:ascii="Times New Roman" w:hAnsi="Times New Roman"/>
        </w:rPr>
        <w:t xml:space="preserve"> </w:t>
      </w:r>
      <w:r>
        <w:rPr>
          <w:rFonts w:ascii="Times New Roman" w:hAnsi="Times New Roman"/>
        </w:rPr>
        <w:t xml:space="preserve">: adsorption d’une couche monomoléculaire sur la surface métallique par l’atome d’azote de l’imidazoline</w:t>
      </w:r>
    </w:p>
    <w:p>
      <w:pPr>
        <w:pStyle w:val="Compact"/>
        <w:numPr>
          <w:ilvl w:val="0"/>
          <w:numId w:val="1023"/>
        </w:numPr>
      </w:pPr>
      <w:r>
        <w:rPr>
          <w:rFonts w:ascii="Times New Roman" w:hAnsi="Times New Roman"/>
          <w:b/>
          <w:bCs/>
        </w:rPr>
        <w:t xml:space="preserve">Efficacité déclarée</w:t>
      </w:r>
      <w:r>
        <w:rPr>
          <w:rFonts w:ascii="Times New Roman" w:hAnsi="Times New Roman"/>
        </w:rPr>
        <w:t xml:space="preserve"> </w:t>
      </w:r>
      <w:r>
        <w:rPr>
          <w:rFonts w:ascii="Times New Roman" w:hAnsi="Times New Roman"/>
        </w:rPr>
        <w:t xml:space="preserve">: η &gt; 90 % en milieu HCl à 1 N (données fabricant)</w:t>
      </w:r>
    </w:p>
    <w:p>
      <w:pPr>
        <w:pStyle w:val="Compact"/>
        <w:numPr>
          <w:ilvl w:val="0"/>
          <w:numId w:val="1023"/>
        </w:numPr>
      </w:pPr>
      <w:r>
        <w:rPr>
          <w:rFonts w:ascii="Times New Roman" w:hAnsi="Times New Roman"/>
          <w:b/>
          <w:bCs/>
        </w:rPr>
        <w:t xml:space="preserve">Concentrations d’utilisation</w:t>
      </w:r>
      <w:r>
        <w:rPr>
          <w:rFonts w:ascii="Times New Roman" w:hAnsi="Times New Roman"/>
        </w:rPr>
        <w:t xml:space="preserve"> </w:t>
      </w:r>
      <w:r>
        <w:rPr>
          <w:rFonts w:ascii="Times New Roman" w:hAnsi="Times New Roman"/>
        </w:rPr>
        <w:t xml:space="preserve">: 0,05 à 1,0 % v/v selon la sévérité de l’environnement</w:t>
      </w:r>
    </w:p>
    <w:p>
      <w:pPr>
        <w:pStyle w:val="Compact"/>
        <w:numPr>
          <w:ilvl w:val="0"/>
          <w:numId w:val="1023"/>
        </w:numPr>
      </w:pPr>
      <w:r>
        <w:rPr>
          <w:rFonts w:ascii="Times New Roman" w:hAnsi="Times New Roman"/>
          <w:b/>
          <w:bCs/>
        </w:rPr>
        <w:t xml:space="preserve">Compatibilité</w:t>
      </w:r>
      <w:r>
        <w:rPr>
          <w:rFonts w:ascii="Times New Roman" w:hAnsi="Times New Roman"/>
        </w:rPr>
        <w:t xml:space="preserve"> </w:t>
      </w:r>
      <w:r>
        <w:rPr>
          <w:rFonts w:ascii="Times New Roman" w:hAnsi="Times New Roman"/>
        </w:rPr>
        <w:t xml:space="preserve">: compatible avec les aciers au carbone, à éviter avec les alliages à base de cuivre</w:t>
      </w:r>
    </w:p>
    <w:p>
      <w:pPr>
        <w:pStyle w:val="Compact"/>
        <w:numPr>
          <w:ilvl w:val="0"/>
          <w:numId w:val="1023"/>
        </w:numPr>
      </w:pPr>
      <w:r>
        <w:rPr>
          <w:rFonts w:ascii="Times New Roman" w:hAnsi="Times New Roman"/>
          <w:b/>
          <w:bCs/>
        </w:rPr>
        <w:t xml:space="preserve">Stockage</w:t>
      </w:r>
      <w:r>
        <w:rPr>
          <w:rFonts w:ascii="Times New Roman" w:hAnsi="Times New Roman"/>
        </w:rPr>
        <w:t xml:space="preserve"> </w:t>
      </w:r>
      <w:r>
        <w:rPr>
          <w:rFonts w:ascii="Times New Roman" w:hAnsi="Times New Roman"/>
        </w:rPr>
        <w:t xml:space="preserve">: récipient hermétique, à l’abri de la chaleur et des sources d’ignition</w:t>
      </w:r>
    </w:p>
    <w:bookmarkEnd w:id="149"/>
    <w:bookmarkEnd w:id="150"/>
    <w:sectPr>
      <w:footnotePr>
        <w:numRestart w:val="eachSect"/>
      </w:footnotePr>
      <w:pgMar w:top="1701" w:bottom="1701" w:left="1701"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jc w:val="both"/>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60"/>
      <w:jc w:val="left"/>
      <w:outlineLvl w:val="0"/>
    </w:pPr>
    <w:rPr>
      <w:rFonts w:asciiTheme="majorHAnsi" w:cstheme="majorBidi" w:eastAsiaTheme="majorEastAsia" w:hAnsiTheme="majorHAnsi" w:ascii="Times New Roman" w:hAnsi="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360"/>
      <w:jc w:val="left"/>
      <w:outlineLvl w:val="1"/>
    </w:pPr>
    <w:rPr>
      <w:rFonts w:asciiTheme="majorHAnsi" w:cstheme="majorBidi" w:eastAsiaTheme="majorEastAsia" w:hAnsiTheme="majorHAnsi" w:ascii="Times New Roman" w:hAnsi="Times New Roman"/>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60" w:before="360"/>
      <w:jc w:val="left"/>
      <w:outlineLvl w:val="2"/>
    </w:pPr>
    <w:rPr>
      <w:rFonts w:cstheme="majorBidi" w:eastAsiaTheme="majorEastAsia" w:ascii="Times New Roman" w:hAnsi="Times New Roman"/>
      <w:b/>
      <w:color w:val="333333"/>
      <w:sz w:val="24"/>
      <w:szCs w:val="28"/>
    </w:rPr>
  </w:style>
  <w:style w:styleId="Heading4" w:type="paragraph">
    <w:name w:val="heading 4"/>
    <w:basedOn w:val="Normal"/>
    <w:next w:val="BodyText"/>
    <w:link w:val="Heading4Char"/>
    <w:uiPriority w:val="9"/>
    <w:semiHidden/>
    <w:unhideWhenUsed/>
    <w:qFormat/>
    <w:rsid w:val="00A10FD9"/>
    <w:pPr>
      <w:keepNext/>
      <w:keepLines/>
      <w:spacing w:after="160" w:before="360"/>
      <w:jc w:val="left"/>
      <w:outlineLvl w:val="3"/>
    </w:pPr>
    <w:rPr>
      <w:rFonts w:cstheme="majorBidi" w:eastAsiaTheme="majorEastAsia" w:ascii="Times New Roman" w:hAnsi="Times New Roman"/>
      <w:b w:val="0"/>
      <w:i/>
      <w:iCs/>
      <w:color w:val="333333"/>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de maintenance prédictive de la corrosion par apprentissage automatique : conception d’une sonde ER low-cost, acquisition IoT et prédiction du taux de corrosion et de la durée de vie résiduelle par XGBoost</dc:title>
  <dc:creator>BATOUMBI IKOND Ricky Parfait</dc:creator>
  <cp:keywords/>
  <dcterms:created xsi:type="dcterms:W3CDTF">2026-04-28T00:37:28Z</dcterms:created>
  <dcterms:modified xsi:type="dcterms:W3CDTF">2026-04-28T00:37:28Z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filiere">
    <vt:lpwstr>Master 2 — Maintenance Industrielle</vt:lpwstr>
  </property>
  <property fmtid="{D5CDD505-2E9C-101B-9397-08002B2CF9AE}" pid="4" name="institution">
    <vt:lpwstr>École Nationale Supérieure Polytechnique de Douala (ENSPD)</vt:lpwstr>
  </property>
</Properties>
</file>