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l’encadrement professionnel de :</w:t>
      </w:r>
      <w:r>
        <w:t xml:space="preserve"> </w:t>
      </w:r>
      <w:r>
        <w:t xml:space="preserve">M. FEZEU (COTCO)</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un stage de fin d’études sanctionné par la rédaction d’un mémoire. Ce stage nous a conduit au sein 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constituait le cœur de notre mission, dans un contexte industriel où les outils de maintenance prédictive restaient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disponibilité)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régime diagnostiqué) ; (iv) de calculer les KPIs maintenance (MTBF, MTTR, disponibilité,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disponibilité), avec une couverture fonctionnelle équivalente aux GMAO propriétaires (SAP PM, IBM Maximo) sans coût de licence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Architecture d’intégration au CMMS open-source par API REST</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 pont et le montage Kelvin, plus complexes à câbler et sensibles au mode commun de l’amplificateur dans notre configuration, ont été</w:t>
      </w:r>
      <w:r>
        <w:t xml:space="preserve"> </w:t>
      </w:r>
      <w:r>
        <w:rPr>
          <w:b/>
          <w:bCs/>
        </w:rPr>
        <w:t xml:space="preserve">écartés après essais</w:t>
      </w:r>
      <w:r>
        <w:t xml:space="preserve">. Dans le cadre de ce travail, nous retenons le</w:t>
      </w:r>
      <w:r>
        <w:t xml:space="preserve"> </w:t>
      </w:r>
      <w:r>
        <w:rPr>
          <w:b/>
          <w:bCs/>
        </w:rPr>
        <w:t xml:space="preserve">montage 2 fils à injection de courant</w:t>
      </w:r>
      <w:r>
        <w:t xml:space="preserve">, le plus simple et le plus stable avec les composants disponibles localement.</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bookmarkEnd w:id="91"/>
    <w:bookmarkStart w:id="92"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sont calibrés empiriquement à partir des distributions observées dans les runs de référence, ce qui constitue une démarche reproductible.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:2015</w:t>
      </w:r>
      <w:r>
        <w:t xml:space="preserve"> </w:t>
      </w:r>
      <w:r>
        <w:t xml:space="preserve">sur la maintenance prévisionnelle (ISO, 2015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r>
        <w:pict>
          <v:rect style="width:0;height:1.5pt" o:hralign="center" o:hrstd="t" o:hr="t"/>
        </w:pict>
      </w:r>
    </w:p>
    <w:bookmarkEnd w:id="103"/>
    <w:bookmarkEnd w:id="104"/>
    <w:bookmarkStart w:id="114" w:name="X358e7e995ad73683a6412031f4f03c34e5efee7"/>
    <w:p>
      <w:pPr>
        <w:pStyle w:val="Heading2"/>
      </w:pPr>
      <w:r>
        <w:t xml:space="preserve">II.7. Architecture d’intégration au CMMS open-source par API REST (OS4)</w:t>
      </w:r>
    </w:p>
    <w:bookmarkStart w:id="105"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28"/>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29"/>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29"/>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29"/>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29"/>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 CMMS open-source"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111"/>
    <w:bookmarkStart w:id="112"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TableCaption"/>
        <w:jc w:val="center"/>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12"/>
    <w:bookmarkStart w:id="113"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2fcd0cac7e9704048ca337c06389a4788eb8bc7"/>
    <w:p>
      <w:pPr>
        <w:pStyle w:val="Heading2"/>
      </w:pPr>
      <w:r>
        <w:t xml:space="preserve">III.5. Intégration au CMMS open-source — démonstration (OS4)</w:t>
      </w:r>
    </w:p>
    <w:p>
      <w:pPr>
        <w:pStyle w:val="FirstParagraph"/>
      </w:pPr>
      <w:r>
        <w:t xml:space="preserve">La boucle décision → action peut être structurée de deux manières : développer une GMAO</w:t>
      </w:r>
      <w:r>
        <w:t xml:space="preserve"> </w:t>
      </w:r>
      <w:r>
        <w:rPr>
          <w:i/>
          <w:iCs/>
        </w:rPr>
        <w:t xml:space="preserve">ex nihilo</w:t>
      </w:r>
      <w:r>
        <w:t xml:space="preserve">, ou intégrer un CMMS open-source existant (§II.7.1). Conformément au choix retenu, cette section présente l’état de l’intégration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iii.5.2.-mapping-alerte-ticket-et-kpis"/>
    <w:p>
      <w:pPr>
        <w:pStyle w:val="Heading3"/>
      </w:pPr>
      <w:r>
        <w:t xml:space="preserve">III.5.2. Mapping alerte → ticket et KPIs</w:t>
      </w:r>
    </w:p>
    <w:p>
      <w:pPr>
        <w:pStyle w:val="FirstParagraph"/>
      </w:pPr>
      <w:r>
        <w:t xml:space="preserve">Le mapping entre une prédiction et un ticket CMMS (GLPI) a été spécifié (§II.7.5) : une alerte rouge génère un ordre de travail enrichi (CR, RUL, régime diagnostiqué, top-3 SHAP). Les KPIs de maintenance (MTBF, MTTR, disponibilité, taux de fausses alertes) sont calculables côté CMMS à partir de l’historique des interventions.</w:t>
      </w:r>
    </w:p>
    <w:p>
      <w:pPr>
        <w:pStyle w:val="BlockText"/>
      </w:pPr>
      <w:r>
        <w:rPr>
          <w:b/>
          <w:bCs/>
        </w:rPr>
        <w:t xml:space="preserve">État d’avancement.</w:t>
      </w:r>
      <w:r>
        <w:t xml:space="preserve"> </w:t>
      </w:r>
      <w:r>
        <w:t xml:space="preserve">L’écran de supervision est opérationnel ; la connexion automatisée au CMMS GLPI et le calcul des KPIs sur un historique significatif sont en cours de finalisation.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214b26120ab300992a552aa7f141acb6973da35"/>
    <w:p>
      <w:pPr>
        <w:pStyle w:val="Heading3"/>
      </w:pPr>
      <w:r>
        <w:t xml:space="preserve">III.6.3. Apport de l’intégration au CMMS open-source</w:t>
      </w:r>
    </w:p>
    <w:p>
      <w:pPr>
        <w:pStyle w:val="FirstParagraph"/>
      </w:pPr>
      <w:r>
        <w:t xml:space="preserve">L’intégration à un CMMS open-source (GLPI) plutôt qu’un développement</w:t>
      </w:r>
      <w:r>
        <w:t xml:space="preserve"> </w:t>
      </w:r>
      <w:r>
        <w:rPr>
          <w:i/>
          <w:iCs/>
        </w:rPr>
        <w:t xml:space="preserve">ex nihilo</w:t>
      </w:r>
      <w:r>
        <w:t xml:space="preserve"> </w:t>
      </w:r>
      <w:r>
        <w:t xml:space="preserve">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est opérationnel et le mapping vers le CMMS spécifié, la finalisation de l’automatisation étant en cours.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2"/>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2"/>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(1999).</w:t>
      </w:r>
      <w:r>
        <w:t xml:space="preserve"> </w:t>
      </w:r>
      <w:r>
        <w:rPr>
          <w:i/>
          <w:iCs/>
        </w:rPr>
        <w:t xml:space="preserve">Loi n° 99/013 du 22 décembre 1999 portant Code Pétrolier</w:t>
      </w:r>
      <w:r>
        <w:t xml:space="preserve">.</w:t>
      </w:r>
    </w:p>
    <w:p>
      <w:pPr>
        <w:numPr>
          <w:ilvl w:val="0"/>
          <w:numId w:val="1032"/>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2"/>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(2015a).</w:t>
      </w:r>
      <w:r>
        <w:t xml:space="preserve"> </w:t>
      </w:r>
      <w:r>
        <w:rPr>
          <w:i/>
          <w:iCs/>
        </w:rPr>
        <w:t xml:space="preserve">ISO 8044:2015 — Corrosion of metals and alloys — Basic terms and definitions</w:t>
      </w:r>
      <w:r>
        <w:t xml:space="preserve">.</w:t>
      </w:r>
    </w:p>
    <w:p>
      <w:pPr>
        <w:numPr>
          <w:ilvl w:val="0"/>
          <w:numId w:val="1032"/>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r>
        <w:br w:type="page"/>
      </w:r>
    </w:p>
    <w:bookmarkEnd w:id="164"/>
    <w:bookmarkStart w:id="178"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HDP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HDPE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4"/>
        </w:numPr>
      </w:pPr>
      <w:r>
        <w:rPr>
          <w:b/>
          <w:bCs/>
        </w:rPr>
        <w:t xml:space="preserve">Chauffe-eau d’aquarium</w:t>
      </w:r>
      <w:r>
        <w:t xml:space="preserve"> </w:t>
      </w:r>
      <w:r>
        <w:t xml:space="preserve">à thermostat intégré, puissance 25 W, plage de consigne 16–35 °C ;</w:t>
      </w:r>
    </w:p>
    <w:p>
      <w:pPr>
        <w:pStyle w:val="Compact"/>
        <w:numPr>
          <w:ilvl w:val="0"/>
          <w:numId w:val="1034"/>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4"/>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4"/>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End w:id="178"/>
    <w:bookmarkStart w:id="179"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79"/>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2026-06-23T14:35:07Z</dcterms:created>
  <dcterms:modified xsi:type="dcterms:W3CDTF">2026-06-23T14:35:07Z</dcterms:modified>
</cp:coreProperties>
</file>

<file path=docProps/custom.xml><?xml version="1.0" encoding="utf-8"?>
<Properties xmlns="http://schemas.openxmlformats.org/officeDocument/2006/custom-properties" xmlns:vt="http://schemas.openxmlformats.org/officeDocument/2006/docPropsVTypes"/>
</file>