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Scoping: FLIP Central Hub on-prem</w:t>
      </w:r>
    </w:p>
    <w:p>
      <w:pPr>
        <w:pStyle w:val="Heading1"/>
      </w:pPr>
      <w:r>
        <w:t>Plain-language overview</w:t>
      </w:r>
    </w:p>
    <w:p>
      <w:r>
        <w:t>Today the Central Hub runs on AWS and outsources roughly a dozen "platform" responsibilities to managed services: Cognito for user auth, RDS for the Postgres database, S3 for model/FL artefact storage, SES for transactional email, Secrets Manager for runtime credentials, ACM/Route53/CloudFront/ALB/NLB for the public TLS+DNS+load-balancing tier, and SSM for SSH-less host access. The application code itself is a fairly conventional FastAPI + Vue stack, so the on-prem question is mostly *"what replaces each of those AWS services, and how invasive is the change inside the codebase?"* rather than *"can the app run outside AWS at all?"*. Most of the running code (the trust-polling state machine, the per-trust API-key auth, the FL-server↔flip-api comms, the Postgres data model) is cloud-neutral and would not need to change.</w:t>
      </w:r>
    </w:p>
    <w:p>
      <w:r>
        <w:t xml:space="preserve">The shift is mostly a deployment + integration shift, with one big application-level wrinkle: </w:t>
      </w:r>
      <w:r>
        <w:rPr>
          <w:b/>
        </w:rPr>
        <w:t>Cognito is hard-wired into the UI via `aws-amplify`</w:t>
      </w:r>
      <w:r>
        <w:t xml:space="preserve">, and the hub uses the Cognito admin SDK from the API to create/disable/delete users and rotate tokens. Nothing else has the same depth of coupling — S3, SES, and Secrets Manager are each touched in one or two helper modules and could be hidden behind a thin abstraction or swapped to S3-compatible (MinIO) / SMTP / env-vars without touching call sites. Cognito, by contrast, is deeply visible in </w:t>
      </w:r>
      <w:r>
        <w:rPr>
          <w:rFonts w:ascii="Consolas" w:hAnsi="Consolas"/>
          <w:sz w:val="20"/>
        </w:rPr>
        <w:t>flip-ui</w:t>
      </w:r>
      <w:r>
        <w:t>'s login flow, token refresh, and user-attribute fetching; replacing it with Keycloak/Authentik/Dex would be a real UI refactor (auth store, Hub events, JWT verification on the API side). For a TRE-style deployment, the cleanest first step is often to keep the user pool but stand everything else up locally — a "hybrid" mode — and only attack Cognito later when the customer can't tolerate any cloud dependency.</w:t>
      </w:r>
    </w:p>
    <w:p>
      <w:r>
        <w:t xml:space="preserve">There's also a </w:t>
      </w:r>
      <w:r>
        <w:rPr>
          <w:b/>
        </w:rPr>
        <w:t>deployment-topology</w:t>
      </w:r>
      <w:r>
        <w:t xml:space="preserve"> question that's separate from "which AWS services do we replace". Today the hub sits in front of CloudFront and an ALB with a public DNS name and an ACM cert, and trusts dial in over the public internet using their per-trust API key. On-prem, the host institution will almost certainly already have its own DNS server, internal CA / wildcard cert, and reverse-proxy / WAF policy. The right pattern is not to re-create CloudFront+ALB+ACM with Nginx — it's to expose flip-api and flip-ui as plain HTTPS services behind whatever the institution already runs (Nginx, Traefik, F5, Apache), let them terminate TLS with their own cert, and let their DNS resolve the canonical hostname. The deploy artifact we ship is just the Docker Compose stack + an Ansible playbook (modeled on the existing on-prem trust playbook in </w:t>
      </w:r>
      <w:r>
        <w:rPr>
          <w:rFonts w:ascii="Consolas" w:hAnsi="Consolas"/>
          <w:sz w:val="20"/>
        </w:rPr>
        <w:t>deploy/providers/local/</w:t>
      </w:r>
      <w:r>
        <w:t>) and clear documentation of the ports and TLS-termination contract.</w:t>
      </w:r>
    </w:p>
    <w:p>
      <w:r>
        <w:t xml:space="preserve">Three deployment variants are worth designing for explicitly: </w:t>
      </w:r>
      <w:r>
        <w:rPr>
          <w:b/>
        </w:rPr>
        <w:t>(A) fully on-prem</w:t>
      </w:r>
      <w:r>
        <w:t xml:space="preserve"> (TRE-style, possibly air-gapped — needs an image registry mirror, no Cognito, no SES, no Secrets Manager); </w:t>
      </w:r>
      <w:r>
        <w:rPr>
          <w:b/>
        </w:rPr>
        <w:t>(B) hybrid</w:t>
      </w:r>
      <w:r>
        <w:t xml:space="preserve"> (hub on-prem, but auth/email/object storage stay on AWS — fastest path to a customer pilot); </w:t>
      </w:r>
      <w:r>
        <w:rPr>
          <w:b/>
        </w:rPr>
        <w:t>(C) on-prem with cloud backstop</w:t>
      </w:r>
      <w:r>
        <w:t xml:space="preserve"> (auth on-prem, but disaster-recovery snapshots ship to S3). Variant B is the cheapest deliverable, A is the goal, C is a likely real-world ask. The code changes for B are roughly *"make the AWS endpoints configurable and remove production-mode assumptions about Secrets Manager"*; A additionally requires the Cognito-replacement work and an institutional-IdP integration; C is mostly an ops add-on once A or B exists.</w:t>
      </w:r>
    </w:p>
    <w:p>
      <w:pPr>
        <w:pStyle w:val="Heading1"/>
      </w:pPr>
      <w:r>
        <w:t>What changes — at a glance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vAlign w:val="top"/>
          </w:tcPr>
          <w:p>
            <w:r/>
            <w:r>
              <w:rPr>
                <w:b/>
              </w:rPr>
              <w:t>Area</w:t>
            </w:r>
          </w:p>
        </w:tc>
        <w:tc>
          <w:tcPr>
            <w:tcW w:type="dxa" w:w="1728"/>
            <w:vAlign w:val="top"/>
          </w:tcPr>
          <w:p>
            <w:r/>
            <w:r>
              <w:rPr>
                <w:b/>
              </w:rPr>
              <w:t>Today (AWS)</w:t>
            </w:r>
          </w:p>
        </w:tc>
        <w:tc>
          <w:tcPr>
            <w:tcW w:type="dxa" w:w="1728"/>
            <w:vAlign w:val="top"/>
          </w:tcPr>
          <w:p>
            <w:r/>
            <w:r>
              <w:rPr>
                <w:b/>
              </w:rPr>
              <w:t>On-prem replacement</w:t>
            </w:r>
          </w:p>
        </w:tc>
        <w:tc>
          <w:tcPr>
            <w:tcW w:type="dxa" w:w="1728"/>
            <w:vAlign w:val="top"/>
          </w:tcPr>
          <w:p>
            <w:r/>
            <w:r>
              <w:rPr>
                <w:b/>
              </w:rPr>
              <w:t>Effort</w:t>
            </w:r>
          </w:p>
        </w:tc>
        <w:tc>
          <w:tcPr>
            <w:tcW w:type="dxa" w:w="1728"/>
            <w:vAlign w:val="top"/>
          </w:tcPr>
          <w:p>
            <w:r/>
            <w:r>
              <w:rPr>
                <w:b/>
              </w:rPr>
              <w:t>Notes</w:t>
            </w:r>
          </w:p>
        </w:tc>
      </w:tr>
      <w:tr>
        <w:tc>
          <w:tcPr>
            <w:tcW w:type="dxa" w:w="1728"/>
            <w:vAlign w:val="top"/>
          </w:tcPr>
          <w:p>
            <w:r/>
            <w:r>
              <w:t>User auth (UI + API)</w:t>
            </w:r>
          </w:p>
        </w:tc>
        <w:tc>
          <w:tcPr>
            <w:tcW w:type="dxa" w:w="1728"/>
            <w:vAlign w:val="top"/>
          </w:tcPr>
          <w:p>
            <w:r/>
            <w:r>
              <w:t xml:space="preserve">Cognito + </w:t>
            </w:r>
            <w:r>
              <w:rPr>
                <w:rFonts w:ascii="Consolas" w:hAnsi="Consolas"/>
                <w:sz w:val="20"/>
              </w:rPr>
              <w:t>aws-amplify</w:t>
            </w:r>
            <w:r>
              <w:t xml:space="preserve"> v6 + JWKS verify</w:t>
            </w:r>
          </w:p>
        </w:tc>
        <w:tc>
          <w:tcPr>
            <w:tcW w:type="dxa" w:w="1728"/>
            <w:vAlign w:val="top"/>
          </w:tcPr>
          <w:p>
            <w:r/>
            <w:r>
              <w:t xml:space="preserve">Keycloak / Authentik / Dex (OIDC); </w:t>
            </w:r>
            <w:r>
              <w:rPr>
                <w:rFonts w:ascii="Consolas" w:hAnsi="Consolas"/>
                <w:sz w:val="20"/>
              </w:rPr>
              <w:t>oidc-client-ts</w:t>
            </w:r>
            <w:r>
              <w:t xml:space="preserve"> in UI; PyJWT against a configurable JWKS URL</w:t>
            </w:r>
          </w:p>
        </w:tc>
        <w:tc>
          <w:tcPr>
            <w:tcW w:type="dxa" w:w="1728"/>
            <w:vAlign w:val="top"/>
          </w:tcPr>
          <w:p>
            <w:r/>
            <w:r>
              <w:t>High</w:t>
            </w:r>
          </w:p>
        </w:tc>
        <w:tc>
          <w:tcPr>
            <w:tcW w:type="dxa" w:w="1728"/>
            <w:vAlign w:val="top"/>
          </w:tcPr>
          <w:p>
            <w:r/>
            <w:r>
              <w:t>Hardest single piece. Touches login, token refresh, password reset, user CRUD, admin disable/enable.</w:t>
            </w:r>
          </w:p>
        </w:tc>
      </w:tr>
      <w:tr>
        <w:tc>
          <w:tcPr>
            <w:tcW w:type="dxa" w:w="1728"/>
            <w:vAlign w:val="top"/>
          </w:tcPr>
          <w:p>
            <w:r/>
            <w:r>
              <w:t>Object storage (5 buckets)</w:t>
            </w:r>
          </w:p>
        </w:tc>
        <w:tc>
          <w:tcPr>
            <w:tcW w:type="dxa" w:w="1728"/>
            <w:vAlign w:val="top"/>
          </w:tcPr>
          <w:p>
            <w:r/>
            <w:r>
              <w:t xml:space="preserve">S3 via </w:t>
            </w:r>
            <w:r>
              <w:rPr>
                <w:rFonts w:ascii="Consolas" w:hAnsi="Consolas"/>
                <w:sz w:val="20"/>
              </w:rPr>
              <w:t>boto3</w:t>
            </w:r>
            <w:r>
              <w:t xml:space="preserve"> with bucket env vars</w:t>
            </w:r>
          </w:p>
        </w:tc>
        <w:tc>
          <w:tcPr>
            <w:tcW w:type="dxa" w:w="1728"/>
            <w:vAlign w:val="top"/>
          </w:tcPr>
          <w:p>
            <w:r/>
            <w:r>
              <w:t xml:space="preserve">MinIO (S3-compatible) — same </w:t>
            </w:r>
            <w:r>
              <w:rPr>
                <w:rFonts w:ascii="Consolas" w:hAnsi="Consolas"/>
                <w:sz w:val="20"/>
              </w:rPr>
              <w:t>boto3</w:t>
            </w:r>
            <w:r>
              <w:t xml:space="preserve"> client with </w:t>
            </w:r>
            <w:r>
              <w:rPr>
                <w:rFonts w:ascii="Consolas" w:hAnsi="Consolas"/>
                <w:sz w:val="20"/>
              </w:rPr>
              <w:t>endpoint_url</w:t>
            </w:r>
            <w:r>
              <w:t xml:space="preserve"> set</w:t>
            </w:r>
          </w:p>
        </w:tc>
        <w:tc>
          <w:tcPr>
            <w:tcW w:type="dxa" w:w="1728"/>
            <w:vAlign w:val="top"/>
          </w:tcPr>
          <w:p>
            <w:r/>
            <w:r>
              <w:t>Low</w:t>
            </w:r>
          </w:p>
        </w:tc>
        <w:tc>
          <w:tcPr>
            <w:tcW w:type="dxa" w:w="1728"/>
            <w:vAlign w:val="top"/>
          </w:tcPr>
          <w:p>
            <w:r/>
            <w:r>
              <w:t xml:space="preserve">Drop-in if </w:t>
            </w:r>
            <w:r>
              <w:rPr>
                <w:rFonts w:ascii="Consolas" w:hAnsi="Consolas"/>
                <w:sz w:val="20"/>
              </w:rPr>
              <w:t>s3_client.py</w:t>
            </w:r>
            <w:r>
              <w:t xml:space="preserve"> accepts an endpoint URL; CORS config also needs translating.</w:t>
            </w:r>
          </w:p>
        </w:tc>
      </w:tr>
      <w:tr>
        <w:tc>
          <w:tcPr>
            <w:tcW w:type="dxa" w:w="1728"/>
            <w:vAlign w:val="top"/>
          </w:tcPr>
          <w:p>
            <w:r/>
            <w:r>
              <w:t>Email</w:t>
            </w:r>
          </w:p>
        </w:tc>
        <w:tc>
          <w:tcPr>
            <w:tcW w:type="dxa" w:w="1728"/>
            <w:vAlign w:val="top"/>
          </w:tcPr>
          <w:p>
            <w:r/>
            <w:r>
              <w:t>SES v2 templated send</w:t>
            </w:r>
          </w:p>
        </w:tc>
        <w:tc>
          <w:tcPr>
            <w:tcW w:type="dxa" w:w="1728"/>
            <w:vAlign w:val="top"/>
          </w:tcPr>
          <w:p>
            <w:r/>
            <w:r>
              <w:t xml:space="preserve">SMTP via </w:t>
            </w:r>
            <w:r>
              <w:rPr>
                <w:rFonts w:ascii="Consolas" w:hAnsi="Consolas"/>
                <w:sz w:val="20"/>
              </w:rPr>
              <w:t>aiosmtplib</w:t>
            </w:r>
            <w:r>
              <w:t xml:space="preserve"> or </w:t>
            </w:r>
            <w:r>
              <w:rPr>
                <w:rFonts w:ascii="Consolas" w:hAnsi="Consolas"/>
                <w:sz w:val="20"/>
              </w:rPr>
              <w:t>smtplib</w:t>
            </w:r>
            <w:r>
              <w:t>; render templates in-app</w:t>
            </w:r>
          </w:p>
        </w:tc>
        <w:tc>
          <w:tcPr>
            <w:tcW w:type="dxa" w:w="1728"/>
            <w:vAlign w:val="top"/>
          </w:tcPr>
          <w:p>
            <w:r/>
            <w:r>
              <w:t>Medium</w:t>
            </w:r>
          </w:p>
        </w:tc>
        <w:tc>
          <w:tcPr>
            <w:tcW w:type="dxa" w:w="1728"/>
            <w:vAlign w:val="top"/>
          </w:tcPr>
          <w:p>
            <w:r/>
            <w:r>
              <w:t>3 transactional templates to port out of SES (access-request, xnat-credentials, project-access).</w:t>
            </w:r>
          </w:p>
        </w:tc>
      </w:tr>
      <w:tr>
        <w:tc>
          <w:tcPr>
            <w:tcW w:type="dxa" w:w="1728"/>
            <w:vAlign w:val="top"/>
          </w:tcPr>
          <w:p>
            <w:r/>
            <w:r>
              <w:t>Runtime secrets</w:t>
            </w:r>
          </w:p>
        </w:tc>
        <w:tc>
          <w:tcPr>
            <w:tcW w:type="dxa" w:w="1728"/>
            <w:vAlign w:val="top"/>
          </w:tcPr>
          <w:p>
            <w:r/>
            <w:r>
              <w:t xml:space="preserve">Secrets Manager fetch in </w:t>
            </w:r>
            <w:r>
              <w:rPr>
                <w:rFonts w:ascii="Consolas" w:hAnsi="Consolas"/>
                <w:sz w:val="20"/>
              </w:rPr>
              <w:t>ProdSettings</w:t>
            </w:r>
          </w:p>
        </w:tc>
        <w:tc>
          <w:tcPr>
            <w:tcW w:type="dxa" w:w="1728"/>
            <w:vAlign w:val="top"/>
          </w:tcPr>
          <w:p>
            <w:r/>
            <w:r>
              <w:t>All secrets as env vars at container start (Docker/Compose secrets, Vault, or sealed-secrets)</w:t>
            </w:r>
          </w:p>
        </w:tc>
        <w:tc>
          <w:tcPr>
            <w:tcW w:type="dxa" w:w="1728"/>
            <w:vAlign w:val="top"/>
          </w:tcPr>
          <w:p>
            <w:r/>
            <w:r>
              <w:t>Low</w:t>
            </w:r>
          </w:p>
        </w:tc>
        <w:tc>
          <w:tcPr>
            <w:tcW w:type="dxa" w:w="1728"/>
            <w:vAlign w:val="top"/>
          </w:tcPr>
          <w:p>
            <w:r/>
            <w:r>
              <w:rPr>
                <w:rFonts w:ascii="Consolas" w:hAnsi="Consolas"/>
                <w:sz w:val="20"/>
              </w:rPr>
              <w:t>ProdSettings</w:t>
            </w:r>
            <w:r>
              <w:t xml:space="preserve"> becomes a non-AWS variant; remove </w:t>
            </w:r>
            <w:r>
              <w:rPr>
                <w:rFonts w:ascii="Consolas" w:hAnsi="Consolas"/>
                <w:sz w:val="20"/>
              </w:rPr>
              <w:t>boto3.session().client("secretsmanager")</w:t>
            </w:r>
            <w:r>
              <w:t xml:space="preserve"> path.</w:t>
            </w:r>
          </w:p>
        </w:tc>
      </w:tr>
      <w:tr>
        <w:tc>
          <w:tcPr>
            <w:tcW w:type="dxa" w:w="1728"/>
            <w:vAlign w:val="top"/>
          </w:tcPr>
          <w:p>
            <w:r/>
            <w:r>
              <w:t>Database</w:t>
            </w:r>
          </w:p>
        </w:tc>
        <w:tc>
          <w:tcPr>
            <w:tcW w:type="dxa" w:w="1728"/>
            <w:vAlign w:val="top"/>
          </w:tcPr>
          <w:p>
            <w:r/>
            <w:r>
              <w:t>RDS Postgres</w:t>
            </w:r>
          </w:p>
        </w:tc>
        <w:tc>
          <w:tcPr>
            <w:tcW w:type="dxa" w:w="1728"/>
            <w:vAlign w:val="top"/>
          </w:tcPr>
          <w:p>
            <w:r/>
            <w:r>
              <w:t>Self-hosted Postgres (Docker, or institution DB)</w:t>
            </w:r>
          </w:p>
        </w:tc>
        <w:tc>
          <w:tcPr>
            <w:tcW w:type="dxa" w:w="1728"/>
            <w:vAlign w:val="top"/>
          </w:tcPr>
          <w:p>
            <w:r/>
            <w:r>
              <w:t>None</w:t>
            </w:r>
          </w:p>
        </w:tc>
        <w:tc>
          <w:tcPr>
            <w:tcW w:type="dxa" w:w="1728"/>
            <w:vAlign w:val="top"/>
          </w:tcPr>
          <w:p>
            <w:r/>
            <w:r>
              <w:t xml:space="preserve">Already a plain </w:t>
            </w:r>
            <w:r>
              <w:rPr>
                <w:rFonts w:ascii="Consolas" w:hAnsi="Consolas"/>
                <w:sz w:val="20"/>
              </w:rPr>
              <w:t>postgresql://</w:t>
            </w:r>
            <w:r>
              <w:t xml:space="preserve"> URL — no IAM/RDS-proxy.</w:t>
            </w:r>
          </w:p>
        </w:tc>
      </w:tr>
      <w:tr>
        <w:tc>
          <w:tcPr>
            <w:tcW w:type="dxa" w:w="1728"/>
            <w:vAlign w:val="top"/>
          </w:tcPr>
          <w:p>
            <w:r/>
            <w:r>
              <w:t>TLS termination</w:t>
            </w:r>
          </w:p>
        </w:tc>
        <w:tc>
          <w:tcPr>
            <w:tcW w:type="dxa" w:w="1728"/>
            <w:vAlign w:val="top"/>
          </w:tcPr>
          <w:p>
            <w:r/>
            <w:r>
              <w:t>ACM cert on ALB + CloudFront</w:t>
            </w:r>
          </w:p>
        </w:tc>
        <w:tc>
          <w:tcPr>
            <w:tcW w:type="dxa" w:w="1728"/>
            <w:vAlign w:val="top"/>
          </w:tcPr>
          <w:p>
            <w:r/>
            <w:r>
              <w:t>Institution's reverse proxy with their cert (or Traefik + Let's Encrypt internal)</w:t>
            </w:r>
          </w:p>
        </w:tc>
        <w:tc>
          <w:tcPr>
            <w:tcW w:type="dxa" w:w="1728"/>
            <w:vAlign w:val="top"/>
          </w:tcPr>
          <w:p>
            <w:r/>
            <w:r>
              <w:t>Medium (ops)</w:t>
            </w:r>
          </w:p>
        </w:tc>
        <w:tc>
          <w:tcPr>
            <w:tcW w:type="dxa" w:w="1728"/>
            <w:vAlign w:val="top"/>
          </w:tcPr>
          <w:p>
            <w:r/>
            <w:r>
              <w:t>App-side: nothing. Deployment-side: doc the contract (host header, X-Forwarded-* trust, cert renewal).</w:t>
            </w:r>
          </w:p>
        </w:tc>
      </w:tr>
      <w:tr>
        <w:tc>
          <w:tcPr>
            <w:tcW w:type="dxa" w:w="1728"/>
            <w:vAlign w:val="top"/>
          </w:tcPr>
          <w:p>
            <w:r/>
            <w:r>
              <w:t>Public DNS</w:t>
            </w:r>
          </w:p>
        </w:tc>
        <w:tc>
          <w:tcPr>
            <w:tcW w:type="dxa" w:w="1728"/>
            <w:vAlign w:val="top"/>
          </w:tcPr>
          <w:p>
            <w:r/>
            <w:r>
              <w:t>Route53 A-record alias</w:t>
            </w:r>
          </w:p>
        </w:tc>
        <w:tc>
          <w:tcPr>
            <w:tcW w:type="dxa" w:w="1728"/>
            <w:vAlign w:val="top"/>
          </w:tcPr>
          <w:p>
            <w:r/>
            <w:r>
              <w:t>Institution's DNS</w:t>
            </w:r>
          </w:p>
        </w:tc>
        <w:tc>
          <w:tcPr>
            <w:tcW w:type="dxa" w:w="1728"/>
            <w:vAlign w:val="top"/>
          </w:tcPr>
          <w:p>
            <w:r/>
            <w:r>
              <w:t>None (ops)</w:t>
            </w:r>
          </w:p>
        </w:tc>
        <w:tc>
          <w:tcPr>
            <w:tcW w:type="dxa" w:w="1728"/>
            <w:vAlign w:val="top"/>
          </w:tcPr>
          <w:p>
            <w:r/>
            <w:r>
              <w:t xml:space="preserve">App reads </w:t>
            </w:r>
            <w:r>
              <w:rPr>
                <w:rFonts w:ascii="Consolas" w:hAnsi="Consolas"/>
                <w:sz w:val="20"/>
              </w:rPr>
              <w:t>CENTRAL_HUB_API_URL</w:t>
            </w:r>
            <w:r>
              <w:t>; just point it at the new hostname.</w:t>
            </w:r>
          </w:p>
        </w:tc>
      </w:tr>
      <w:tr>
        <w:tc>
          <w:tcPr>
            <w:tcW w:type="dxa" w:w="1728"/>
            <w:vAlign w:val="top"/>
          </w:tcPr>
          <w:p>
            <w:r/>
            <w:r>
              <w:t>UI hosting</w:t>
            </w:r>
          </w:p>
        </w:tc>
        <w:tc>
          <w:tcPr>
            <w:tcW w:type="dxa" w:w="1728"/>
            <w:vAlign w:val="top"/>
          </w:tcPr>
          <w:p>
            <w:r/>
            <w:r>
              <w:t xml:space="preserve">S3 bucket → CloudFront with build-time </w:t>
            </w:r>
            <w:r>
              <w:rPr>
                <w:rFonts w:ascii="Consolas" w:hAnsi="Consolas"/>
                <w:sz w:val="20"/>
              </w:rPr>
              <w:t>window.js</w:t>
            </w:r>
          </w:p>
        </w:tc>
        <w:tc>
          <w:tcPr>
            <w:tcW w:type="dxa" w:w="1728"/>
            <w:vAlign w:val="top"/>
          </w:tcPr>
          <w:p>
            <w:r/>
            <w:r>
              <w:t xml:space="preserve">Static container (Nginx) serving </w:t>
            </w:r>
            <w:r>
              <w:rPr>
                <w:rFonts w:ascii="Consolas" w:hAnsi="Consolas"/>
                <w:sz w:val="20"/>
              </w:rPr>
              <w:t>dist/</w:t>
            </w:r>
            <w:r>
              <w:t xml:space="preserve"> with </w:t>
            </w:r>
            <w:r>
              <w:rPr>
                <w:rFonts w:ascii="Consolas" w:hAnsi="Consolas"/>
                <w:sz w:val="20"/>
              </w:rPr>
              <w:t>window.js</w:t>
            </w:r>
            <w:r>
              <w:t xml:space="preserve"> mounted at runtime</w:t>
            </w:r>
          </w:p>
        </w:tc>
        <w:tc>
          <w:tcPr>
            <w:tcW w:type="dxa" w:w="1728"/>
            <w:vAlign w:val="top"/>
          </w:tcPr>
          <w:p>
            <w:r/>
            <w:r>
              <w:t>Low</w:t>
            </w:r>
          </w:p>
        </w:tc>
        <w:tc>
          <w:tcPr>
            <w:tcW w:type="dxa" w:w="1728"/>
            <w:vAlign w:val="top"/>
          </w:tcPr>
          <w:p>
            <w:r/>
            <w:r>
              <w:t xml:space="preserve">Already supported in dev; lift </w:t>
            </w:r>
            <w:r>
              <w:rPr>
                <w:rFonts w:ascii="Consolas" w:hAnsi="Consolas"/>
                <w:sz w:val="20"/>
              </w:rPr>
              <w:t>flip-ui</w:t>
            </w:r>
            <w:r>
              <w:t xml:space="preserve"> into </w:t>
            </w:r>
            <w:r>
              <w:rPr>
                <w:rFonts w:ascii="Consolas" w:hAnsi="Consolas"/>
                <w:sz w:val="20"/>
              </w:rPr>
              <w:t>compose.production.yml</w:t>
            </w:r>
            <w:r>
              <w:t xml:space="preserve"> as an Nginx-served container.</w:t>
            </w:r>
          </w:p>
        </w:tc>
      </w:tr>
      <w:tr>
        <w:tc>
          <w:tcPr>
            <w:tcW w:type="dxa" w:w="1728"/>
            <w:vAlign w:val="top"/>
          </w:tcPr>
          <w:p>
            <w:r/>
            <w:r>
              <w:t>FL traffic ingress</w:t>
            </w:r>
          </w:p>
        </w:tc>
        <w:tc>
          <w:tcPr>
            <w:tcW w:type="dxa" w:w="1728"/>
            <w:vAlign w:val="top"/>
          </w:tcPr>
          <w:p>
            <w:r/>
            <w:r>
              <w:t>Internet-facing NLB on port 8002</w:t>
            </w:r>
          </w:p>
        </w:tc>
        <w:tc>
          <w:tcPr>
            <w:tcW w:type="dxa" w:w="1728"/>
            <w:vAlign w:val="top"/>
          </w:tcPr>
          <w:p>
            <w:r/>
            <w:r>
              <w:t>Reverse proxy with TCP/SNI passthrough, or direct service exposure on the institution's network</w:t>
            </w:r>
          </w:p>
        </w:tc>
        <w:tc>
          <w:tcPr>
            <w:tcW w:type="dxa" w:w="1728"/>
            <w:vAlign w:val="top"/>
          </w:tcPr>
          <w:p>
            <w:r/>
            <w:r>
              <w:t>Medium (ops)</w:t>
            </w:r>
          </w:p>
        </w:tc>
        <w:tc>
          <w:tcPr>
            <w:tcW w:type="dxa" w:w="1728"/>
            <w:vAlign w:val="top"/>
          </w:tcPr>
          <w:p>
            <w:r/>
            <w:r>
              <w:t>gRPC/HTTP2 — must allow long-lived connections; TLS terminated on FL server itself in current design.</w:t>
            </w:r>
          </w:p>
        </w:tc>
      </w:tr>
      <w:tr>
        <w:tc>
          <w:tcPr>
            <w:tcW w:type="dxa" w:w="1728"/>
            <w:vAlign w:val="top"/>
          </w:tcPr>
          <w:p>
            <w:r/>
            <w:r>
              <w:t>Internal service auth (fl-server↔flip-api)</w:t>
            </w:r>
          </w:p>
        </w:tc>
        <w:tc>
          <w:tcPr>
            <w:tcW w:type="dxa" w:w="1728"/>
            <w:vAlign w:val="top"/>
          </w:tcPr>
          <w:p>
            <w:r/>
            <w:r>
              <w:rPr>
                <w:rFonts w:ascii="Consolas" w:hAnsi="Consolas"/>
                <w:sz w:val="20"/>
              </w:rPr>
              <w:t>INTERNAL_SERVICE_KEY</w:t>
            </w:r>
            <w:r>
              <w:t xml:space="preserve"> over internal Docker network</w:t>
            </w:r>
          </w:p>
        </w:tc>
        <w:tc>
          <w:tcPr>
            <w:tcW w:type="dxa" w:w="1728"/>
            <w:vAlign w:val="top"/>
          </w:tcPr>
          <w:p>
            <w:r/>
            <w:r>
              <w:t>Identical</w:t>
            </w:r>
          </w:p>
        </w:tc>
        <w:tc>
          <w:tcPr>
            <w:tcW w:type="dxa" w:w="1728"/>
            <w:vAlign w:val="top"/>
          </w:tcPr>
          <w:p>
            <w:r/>
            <w:r>
              <w:t>None</w:t>
            </w:r>
          </w:p>
        </w:tc>
        <w:tc>
          <w:tcPr>
            <w:tcW w:type="dxa" w:w="1728"/>
            <w:vAlign w:val="top"/>
          </w:tcPr>
          <w:p>
            <w:r/>
            <w:r>
              <w:t>Already designed for internal networking; CloudFront-stripping concern disappears on-prem.</w:t>
            </w:r>
          </w:p>
        </w:tc>
      </w:tr>
      <w:tr>
        <w:tc>
          <w:tcPr>
            <w:tcW w:type="dxa" w:w="1728"/>
            <w:vAlign w:val="top"/>
          </w:tcPr>
          <w:p>
            <w:r/>
            <w:r>
              <w:t>Trust auth (trust→hub)</w:t>
            </w:r>
          </w:p>
        </w:tc>
        <w:tc>
          <w:tcPr>
            <w:tcW w:type="dxa" w:w="1728"/>
            <w:vAlign w:val="top"/>
          </w:tcPr>
          <w:p>
            <w:r/>
            <w:r>
              <w:t>Per-trust API key over public CloudFront</w:t>
            </w:r>
          </w:p>
        </w:tc>
        <w:tc>
          <w:tcPr>
            <w:tcW w:type="dxa" w:w="1728"/>
            <w:vAlign w:val="top"/>
          </w:tcPr>
          <w:p>
            <w:r/>
            <w:r>
              <w:t>Identical, just different URL</w:t>
            </w:r>
          </w:p>
        </w:tc>
        <w:tc>
          <w:tcPr>
            <w:tcW w:type="dxa" w:w="1728"/>
            <w:vAlign w:val="top"/>
          </w:tcPr>
          <w:p>
            <w:r/>
            <w:r>
              <w:t>None</w:t>
            </w:r>
          </w:p>
        </w:tc>
        <w:tc>
          <w:tcPr>
            <w:tcW w:type="dxa" w:w="1728"/>
            <w:vAlign w:val="top"/>
          </w:tcPr>
          <w:p>
            <w:r/>
            <w:r>
              <w:t xml:space="preserve">Trusts only need the new </w:t>
            </w:r>
            <w:r>
              <w:rPr>
                <w:rFonts w:ascii="Consolas" w:hAnsi="Consolas"/>
                <w:sz w:val="20"/>
              </w:rPr>
              <w:t>CENTRAL_HUB_API_URL</w:t>
            </w:r>
            <w:r>
              <w:t>.</w:t>
            </w:r>
          </w:p>
        </w:tc>
      </w:tr>
      <w:tr>
        <w:tc>
          <w:tcPr>
            <w:tcW w:type="dxa" w:w="1728"/>
            <w:vAlign w:val="top"/>
          </w:tcPr>
          <w:p>
            <w:r/>
            <w:r>
              <w:t>SSH / host access</w:t>
            </w:r>
          </w:p>
        </w:tc>
        <w:tc>
          <w:tcPr>
            <w:tcW w:type="dxa" w:w="1728"/>
            <w:vAlign w:val="top"/>
          </w:tcPr>
          <w:p>
            <w:r/>
            <w:r>
              <w:t>SSM Session Manager</w:t>
            </w:r>
          </w:p>
        </w:tc>
        <w:tc>
          <w:tcPr>
            <w:tcW w:type="dxa" w:w="1728"/>
            <w:vAlign w:val="top"/>
          </w:tcPr>
          <w:p>
            <w:r/>
            <w:r>
              <w:t>Standard SSH from inside the institution's network</w:t>
            </w:r>
          </w:p>
        </w:tc>
        <w:tc>
          <w:tcPr>
            <w:tcW w:type="dxa" w:w="1728"/>
            <w:vAlign w:val="top"/>
          </w:tcPr>
          <w:p>
            <w:r/>
            <w:r>
              <w:t>None (ops)</w:t>
            </w:r>
          </w:p>
        </w:tc>
        <w:tc>
          <w:tcPr>
            <w:tcW w:type="dxa" w:w="1728"/>
            <w:vAlign w:val="top"/>
          </w:tcPr>
          <w:p>
            <w:r/>
            <w:r>
              <w:rPr>
                <w:rFonts w:ascii="Consolas" w:hAnsi="Consolas"/>
                <w:sz w:val="20"/>
              </w:rPr>
              <w:t>update_ssm_ssh_config.py</w:t>
            </w:r>
            <w:r>
              <w:t xml:space="preserve"> is unused on-prem.</w:t>
            </w:r>
          </w:p>
        </w:tc>
      </w:tr>
      <w:tr>
        <w:tc>
          <w:tcPr>
            <w:tcW w:type="dxa" w:w="1728"/>
            <w:vAlign w:val="top"/>
          </w:tcPr>
          <w:p>
            <w:r/>
            <w:r>
              <w:t>Logging / metrics</w:t>
            </w:r>
          </w:p>
        </w:tc>
        <w:tc>
          <w:tcPr>
            <w:tcW w:type="dxa" w:w="1728"/>
            <w:vAlign w:val="top"/>
          </w:tcPr>
          <w:p>
            <w:r/>
            <w:r>
              <w:t>CloudWatch agent on EC2 → log groups</w:t>
            </w:r>
          </w:p>
        </w:tc>
        <w:tc>
          <w:tcPr>
            <w:tcW w:type="dxa" w:w="1728"/>
            <w:vAlign w:val="top"/>
          </w:tcPr>
          <w:p>
            <w:r/>
            <w:r>
              <w:t>Loki + Grafana + Alloy (already in use on trust side)</w:t>
            </w:r>
          </w:p>
        </w:tc>
        <w:tc>
          <w:tcPr>
            <w:tcW w:type="dxa" w:w="1728"/>
            <w:vAlign w:val="top"/>
          </w:tcPr>
          <w:p>
            <w:r/>
            <w:r>
              <w:t>Low</w:t>
            </w:r>
          </w:p>
        </w:tc>
        <w:tc>
          <w:tcPr>
            <w:tcW w:type="dxa" w:w="1728"/>
            <w:vAlign w:val="top"/>
          </w:tcPr>
          <w:p>
            <w:r/>
            <w:r>
              <w:t>Lift the trust-side observability stack onto the hub.</w:t>
            </w:r>
          </w:p>
        </w:tc>
      </w:tr>
      <w:tr>
        <w:tc>
          <w:tcPr>
            <w:tcW w:type="dxa" w:w="1728"/>
            <w:vAlign w:val="top"/>
          </w:tcPr>
          <w:p>
            <w:r/>
            <w:r>
              <w:t>Image distribution</w:t>
            </w:r>
          </w:p>
        </w:tc>
        <w:tc>
          <w:tcPr>
            <w:tcW w:type="dxa" w:w="1728"/>
            <w:vAlign w:val="top"/>
          </w:tcPr>
          <w:p>
            <w:r/>
            <w:r>
              <w:t>GHCR public images</w:t>
            </w:r>
          </w:p>
        </w:tc>
        <w:tc>
          <w:tcPr>
            <w:tcW w:type="dxa" w:w="1728"/>
            <w:vAlign w:val="top"/>
          </w:tcPr>
          <w:p>
            <w:r/>
            <w:r>
              <w:t>GHCR (with internet) or a local mirror (Harbor / registry:2) for air-gapped sites</w:t>
            </w:r>
          </w:p>
        </w:tc>
        <w:tc>
          <w:tcPr>
            <w:tcW w:type="dxa" w:w="1728"/>
            <w:vAlign w:val="top"/>
          </w:tcPr>
          <w:p>
            <w:r/>
            <w:r>
              <w:t>Low–Medium</w:t>
            </w:r>
          </w:p>
        </w:tc>
        <w:tc>
          <w:tcPr>
            <w:tcW w:type="dxa" w:w="1728"/>
            <w:vAlign w:val="top"/>
          </w:tcPr>
          <w:p>
            <w:r/>
            <w:r>
              <w:t>Pure ops; build-pipeline already targets GHCR.</w:t>
            </w:r>
          </w:p>
        </w:tc>
      </w:tr>
      <w:tr>
        <w:tc>
          <w:tcPr>
            <w:tcW w:type="dxa" w:w="1728"/>
            <w:vAlign w:val="top"/>
          </w:tcPr>
          <w:p>
            <w:r/>
            <w:r>
              <w:t>Infra-as-code</w:t>
            </w:r>
          </w:p>
        </w:tc>
        <w:tc>
          <w:tcPr>
            <w:tcW w:type="dxa" w:w="1728"/>
            <w:vAlign w:val="top"/>
          </w:tcPr>
          <w:p>
            <w:r/>
            <w:r>
              <w:t>Terraform (~200 AWS resources)</w:t>
            </w:r>
          </w:p>
        </w:tc>
        <w:tc>
          <w:tcPr>
            <w:tcW w:type="dxa" w:w="1728"/>
            <w:vAlign w:val="top"/>
          </w:tcPr>
          <w:p>
            <w:r/>
            <w:r>
              <w:t xml:space="preserve">Ansible only (mirror of </w:t>
            </w:r>
            <w:r>
              <w:rPr>
                <w:rFonts w:ascii="Consolas" w:hAnsi="Consolas"/>
                <w:sz w:val="20"/>
              </w:rPr>
              <w:t>deploy/providers/local/site_local_trust.yml</w:t>
            </w:r>
            <w:r>
              <w:t>); Compose for the stack</w:t>
            </w:r>
          </w:p>
        </w:tc>
        <w:tc>
          <w:tcPr>
            <w:tcW w:type="dxa" w:w="1728"/>
            <w:vAlign w:val="top"/>
          </w:tcPr>
          <w:p>
            <w:r/>
            <w:r>
              <w:t>Medium</w:t>
            </w:r>
          </w:p>
        </w:tc>
        <w:tc>
          <w:tcPr>
            <w:tcW w:type="dxa" w:w="1728"/>
            <w:vAlign w:val="top"/>
          </w:tcPr>
          <w:p>
            <w:r/>
            <w:r>
              <w:t xml:space="preserve">New </w:t>
            </w:r>
            <w:r>
              <w:rPr>
                <w:rFonts w:ascii="Consolas" w:hAnsi="Consolas"/>
                <w:sz w:val="20"/>
              </w:rPr>
              <w:t>deploy/providers/local/site_local_hub.yml</w:t>
            </w:r>
            <w:r>
              <w:t xml:space="preserve"> + a tofu/terraform-free Makefile path.</w:t>
            </w:r>
          </w:p>
        </w:tc>
      </w:tr>
    </w:tbl>
    <w:p>
      <w:pPr>
        <w:pStyle w:val="Heading1"/>
      </w:pPr>
      <w:r>
        <w:t>Code paths to change</w:t>
      </w:r>
    </w:p>
    <w:p>
      <w:pPr>
        <w:pStyle w:val="Heading2"/>
      </w:pPr>
      <w:r>
        <w:t>1. AWS SDK extraction in `flip-api/`</w:t>
      </w:r>
    </w:p>
    <w:p>
      <w:r>
        <w:t xml:space="preserve">Three modules contain almost all the boto3 surface area. The cleanest refactor is to introduce small interfaces and pick the implementation by env var, not to litter </w:t>
      </w:r>
      <w:r>
        <w:rPr>
          <w:rFonts w:ascii="Consolas" w:hAnsi="Consolas"/>
          <w:sz w:val="20"/>
        </w:rPr>
        <w:t>if AWS:</w:t>
      </w:r>
      <w:r>
        <w:t xml:space="preserve"> checks throughout call sites.</w:t>
      </w:r>
    </w:p>
    <w:tbl>
      <w:tblPr>
        <w:tblStyle w:val="LightGrid-Accent1"/>
        <w:tblW w:type="auto" w:w="0"/>
        <w:tblLook w:firstColumn="1" w:firstRow="1" w:lastColumn="0" w:lastRow="0" w:noHBand="0" w:noVBand="1" w:val="04A0"/>
      </w:tblPr>
      <w:tblGrid>
        <w:gridCol w:w="2880"/>
        <w:gridCol w:w="2880"/>
        <w:gridCol w:w="2880"/>
      </w:tblGrid>
      <w:tr>
        <w:tc>
          <w:tcPr>
            <w:tcW w:type="dxa" w:w="2880"/>
            <w:vAlign w:val="top"/>
          </w:tcPr>
          <w:p>
            <w:r/>
            <w:r>
              <w:rPr>
                <w:b/>
              </w:rPr>
              <w:t>File</w:t>
            </w:r>
          </w:p>
        </w:tc>
        <w:tc>
          <w:tcPr>
            <w:tcW w:type="dxa" w:w="2880"/>
            <w:vAlign w:val="top"/>
          </w:tcPr>
          <w:p>
            <w:r/>
            <w:r>
              <w:rPr>
                <w:b/>
              </w:rPr>
              <w:t>Today</w:t>
            </w:r>
          </w:p>
        </w:tc>
        <w:tc>
          <w:tcPr>
            <w:tcW w:type="dxa" w:w="2880"/>
            <w:vAlign w:val="top"/>
          </w:tcPr>
          <w:p>
            <w:r/>
            <w:r>
              <w:rPr>
                <w:b/>
              </w:rPr>
              <w:t>On-prem change</w:t>
            </w:r>
          </w:p>
        </w:tc>
      </w:tr>
      <w:tr>
        <w:tc>
          <w:tcPr>
            <w:tcW w:type="dxa" w:w="2880"/>
            <w:vAlign w:val="top"/>
          </w:tcPr>
          <w:p>
            <w:r/>
            <w:r>
              <w:rPr>
                <w:rFonts w:ascii="Consolas" w:hAnsi="Consolas"/>
                <w:sz w:val="20"/>
              </w:rPr>
              <w:t>flip-api/src/flip_api/utils/s3_client.py</w:t>
            </w:r>
          </w:p>
        </w:tc>
        <w:tc>
          <w:tcPr>
            <w:tcW w:type="dxa" w:w="2880"/>
            <w:vAlign w:val="top"/>
          </w:tcPr>
          <w:p>
            <w:r/>
            <w:r>
              <w:rPr>
                <w:rFonts w:ascii="Consolas" w:hAnsi="Consolas"/>
                <w:sz w:val="20"/>
              </w:rPr>
              <w:t>boto3.client("s3", region_name=AWS_REGION)</w:t>
            </w:r>
            <w:r>
              <w:t xml:space="preserve"> (line 17, 46) — used everywhere for presigned URLs, get/put/delete/list</w:t>
            </w:r>
          </w:p>
        </w:tc>
        <w:tc>
          <w:tcPr>
            <w:tcW w:type="dxa" w:w="2880"/>
            <w:vAlign w:val="top"/>
          </w:tcPr>
          <w:p>
            <w:r/>
            <w:r>
              <w:t xml:space="preserve">Add </w:t>
            </w:r>
            <w:r>
              <w:rPr>
                <w:rFonts w:ascii="Consolas" w:hAnsi="Consolas"/>
                <w:sz w:val="20"/>
              </w:rPr>
              <w:t>endpoint_url=os.getenv("S3_ENDPOINT_URL")</w:t>
            </w:r>
            <w:r>
              <w:t xml:space="preserve"> and </w:t>
            </w:r>
            <w:r>
              <w:rPr>
                <w:rFonts w:ascii="Consolas" w:hAnsi="Consolas"/>
                <w:sz w:val="20"/>
              </w:rPr>
              <w:t>use_ssl</w:t>
            </w:r>
            <w:r>
              <w:t xml:space="preserve"> / </w:t>
            </w:r>
            <w:r>
              <w:rPr>
                <w:rFonts w:ascii="Consolas" w:hAnsi="Consolas"/>
                <w:sz w:val="20"/>
              </w:rPr>
              <w:t>verify</w:t>
            </w:r>
            <w:r>
              <w:t xml:space="preserve"> knobs to the client call. With MinIO this is a 5-line change; all 11 helper functions stay identical. Presigned URLs work against MinIO; only CORS config needs to be set on the MinIO server instead of by Terraform.</w:t>
            </w:r>
          </w:p>
        </w:tc>
      </w:tr>
      <w:tr>
        <w:tc>
          <w:tcPr>
            <w:tcW w:type="dxa" w:w="2880"/>
            <w:vAlign w:val="top"/>
          </w:tcPr>
          <w:p>
            <w:r/>
            <w:r>
              <w:rPr>
                <w:rFonts w:ascii="Consolas" w:hAnsi="Consolas"/>
                <w:sz w:val="20"/>
              </w:rPr>
              <w:t>flip-api/src/flip_api/utils/cognito_helpers.py</w:t>
            </w:r>
          </w:p>
        </w:tc>
        <w:tc>
          <w:tcPr>
            <w:tcW w:type="dxa" w:w="2880"/>
            <w:vAlign w:val="top"/>
          </w:tcPr>
          <w:p>
            <w:r/>
            <w:r>
              <w:rPr>
                <w:rFonts w:ascii="Consolas" w:hAnsi="Consolas"/>
                <w:sz w:val="20"/>
              </w:rPr>
              <w:t>boto3.client("cognito-idp")</w:t>
            </w:r>
            <w:r>
              <w:t xml:space="preserve"> for </w:t>
            </w:r>
            <w:r>
              <w:rPr>
                <w:rFonts w:ascii="Consolas" w:hAnsi="Consolas"/>
                <w:sz w:val="20"/>
              </w:rPr>
              <w:t>list_users</w:t>
            </w:r>
            <w:r>
              <w:t xml:space="preserve">, </w:t>
            </w:r>
            <w:r>
              <w:rPr>
                <w:rFonts w:ascii="Consolas" w:hAnsi="Consolas"/>
                <w:sz w:val="20"/>
              </w:rPr>
              <w:t>admin_create_user</w:t>
            </w:r>
            <w:r>
              <w:t xml:space="preserve">, </w:t>
            </w:r>
            <w:r>
              <w:rPr>
                <w:rFonts w:ascii="Consolas" w:hAnsi="Consolas"/>
                <w:sz w:val="20"/>
              </w:rPr>
              <w:t>admin_disable_user</w:t>
            </w:r>
            <w:r>
              <w:t xml:space="preserve">, </w:t>
            </w:r>
            <w:r>
              <w:rPr>
                <w:rFonts w:ascii="Consolas" w:hAnsi="Consolas"/>
                <w:sz w:val="20"/>
              </w:rPr>
              <w:t>admin_enable_user</w:t>
            </w:r>
            <w:r>
              <w:t xml:space="preserve">, </w:t>
            </w:r>
            <w:r>
              <w:rPr>
                <w:rFonts w:ascii="Consolas" w:hAnsi="Consolas"/>
                <w:sz w:val="20"/>
              </w:rPr>
              <w:t>admin_delete_user</w:t>
            </w:r>
            <w:r>
              <w:t xml:space="preserve">, </w:t>
            </w:r>
            <w:r>
              <w:rPr>
                <w:rFonts w:ascii="Consolas" w:hAnsi="Consolas"/>
                <w:sz w:val="20"/>
              </w:rPr>
              <w:t>revoke_token</w:t>
            </w:r>
          </w:p>
        </w:tc>
        <w:tc>
          <w:tcPr>
            <w:tcW w:type="dxa" w:w="2880"/>
            <w:vAlign w:val="top"/>
          </w:tcPr>
          <w:p>
            <w:r/>
            <w:r>
              <w:t xml:space="preserve">Define an </w:t>
            </w:r>
            <w:r>
              <w:rPr>
                <w:rFonts w:ascii="Consolas" w:hAnsi="Consolas"/>
                <w:sz w:val="20"/>
              </w:rPr>
              <w:t>IdentityProvider</w:t>
            </w:r>
            <w:r>
              <w:t xml:space="preserve"> protocol with these 6 methods and add a Keycloak (or generic OIDC) implementation. Call sites in </w:t>
            </w:r>
            <w:r>
              <w:rPr>
                <w:rFonts w:ascii="Consolas" w:hAnsi="Consolas"/>
                <w:sz w:val="20"/>
              </w:rPr>
              <w:t>user_services/register_user.py</w:t>
            </w:r>
            <w:r>
              <w:t xml:space="preserve">, </w:t>
            </w:r>
            <w:r>
              <w:rPr>
                <w:rFonts w:ascii="Consolas" w:hAnsi="Consolas"/>
                <w:sz w:val="20"/>
              </w:rPr>
              <w:t>user_services/access_request.py</w:t>
            </w:r>
            <w:r>
              <w:t>, etc. depend on it via this module, so the abstraction edge is clean.</w:t>
            </w:r>
          </w:p>
        </w:tc>
      </w:tr>
      <w:tr>
        <w:tc>
          <w:tcPr>
            <w:tcW w:type="dxa" w:w="2880"/>
            <w:vAlign w:val="top"/>
          </w:tcPr>
          <w:p>
            <w:r/>
            <w:r>
              <w:rPr>
                <w:rFonts w:ascii="Consolas" w:hAnsi="Consolas"/>
                <w:sz w:val="20"/>
              </w:rPr>
              <w:t>flip-api/src/flip_api/auth/dependencies.py</w:t>
            </w:r>
          </w:p>
        </w:tc>
        <w:tc>
          <w:tcPr>
            <w:tcW w:type="dxa" w:w="2880"/>
            <w:vAlign w:val="top"/>
          </w:tcPr>
          <w:p>
            <w:r/>
            <w:r>
              <w:t xml:space="preserve">JWKS URL hard-coded to </w:t>
            </w:r>
            <w:r>
              <w:rPr>
                <w:rFonts w:ascii="Consolas" w:hAnsi="Consolas"/>
                <w:sz w:val="20"/>
              </w:rPr>
              <w:t>https://cognito-idp.{AWS_REGION}.amazonaws.com/{USER_POOL_ID}/.well-known/jwks.json</w:t>
            </w:r>
            <w:r>
              <w:t xml:space="preserve"> (lines 25–26, 47, 129)</w:t>
            </w:r>
          </w:p>
        </w:tc>
        <w:tc>
          <w:tcPr>
            <w:tcW w:type="dxa" w:w="2880"/>
            <w:vAlign w:val="top"/>
          </w:tcPr>
          <w:p>
            <w:r/>
            <w:r>
              <w:t xml:space="preserve">Replace with </w:t>
            </w:r>
            <w:r>
              <w:rPr>
                <w:rFonts w:ascii="Consolas" w:hAnsi="Consolas"/>
                <w:sz w:val="20"/>
              </w:rPr>
              <w:t>JWKS_URL</w:t>
            </w:r>
            <w:r>
              <w:t xml:space="preserve"> env var. The PyJWT verification logic is generic — only the URL construction is Cognito-shaped.</w:t>
            </w:r>
          </w:p>
        </w:tc>
      </w:tr>
      <w:tr>
        <w:tc>
          <w:tcPr>
            <w:tcW w:type="dxa" w:w="2880"/>
            <w:vAlign w:val="top"/>
          </w:tcPr>
          <w:p>
            <w:r/>
            <w:r>
              <w:rPr>
                <w:rFonts w:ascii="Consolas" w:hAnsi="Consolas"/>
                <w:sz w:val="20"/>
              </w:rPr>
              <w:t>flip-api/src/flip_api/user_services/access_request.py</w:t>
            </w:r>
            <w:r>
              <w:t xml:space="preserve"> (lines 15, 50, 60–70) and </w:t>
            </w:r>
            <w:r>
              <w:rPr>
                <w:rFonts w:ascii="Consolas" w:hAnsi="Consolas"/>
                <w:sz w:val="20"/>
              </w:rPr>
              <w:t>flip-api/src/flip_api/private_services/imaging_notifications.py</w:t>
            </w:r>
            <w:r>
              <w:t xml:space="preserve"> (lines 18, 88, 103–137)</w:t>
            </w:r>
          </w:p>
        </w:tc>
        <w:tc>
          <w:tcPr>
            <w:tcW w:type="dxa" w:w="2880"/>
            <w:vAlign w:val="top"/>
          </w:tcPr>
          <w:p>
            <w:r/>
            <w:r>
              <w:rPr>
                <w:rFonts w:ascii="Consolas" w:hAnsi="Consolas"/>
                <w:sz w:val="20"/>
              </w:rPr>
              <w:t>boto3.client("sesv2").send_email(...)</w:t>
            </w:r>
            <w:r>
              <w:t xml:space="preserve"> with template names</w:t>
            </w:r>
          </w:p>
        </w:tc>
        <w:tc>
          <w:tcPr>
            <w:tcW w:type="dxa" w:w="2880"/>
            <w:vAlign w:val="top"/>
          </w:tcPr>
          <w:p>
            <w:r/>
            <w:r>
              <w:t xml:space="preserve">Define a </w:t>
            </w:r>
            <w:r>
              <w:rPr>
                <w:rFonts w:ascii="Consolas" w:hAnsi="Consolas"/>
                <w:sz w:val="20"/>
              </w:rPr>
              <w:t>Mailer</w:t>
            </w:r>
            <w:r>
              <w:t xml:space="preserve"> protocol with </w:t>
            </w:r>
            <w:r>
              <w:rPr>
                <w:rFonts w:ascii="Consolas" w:hAnsi="Consolas"/>
                <w:sz w:val="20"/>
              </w:rPr>
              <w:t>send_templated(template_name, to, vars)</w:t>
            </w:r>
            <w:r>
              <w:t xml:space="preserve">; SES implementation stays, add SMTP implementation rendering Jinja templates locally. The 3 templates currently in SES need to be pulled into the repo as </w:t>
            </w:r>
            <w:r>
              <w:rPr>
                <w:rFonts w:ascii="Consolas" w:hAnsi="Consolas"/>
                <w:sz w:val="20"/>
              </w:rPr>
              <w:t>.html.j2</w:t>
            </w:r>
            <w:r>
              <w:t xml:space="preserve"> files.</w:t>
            </w:r>
          </w:p>
        </w:tc>
      </w:tr>
      <w:tr>
        <w:tc>
          <w:tcPr>
            <w:tcW w:type="dxa" w:w="2880"/>
            <w:vAlign w:val="top"/>
          </w:tcPr>
          <w:p>
            <w:r/>
            <w:r>
              <w:rPr>
                <w:rFonts w:ascii="Consolas" w:hAnsi="Consolas"/>
                <w:sz w:val="20"/>
              </w:rPr>
              <w:t>flip-api/src/flip_api/utils/get_secrets.py</w:t>
            </w:r>
          </w:p>
        </w:tc>
        <w:tc>
          <w:tcPr>
            <w:tcW w:type="dxa" w:w="2880"/>
            <w:vAlign w:val="top"/>
          </w:tcPr>
          <w:p>
            <w:r/>
            <w:r>
              <w:rPr>
                <w:rFonts w:ascii="Consolas" w:hAnsi="Consolas"/>
                <w:sz w:val="20"/>
              </w:rPr>
              <w:t>boto3.session().client("secretsmanager").get_secret_value(...)</w:t>
            </w:r>
            <w:r>
              <w:t xml:space="preserve"> (lines 15, 41–48)</w:t>
            </w:r>
          </w:p>
        </w:tc>
        <w:tc>
          <w:tcPr>
            <w:tcW w:type="dxa" w:w="2880"/>
            <w:vAlign w:val="top"/>
          </w:tcPr>
          <w:p>
            <w:r/>
            <w:r>
              <w:t>Make this no-op on-prem. The two callers (</w:t>
            </w:r>
            <w:r>
              <w:rPr>
                <w:rFonts w:ascii="Consolas" w:hAnsi="Consolas"/>
                <w:sz w:val="20"/>
              </w:rPr>
              <w:t>db/database.py</w:t>
            </w:r>
            <w:r>
              <w:t xml:space="preserve">, </w:t>
            </w:r>
            <w:r>
              <w:rPr>
                <w:rFonts w:ascii="Consolas" w:hAnsi="Consolas"/>
                <w:sz w:val="20"/>
              </w:rPr>
              <w:t>auth/access_manager.py</w:t>
            </w:r>
            <w:r>
              <w:t xml:space="preserve">) already have env-var fallbacks via </w:t>
            </w:r>
            <w:r>
              <w:rPr>
                <w:rFonts w:ascii="Consolas" w:hAnsi="Consolas"/>
                <w:sz w:val="20"/>
              </w:rPr>
              <w:t>DevSettings</w:t>
            </w:r>
            <w:r>
              <w:t xml:space="preserve">; just promote that path to the on-prem </w:t>
            </w:r>
            <w:r>
              <w:rPr>
                <w:rFonts w:ascii="Consolas" w:hAnsi="Consolas"/>
                <w:sz w:val="20"/>
              </w:rPr>
              <w:t>ProdSettings</w:t>
            </w:r>
            <w:r>
              <w:t xml:space="preserve"> variant.</w:t>
            </w:r>
          </w:p>
        </w:tc>
      </w:tr>
      <w:tr>
        <w:tc>
          <w:tcPr>
            <w:tcW w:type="dxa" w:w="2880"/>
            <w:vAlign w:val="top"/>
          </w:tcPr>
          <w:p>
            <w:r/>
            <w:r>
              <w:rPr>
                <w:rFonts w:ascii="Consolas" w:hAnsi="Consolas"/>
                <w:sz w:val="20"/>
              </w:rPr>
              <w:t>flip-api/src/flip_api/config.py</w:t>
            </w:r>
            <w:r>
              <w:t xml:space="preserve"> (lines 37–122)</w:t>
            </w:r>
          </w:p>
        </w:tc>
        <w:tc>
          <w:tcPr>
            <w:tcW w:type="dxa" w:w="2880"/>
            <w:vAlign w:val="top"/>
          </w:tcPr>
          <w:p>
            <w:r/>
            <w:r>
              <w:rPr>
                <w:rFonts w:ascii="Consolas" w:hAnsi="Consolas"/>
                <w:sz w:val="20"/>
              </w:rPr>
              <w:t>ProdSettings</w:t>
            </w:r>
            <w:r>
              <w:t xml:space="preserve"> calls Secrets Manager; </w:t>
            </w:r>
            <w:r>
              <w:rPr>
                <w:rFonts w:ascii="Consolas" w:hAnsi="Consolas"/>
                <w:sz w:val="20"/>
              </w:rPr>
              <w:t>DevSettings</w:t>
            </w:r>
            <w:r>
              <w:t xml:space="preserve"> reads env vars</w:t>
            </w:r>
          </w:p>
        </w:tc>
        <w:tc>
          <w:tcPr>
            <w:tcW w:type="dxa" w:w="2880"/>
            <w:vAlign w:val="top"/>
          </w:tcPr>
          <w:p>
            <w:r/>
            <w:r>
              <w:t xml:space="preserve">Add </w:t>
            </w:r>
            <w:r>
              <w:rPr>
                <w:rFonts w:ascii="Consolas" w:hAnsi="Consolas"/>
                <w:sz w:val="20"/>
              </w:rPr>
              <w:t>OnPremSettings(BaseSettings)</w:t>
            </w:r>
            <w:r>
              <w:t xml:space="preserve"> that reads everything from env vars but otherwise behaves like </w:t>
            </w:r>
            <w:r>
              <w:rPr>
                <w:rFonts w:ascii="Consolas" w:hAnsi="Consolas"/>
                <w:sz w:val="20"/>
              </w:rPr>
              <w:t>ProdSettings</w:t>
            </w:r>
            <w:r>
              <w:t xml:space="preserve"> (logging, CORS, etc.). Selected by a </w:t>
            </w:r>
            <w:r>
              <w:rPr>
                <w:rFonts w:ascii="Consolas" w:hAnsi="Consolas"/>
                <w:sz w:val="20"/>
              </w:rPr>
              <w:t>DEPLOYMENT=onprem|aws|dev</w:t>
            </w:r>
            <w:r>
              <w:t xml:space="preserve"> switch.</w:t>
            </w:r>
          </w:p>
        </w:tc>
      </w:tr>
    </w:tbl>
    <w:p>
      <w:r>
        <w:t xml:space="preserve">Two important non-changes: </w:t>
      </w:r>
      <w:r>
        <w:rPr>
          <w:rFonts w:ascii="Consolas" w:hAnsi="Consolas"/>
          <w:sz w:val="20"/>
        </w:rPr>
        <w:t>db/database.py</w:t>
      </w:r>
      <w:r>
        <w:t xml:space="preserve"> (lines 24–40) is already plain </w:t>
      </w:r>
      <w:r>
        <w:rPr>
          <w:rFonts w:ascii="Consolas" w:hAnsi="Consolas"/>
          <w:sz w:val="20"/>
        </w:rPr>
        <w:t>postgresql://</w:t>
      </w:r>
      <w:r>
        <w:t xml:space="preserve"> and needs no edits, and </w:t>
      </w:r>
      <w:r>
        <w:rPr>
          <w:rFonts w:ascii="Consolas" w:hAnsi="Consolas"/>
          <w:sz w:val="20"/>
        </w:rPr>
        <w:t>auth/access_manager.py</w:t>
      </w:r>
      <w:r>
        <w:t xml:space="preserve"> (lines 274–295, 298–357) already supports env-var hash sources for both </w:t>
      </w:r>
      <w:r>
        <w:rPr>
          <w:rFonts w:ascii="Consolas" w:hAnsi="Consolas"/>
          <w:sz w:val="20"/>
        </w:rPr>
        <w:t>TRUST_API_KEY_HASHES</w:t>
      </w:r>
      <w:r>
        <w:t xml:space="preserve"> and </w:t>
      </w:r>
      <w:r>
        <w:rPr>
          <w:rFonts w:ascii="Consolas" w:hAnsi="Consolas"/>
          <w:sz w:val="20"/>
        </w:rPr>
        <w:t>INTERNAL_SERVICE_KEY_HASH</w:t>
      </w:r>
      <w:r>
        <w:t xml:space="preserve"> — only the Secrets Manager branch goes away.</w:t>
      </w:r>
    </w:p>
    <w:p>
      <w:pPr>
        <w:pStyle w:val="Heading2"/>
      </w:pPr>
      <w:r>
        <w:t>2. UI changes in `flip-ui/`</w:t>
      </w:r>
    </w:p>
    <w:p>
      <w:r>
        <w:t>The Cognito coupling is centred on five files; a clean refactor is feasible but not small.</w:t>
      </w:r>
    </w:p>
    <w:tbl>
      <w:tblPr>
        <w:tblStyle w:val="LightGrid-Accent1"/>
        <w:tblW w:type="auto" w:w="0"/>
        <w:tblLook w:firstColumn="1" w:firstRow="1" w:lastColumn="0" w:lastRow="0" w:noHBand="0" w:noVBand="1" w:val="04A0"/>
      </w:tblPr>
      <w:tblGrid>
        <w:gridCol w:w="2880"/>
        <w:gridCol w:w="2880"/>
        <w:gridCol w:w="2880"/>
      </w:tblGrid>
      <w:tr>
        <w:tc>
          <w:tcPr>
            <w:tcW w:type="dxa" w:w="2880"/>
            <w:vAlign w:val="top"/>
          </w:tcPr>
          <w:p>
            <w:r/>
            <w:r>
              <w:rPr>
                <w:b/>
              </w:rPr>
              <w:t>File</w:t>
            </w:r>
          </w:p>
        </w:tc>
        <w:tc>
          <w:tcPr>
            <w:tcW w:type="dxa" w:w="2880"/>
            <w:vAlign w:val="top"/>
          </w:tcPr>
          <w:p>
            <w:r/>
            <w:r>
              <w:rPr>
                <w:b/>
              </w:rPr>
              <w:t>Today</w:t>
            </w:r>
          </w:p>
        </w:tc>
        <w:tc>
          <w:tcPr>
            <w:tcW w:type="dxa" w:w="2880"/>
            <w:vAlign w:val="top"/>
          </w:tcPr>
          <w:p>
            <w:r/>
            <w:r>
              <w:rPr>
                <w:b/>
              </w:rPr>
              <w:t>On-prem change</w:t>
            </w:r>
          </w:p>
        </w:tc>
      </w:tr>
      <w:tr>
        <w:tc>
          <w:tcPr>
            <w:tcW w:type="dxa" w:w="2880"/>
            <w:vAlign w:val="top"/>
          </w:tcPr>
          <w:p>
            <w:r/>
            <w:r>
              <w:rPr>
                <w:rFonts w:ascii="Consolas" w:hAnsi="Consolas"/>
                <w:sz w:val="20"/>
              </w:rPr>
              <w:t>flip-ui/src/main.ts</w:t>
            </w:r>
            <w:r>
              <w:t xml:space="preserve"> (lines 18, 35)</w:t>
            </w:r>
          </w:p>
        </w:tc>
        <w:tc>
          <w:tcPr>
            <w:tcW w:type="dxa" w:w="2880"/>
            <w:vAlign w:val="top"/>
          </w:tcPr>
          <w:p>
            <w:r/>
            <w:r>
              <w:rPr>
                <w:rFonts w:ascii="Consolas" w:hAnsi="Consolas"/>
                <w:sz w:val="20"/>
              </w:rPr>
              <w:t>Amplify.configure(authConfig)</w:t>
            </w:r>
          </w:p>
        </w:tc>
        <w:tc>
          <w:tcPr>
            <w:tcW w:type="dxa" w:w="2880"/>
            <w:vAlign w:val="top"/>
          </w:tcPr>
          <w:p>
            <w:r/>
            <w:r>
              <w:t>Replace with an OIDC client (</w:t>
            </w:r>
            <w:r>
              <w:rPr>
                <w:rFonts w:ascii="Consolas" w:hAnsi="Consolas"/>
                <w:sz w:val="20"/>
              </w:rPr>
              <w:t>oidc-client-ts</w:t>
            </w:r>
            <w:r>
              <w:t xml:space="preserve"> or </w:t>
            </w:r>
            <w:r>
              <w:rPr>
                <w:rFonts w:ascii="Consolas" w:hAnsi="Consolas"/>
                <w:sz w:val="20"/>
              </w:rPr>
              <w:t>vue3-oidc-client</w:t>
            </w:r>
            <w:r>
              <w:t>) initialised against the institution's IdP.</w:t>
            </w:r>
          </w:p>
        </w:tc>
      </w:tr>
      <w:tr>
        <w:tc>
          <w:tcPr>
            <w:tcW w:type="dxa" w:w="2880"/>
            <w:vAlign w:val="top"/>
          </w:tcPr>
          <w:p>
            <w:r/>
            <w:r>
              <w:rPr>
                <w:rFonts w:ascii="Consolas" w:hAnsi="Consolas"/>
                <w:sz w:val="20"/>
              </w:rPr>
              <w:t>flip-ui/src/utils/auth.ts</w:t>
            </w:r>
            <w:r>
              <w:t xml:space="preserve"> (lines 14–15, 69, 116–127, 158)</w:t>
            </w:r>
          </w:p>
        </w:tc>
        <w:tc>
          <w:tcPr>
            <w:tcW w:type="dxa" w:w="2880"/>
            <w:vAlign w:val="top"/>
          </w:tcPr>
          <w:p>
            <w:r/>
            <w:r>
              <w:rPr>
                <w:rFonts w:ascii="Consolas" w:hAnsi="Consolas"/>
                <w:sz w:val="20"/>
              </w:rPr>
              <w:t>fetchAuthSession</w:t>
            </w:r>
            <w:r>
              <w:t xml:space="preserve">, </w:t>
            </w:r>
            <w:r>
              <w:rPr>
                <w:rFonts w:ascii="Consolas" w:hAnsi="Consolas"/>
                <w:sz w:val="20"/>
              </w:rPr>
              <w:t>Hub.listen("auth", ...)</w:t>
            </w:r>
            <w:r>
              <w:t xml:space="preserve"> from </w:t>
            </w:r>
            <w:r>
              <w:rPr>
                <w:rFonts w:ascii="Consolas" w:hAnsi="Consolas"/>
                <w:sz w:val="20"/>
              </w:rPr>
              <w:t>aws-amplify/auth</w:t>
            </w:r>
            <w:r>
              <w:t xml:space="preserve">; </w:t>
            </w:r>
            <w:r>
              <w:rPr>
                <w:rFonts w:ascii="Consolas" w:hAnsi="Consolas"/>
                <w:sz w:val="20"/>
              </w:rPr>
              <w:t>authConfig</w:t>
            </w:r>
            <w:r>
              <w:t xml:space="preserve"> with Cognito region/poolId/clientId/clientSecret</w:t>
            </w:r>
          </w:p>
        </w:tc>
        <w:tc>
          <w:tcPr>
            <w:tcW w:type="dxa" w:w="2880"/>
            <w:vAlign w:val="top"/>
          </w:tcPr>
          <w:p>
            <w:r/>
            <w:r>
              <w:t xml:space="preserve">Re-implement </w:t>
            </w:r>
            <w:r>
              <w:rPr>
                <w:rFonts w:ascii="Consolas" w:hAnsi="Consolas"/>
                <w:sz w:val="20"/>
              </w:rPr>
              <w:t>getAccessToken()</w:t>
            </w:r>
            <w:r>
              <w:t xml:space="preserve">, </w:t>
            </w:r>
            <w:r>
              <w:rPr>
                <w:rFonts w:ascii="Consolas" w:hAnsi="Consolas"/>
                <w:sz w:val="20"/>
              </w:rPr>
              <w:t>onAuthEvent()</w:t>
            </w:r>
            <w:r>
              <w:t xml:space="preserve">, and the </w:t>
            </w:r>
            <w:r>
              <w:rPr>
                <w:rFonts w:ascii="Consolas" w:hAnsi="Consolas"/>
                <w:sz w:val="20"/>
              </w:rPr>
              <w:t>tokenRefresh_failure</w:t>
            </w:r>
            <w:r>
              <w:t xml:space="preserve"> listener against the OIDC client.</w:t>
            </w:r>
          </w:p>
        </w:tc>
      </w:tr>
      <w:tr>
        <w:tc>
          <w:tcPr>
            <w:tcW w:type="dxa" w:w="2880"/>
            <w:vAlign w:val="top"/>
          </w:tcPr>
          <w:p>
            <w:r/>
            <w:r>
              <w:rPr>
                <w:rFonts w:ascii="Consolas" w:hAnsi="Consolas"/>
                <w:sz w:val="20"/>
              </w:rPr>
              <w:t>flip-ui/src/store/auth.ts</w:t>
            </w:r>
            <w:r>
              <w:t xml:space="preserve"> (lines 14–22, 69–84)</w:t>
            </w:r>
          </w:p>
        </w:tc>
        <w:tc>
          <w:tcPr>
            <w:tcW w:type="dxa" w:w="2880"/>
            <w:vAlign w:val="top"/>
          </w:tcPr>
          <w:p>
            <w:r/>
            <w:r>
              <w:rPr>
                <w:rFonts w:ascii="Consolas" w:hAnsi="Consolas"/>
                <w:sz w:val="20"/>
              </w:rPr>
              <w:t>signIn</w:t>
            </w:r>
            <w:r>
              <w:t xml:space="preserve">, </w:t>
            </w:r>
            <w:r>
              <w:rPr>
                <w:rFonts w:ascii="Consolas" w:hAnsi="Consolas"/>
                <w:sz w:val="20"/>
              </w:rPr>
              <w:t>signOut</w:t>
            </w:r>
            <w:r>
              <w:t xml:space="preserve">, </w:t>
            </w:r>
            <w:r>
              <w:rPr>
                <w:rFonts w:ascii="Consolas" w:hAnsi="Consolas"/>
                <w:sz w:val="20"/>
              </w:rPr>
              <w:t>resetPassword</w:t>
            </w:r>
            <w:r>
              <w:t xml:space="preserve">, </w:t>
            </w:r>
            <w:r>
              <w:rPr>
                <w:rFonts w:ascii="Consolas" w:hAnsi="Consolas"/>
                <w:sz w:val="20"/>
              </w:rPr>
              <w:t>confirmResetPassword</w:t>
            </w:r>
            <w:r>
              <w:t xml:space="preserve">, </w:t>
            </w:r>
            <w:r>
              <w:rPr>
                <w:rFonts w:ascii="Consolas" w:hAnsi="Consolas"/>
                <w:sz w:val="20"/>
              </w:rPr>
              <w:t>fetchUserAttributes</w:t>
            </w:r>
            <w:r>
              <w:t xml:space="preserve"> from Amplify</w:t>
            </w:r>
          </w:p>
        </w:tc>
        <w:tc>
          <w:tcPr>
            <w:tcW w:type="dxa" w:w="2880"/>
            <w:vAlign w:val="top"/>
          </w:tcPr>
          <w:p>
            <w:r/>
            <w:r>
              <w:t>Same operations against the OIDC client. Password reset typically delegates to the IdP's hosted UI (a redirect), which is a UX change worth flagging.</w:t>
            </w:r>
          </w:p>
        </w:tc>
      </w:tr>
      <w:tr>
        <w:tc>
          <w:tcPr>
            <w:tcW w:type="dxa" w:w="2880"/>
            <w:vAlign w:val="top"/>
          </w:tcPr>
          <w:p>
            <w:r/>
            <w:r>
              <w:rPr>
                <w:rFonts w:ascii="Consolas" w:hAnsi="Consolas"/>
                <w:sz w:val="20"/>
              </w:rPr>
              <w:t>flip-ui/package.json</w:t>
            </w:r>
            <w:r>
              <w:t xml:space="preserve"> (line 62)</w:t>
            </w:r>
          </w:p>
        </w:tc>
        <w:tc>
          <w:tcPr>
            <w:tcW w:type="dxa" w:w="2880"/>
            <w:vAlign w:val="top"/>
          </w:tcPr>
          <w:p>
            <w:r/>
            <w:r>
              <w:rPr>
                <w:rFonts w:ascii="Consolas" w:hAnsi="Consolas"/>
                <w:sz w:val="20"/>
              </w:rPr>
              <w:t>aws-amplify@^6.15.3</w:t>
            </w:r>
          </w:p>
        </w:tc>
        <w:tc>
          <w:tcPr>
            <w:tcW w:type="dxa" w:w="2880"/>
            <w:vAlign w:val="top"/>
          </w:tcPr>
          <w:p>
            <w:r/>
            <w:r>
              <w:t>Drop in favour of an OIDC client lib.</w:t>
            </w:r>
          </w:p>
        </w:tc>
      </w:tr>
      <w:tr>
        <w:tc>
          <w:tcPr>
            <w:tcW w:type="dxa" w:w="2880"/>
            <w:vAlign w:val="top"/>
          </w:tcPr>
          <w:p>
            <w:r/>
            <w:r>
              <w:rPr>
                <w:rFonts w:ascii="Consolas" w:hAnsi="Consolas"/>
                <w:sz w:val="20"/>
              </w:rPr>
              <w:t>flip-ui/public/js/window.js.example</w:t>
            </w:r>
            <w:r>
              <w:t xml:space="preserve"> (lines 27–34) and </w:t>
            </w:r>
            <w:r>
              <w:rPr>
                <w:rFonts w:ascii="Consolas" w:hAnsi="Consolas"/>
                <w:sz w:val="20"/>
              </w:rPr>
              <w:t>flip-ui/scripts/generate-window-js.sh</w:t>
            </w:r>
          </w:p>
        </w:tc>
        <w:tc>
          <w:tcPr>
            <w:tcW w:type="dxa" w:w="2880"/>
            <w:vAlign w:val="top"/>
          </w:tcPr>
          <w:p>
            <w:r/>
            <w:r>
              <w:t xml:space="preserve">Injects </w:t>
            </w:r>
            <w:r>
              <w:rPr>
                <w:rFonts w:ascii="Consolas" w:hAnsi="Consolas"/>
                <w:sz w:val="20"/>
              </w:rPr>
              <w:t>AWS_USER_POOL_ID</w:t>
            </w:r>
            <w:r>
              <w:t xml:space="preserve">, </w:t>
            </w:r>
            <w:r>
              <w:rPr>
                <w:rFonts w:ascii="Consolas" w:hAnsi="Consolas"/>
                <w:sz w:val="20"/>
              </w:rPr>
              <w:t>AWS_CLIENT_ID</w:t>
            </w:r>
            <w:r>
              <w:t xml:space="preserve">, </w:t>
            </w:r>
            <w:r>
              <w:rPr>
                <w:rFonts w:ascii="Consolas" w:hAnsi="Consolas"/>
                <w:sz w:val="20"/>
              </w:rPr>
              <w:t>AWS_REGION</w:t>
            </w:r>
            <w:r>
              <w:t xml:space="preserve">, </w:t>
            </w:r>
            <w:r>
              <w:rPr>
                <w:rFonts w:ascii="Consolas" w:hAnsi="Consolas"/>
                <w:sz w:val="20"/>
              </w:rPr>
              <w:t>AWS_BASE_URL</w:t>
            </w:r>
            <w:r>
              <w:t xml:space="preserve"> into a runtime script</w:t>
            </w:r>
          </w:p>
        </w:tc>
        <w:tc>
          <w:tcPr>
            <w:tcW w:type="dxa" w:w="2880"/>
            <w:vAlign w:val="top"/>
          </w:tcPr>
          <w:p>
            <w:r/>
            <w:r>
              <w:t xml:space="preserve">Replace AWS-shaped vars with </w:t>
            </w:r>
            <w:r>
              <w:rPr>
                <w:rFonts w:ascii="Consolas" w:hAnsi="Consolas"/>
                <w:sz w:val="20"/>
              </w:rPr>
              <w:t>OIDC_ISSUER</w:t>
            </w:r>
            <w:r>
              <w:t xml:space="preserve">, </w:t>
            </w:r>
            <w:r>
              <w:rPr>
                <w:rFonts w:ascii="Consolas" w:hAnsi="Consolas"/>
                <w:sz w:val="20"/>
              </w:rPr>
              <w:t>OIDC_CLIENT_ID</w:t>
            </w:r>
            <w:r>
              <w:t xml:space="preserve">, </w:t>
            </w:r>
            <w:r>
              <w:rPr>
                <w:rFonts w:ascii="Consolas" w:hAnsi="Consolas"/>
                <w:sz w:val="20"/>
              </w:rPr>
              <w:t>OIDC_REDIRECT_URI</w:t>
            </w:r>
            <w:r>
              <w:t xml:space="preserve">, </w:t>
            </w:r>
            <w:r>
              <w:rPr>
                <w:rFonts w:ascii="Consolas" w:hAnsi="Consolas"/>
                <w:sz w:val="20"/>
              </w:rPr>
              <w:t>API_BASE_URL</w:t>
            </w:r>
            <w:r>
              <w:t>. Generation-script logic itself is fine — the contract just changes.</w:t>
            </w:r>
          </w:p>
        </w:tc>
      </w:tr>
    </w:tbl>
    <w:p>
      <w:r>
        <w:t>For variant B (hybrid), none of the UI changes are needed; we just keep Cognito.</w:t>
      </w:r>
    </w:p>
    <w:p>
      <w:pPr>
        <w:pStyle w:val="Heading2"/>
      </w:pPr>
      <w:r>
        <w:t>3. Deployment / infra changes in `deploy/`</w:t>
      </w:r>
    </w:p>
    <w:tbl>
      <w:tblPr>
        <w:tblStyle w:val="LightGrid-Accent1"/>
        <w:tblW w:type="auto" w:w="0"/>
        <w:tblLook w:firstColumn="1" w:firstRow="1" w:lastColumn="0" w:lastRow="0" w:noHBand="0" w:noVBand="1" w:val="04A0"/>
      </w:tblPr>
      <w:tblGrid>
        <w:gridCol w:w="2880"/>
        <w:gridCol w:w="2880"/>
        <w:gridCol w:w="2880"/>
      </w:tblGrid>
      <w:tr>
        <w:tc>
          <w:tcPr>
            <w:tcW w:type="dxa" w:w="2880"/>
            <w:vAlign w:val="top"/>
          </w:tcPr>
          <w:p>
            <w:r/>
            <w:r>
              <w:rPr>
                <w:b/>
              </w:rPr>
              <w:t>File</w:t>
            </w:r>
          </w:p>
        </w:tc>
        <w:tc>
          <w:tcPr>
            <w:tcW w:type="dxa" w:w="2880"/>
            <w:vAlign w:val="top"/>
          </w:tcPr>
          <w:p>
            <w:r/>
            <w:r>
              <w:rPr>
                <w:b/>
              </w:rPr>
              <w:t>Today</w:t>
            </w:r>
          </w:p>
        </w:tc>
        <w:tc>
          <w:tcPr>
            <w:tcW w:type="dxa" w:w="2880"/>
            <w:vAlign w:val="top"/>
          </w:tcPr>
          <w:p>
            <w:r/>
            <w:r>
              <w:rPr>
                <w:b/>
              </w:rPr>
              <w:t>On-prem change</w:t>
            </w:r>
          </w:p>
        </w:tc>
      </w:tr>
      <w:tr>
        <w:tc>
          <w:tcPr>
            <w:tcW w:type="dxa" w:w="2880"/>
            <w:vAlign w:val="top"/>
          </w:tcPr>
          <w:p>
            <w:r/>
            <w:r>
              <w:rPr>
                <w:rFonts w:ascii="Consolas" w:hAnsi="Consolas"/>
                <w:sz w:val="20"/>
              </w:rPr>
              <w:t>deploy/compose.production.yml</w:t>
            </w:r>
          </w:p>
        </w:tc>
        <w:tc>
          <w:tcPr>
            <w:tcW w:type="dxa" w:w="2880"/>
            <w:vAlign w:val="top"/>
          </w:tcPr>
          <w:p>
            <w:r/>
            <w:r>
              <w:t xml:space="preserve">flip-ui *not* present (CloudFront serves it); flip-api reads </w:t>
            </w:r>
            <w:r>
              <w:rPr>
                <w:rFonts w:ascii="Consolas" w:hAnsi="Consolas"/>
                <w:sz w:val="20"/>
              </w:rPr>
              <w:t>POSTGRES_SECRET_ARN</w:t>
            </w:r>
            <w:r>
              <w:t xml:space="preserve">, </w:t>
            </w:r>
            <w:r>
              <w:rPr>
                <w:rFonts w:ascii="Consolas" w:hAnsi="Consolas"/>
                <w:sz w:val="20"/>
              </w:rPr>
              <w:t>AWS_SECRET_NAME</w:t>
            </w:r>
            <w:r>
              <w:t xml:space="preserve">; image source </w:t>
            </w:r>
            <w:r>
              <w:rPr>
                <w:rFonts w:ascii="Consolas" w:hAnsi="Consolas"/>
                <w:sz w:val="20"/>
              </w:rPr>
              <w:t>ghcr.io/londonaicentre/*</w:t>
            </w:r>
          </w:p>
        </w:tc>
        <w:tc>
          <w:tcPr>
            <w:tcW w:type="dxa" w:w="2880"/>
            <w:vAlign w:val="top"/>
          </w:tcPr>
          <w:p>
            <w:r/>
            <w:r>
              <w:t xml:space="preserve">Add a </w:t>
            </w:r>
            <w:r>
              <w:rPr>
                <w:rFonts w:ascii="Consolas" w:hAnsi="Consolas"/>
                <w:sz w:val="20"/>
              </w:rPr>
              <w:t>flip-ui</w:t>
            </w:r>
            <w:r>
              <w:t xml:space="preserve"> Nginx container (mount built </w:t>
            </w:r>
            <w:r>
              <w:rPr>
                <w:rFonts w:ascii="Consolas" w:hAnsi="Consolas"/>
                <w:sz w:val="20"/>
              </w:rPr>
              <w:t>dist/</w:t>
            </w:r>
            <w:r>
              <w:t xml:space="preserve"> + </w:t>
            </w:r>
            <w:r>
              <w:rPr>
                <w:rFonts w:ascii="Consolas" w:hAnsi="Consolas"/>
                <w:sz w:val="20"/>
              </w:rPr>
              <w:t>window.js</w:t>
            </w:r>
            <w:r>
              <w:t xml:space="preserve">); add </w:t>
            </w:r>
            <w:r>
              <w:rPr>
                <w:rFonts w:ascii="Consolas" w:hAnsi="Consolas"/>
                <w:sz w:val="20"/>
              </w:rPr>
              <w:t>minio</w:t>
            </w:r>
            <w:r>
              <w:t xml:space="preserve"> and </w:t>
            </w:r>
            <w:r>
              <w:rPr>
                <w:rFonts w:ascii="Consolas" w:hAnsi="Consolas"/>
                <w:sz w:val="20"/>
              </w:rPr>
              <w:t>postgres</w:t>
            </w:r>
            <w:r>
              <w:t xml:space="preserve"> services for sites that don't have an existing DB; remove Secrets-Manager-shaped envs in favour of </w:t>
            </w:r>
            <w:r>
              <w:rPr>
                <w:rFonts w:ascii="Consolas" w:hAnsi="Consolas"/>
                <w:sz w:val="20"/>
              </w:rPr>
              <w:t>${VAR}</w:t>
            </w:r>
            <w:r>
              <w:t xml:space="preserve"> substitution from a host </w:t>
            </w:r>
            <w:r>
              <w:rPr>
                <w:rFonts w:ascii="Consolas" w:hAnsi="Consolas"/>
                <w:sz w:val="20"/>
              </w:rPr>
              <w:t>.env</w:t>
            </w:r>
            <w:r>
              <w:t>. Keep two production compose files (</w:t>
            </w:r>
            <w:r>
              <w:rPr>
                <w:rFonts w:ascii="Consolas" w:hAnsi="Consolas"/>
                <w:sz w:val="20"/>
              </w:rPr>
              <w:t>compose.production.aws.yml</w:t>
            </w:r>
            <w:r>
              <w:t xml:space="preserve">, </w:t>
            </w:r>
            <w:r>
              <w:rPr>
                <w:rFonts w:ascii="Consolas" w:hAnsi="Consolas"/>
                <w:sz w:val="20"/>
              </w:rPr>
              <w:t>compose.production.onprem.yml</w:t>
            </w:r>
            <w:r>
              <w:t>) sharing a base.</w:t>
            </w:r>
          </w:p>
        </w:tc>
      </w:tr>
      <w:tr>
        <w:tc>
          <w:tcPr>
            <w:tcW w:type="dxa" w:w="2880"/>
            <w:vAlign w:val="top"/>
          </w:tcPr>
          <w:p>
            <w:r/>
            <w:r>
              <w:rPr>
                <w:rFonts w:ascii="Consolas" w:hAnsi="Consolas"/>
                <w:sz w:val="20"/>
              </w:rPr>
              <w:t>deploy/compose.development.yml</w:t>
            </w:r>
          </w:p>
        </w:tc>
        <w:tc>
          <w:tcPr>
            <w:tcW w:type="dxa" w:w="2880"/>
            <w:vAlign w:val="top"/>
          </w:tcPr>
          <w:p>
            <w:r/>
            <w:r>
              <w:t xml:space="preserve">Already runs Postgres in compose, mounts </w:t>
            </w:r>
            <w:r>
              <w:rPr>
                <w:rFonts w:ascii="Consolas" w:hAnsi="Consolas"/>
                <w:sz w:val="20"/>
              </w:rPr>
              <w:t>~/.aws</w:t>
            </w:r>
            <w:r>
              <w:t xml:space="preserve"> for SSO</w:t>
            </w:r>
          </w:p>
        </w:tc>
        <w:tc>
          <w:tcPr>
            <w:tcW w:type="dxa" w:w="2880"/>
            <w:vAlign w:val="top"/>
          </w:tcPr>
          <w:p>
            <w:r/>
            <w:r>
              <w:t>No change beyond making MinIO an opt-in dev service.</w:t>
            </w:r>
          </w:p>
        </w:tc>
      </w:tr>
      <w:tr>
        <w:tc>
          <w:tcPr>
            <w:tcW w:type="dxa" w:w="2880"/>
            <w:vAlign w:val="top"/>
          </w:tcPr>
          <w:p>
            <w:r/>
            <w:r>
              <w:rPr>
                <w:rFonts w:ascii="Consolas" w:hAnsi="Consolas"/>
                <w:sz w:val="20"/>
              </w:rPr>
              <w:t>deploy/providers/AWS/site.yml</w:t>
            </w:r>
          </w:p>
        </w:tc>
        <w:tc>
          <w:tcPr>
            <w:tcW w:type="dxa" w:w="2880"/>
            <w:vAlign w:val="top"/>
          </w:tcPr>
          <w:p>
            <w:r/>
            <w:r>
              <w:t xml:space="preserve">Provisions Docker, AWS CLI, CloudWatch agent, </w:t>
            </w:r>
            <w:r>
              <w:rPr>
                <w:rFonts w:ascii="Consolas" w:hAnsi="Consolas"/>
                <w:sz w:val="20"/>
              </w:rPr>
              <w:t>aws s3 sync</w:t>
            </w:r>
            <w:r>
              <w:t xml:space="preserve"> of NVFLARE/Flower kits</w:t>
            </w:r>
          </w:p>
        </w:tc>
        <w:tc>
          <w:tcPr>
            <w:tcW w:type="dxa" w:w="2880"/>
            <w:vAlign w:val="top"/>
          </w:tcPr>
          <w:p>
            <w:r/>
            <w:r>
              <w:t xml:space="preserve">Mirror as </w:t>
            </w:r>
            <w:r>
              <w:rPr>
                <w:rFonts w:ascii="Consolas" w:hAnsi="Consolas"/>
                <w:sz w:val="20"/>
              </w:rPr>
              <w:t>deploy/providers/local/site_local_hub.yml</w:t>
            </w:r>
            <w:r>
              <w:t xml:space="preserve"> — same Docker setup, but kits are fetched from a configurable URL (HTTPS, file path, or local mirror), no AWS CLI, no CloudWatch agent. Loki/Grafana/Alloy roles can be lifted directly from </w:t>
            </w:r>
            <w:r>
              <w:rPr>
                <w:rFonts w:ascii="Consolas" w:hAnsi="Consolas"/>
                <w:sz w:val="20"/>
              </w:rPr>
              <w:t>site_local_trust.yml</w:t>
            </w:r>
            <w:r>
              <w:t>.</w:t>
            </w:r>
          </w:p>
        </w:tc>
      </w:tr>
      <w:tr>
        <w:tc>
          <w:tcPr>
            <w:tcW w:type="dxa" w:w="2880"/>
            <w:vAlign w:val="top"/>
          </w:tcPr>
          <w:p>
            <w:r/>
            <w:r>
              <w:rPr>
                <w:rFonts w:ascii="Consolas" w:hAnsi="Consolas"/>
                <w:sz w:val="20"/>
              </w:rPr>
              <w:t>deploy/providers/AWS/main.tf</w:t>
            </w:r>
            <w:r>
              <w:t xml:space="preserve"> (~200 resources)</w:t>
            </w:r>
          </w:p>
        </w:tc>
        <w:tc>
          <w:tcPr>
            <w:tcW w:type="dxa" w:w="2880"/>
            <w:vAlign w:val="top"/>
          </w:tcPr>
          <w:p>
            <w:r/>
            <w:r>
              <w:t>VPC, ALB, NLB, RDS, S3, ACM, Route53, CloudFront, Cognito, SES, Secrets Manager, IAM, EC2</w:t>
            </w:r>
          </w:p>
        </w:tc>
        <w:tc>
          <w:tcPr>
            <w:tcW w:type="dxa" w:w="2880"/>
            <w:vAlign w:val="top"/>
          </w:tcPr>
          <w:p>
            <w:r/>
            <w:r>
              <w:t>None of this is needed on-prem. The on-prem deploy story is "Ansible playbook + Compose stack on a host the institution provides".</w:t>
            </w:r>
          </w:p>
        </w:tc>
      </w:tr>
      <w:tr>
        <w:tc>
          <w:tcPr>
            <w:tcW w:type="dxa" w:w="2880"/>
            <w:vAlign w:val="top"/>
          </w:tcPr>
          <w:p>
            <w:r/>
            <w:r>
              <w:rPr>
                <w:rFonts w:ascii="Consolas" w:hAnsi="Consolas"/>
                <w:sz w:val="20"/>
              </w:rPr>
              <w:t>deploy/providers/AWS/cloudfront.tf</w:t>
            </w:r>
            <w:r>
              <w:t xml:space="preserve">, </w:t>
            </w:r>
            <w:r>
              <w:rPr>
                <w:rFonts w:ascii="Consolas" w:hAnsi="Consolas"/>
                <w:sz w:val="20"/>
              </w:rPr>
              <w:t>certificate.tf</w:t>
            </w:r>
          </w:p>
        </w:tc>
        <w:tc>
          <w:tcPr>
            <w:tcW w:type="dxa" w:w="2880"/>
            <w:vAlign w:val="top"/>
          </w:tcPr>
          <w:p>
            <w:r/>
            <w:r>
              <w:t xml:space="preserve">UI hosting, viewer/origin certs, </w:t>
            </w:r>
            <w:r>
              <w:rPr>
                <w:rFonts w:ascii="Consolas" w:hAnsi="Consolas"/>
                <w:sz w:val="20"/>
              </w:rPr>
              <w:t>api.&lt;subdomain&gt;</w:t>
            </w:r>
            <w:r>
              <w:t xml:space="preserve"> backend DNS</w:t>
            </w:r>
          </w:p>
        </w:tc>
        <w:tc>
          <w:tcPr>
            <w:tcW w:type="dxa" w:w="2880"/>
            <w:vAlign w:val="top"/>
          </w:tcPr>
          <w:p>
            <w:r/>
            <w:r>
              <w:t>Out of scope on-prem — institution's reverse proxy handles this. We must, however, document the proxy contract (request headers preserved, websocket/long-poll support, body-size limits for model uploads).</w:t>
            </w:r>
          </w:p>
        </w:tc>
      </w:tr>
      <w:tr>
        <w:tc>
          <w:tcPr>
            <w:tcW w:type="dxa" w:w="2880"/>
            <w:vAlign w:val="top"/>
          </w:tcPr>
          <w:p>
            <w:r/>
            <w:r>
              <w:rPr>
                <w:rFonts w:ascii="Consolas" w:hAnsi="Consolas"/>
                <w:sz w:val="20"/>
              </w:rPr>
              <w:t>deploy/providers/AWS/Makefile</w:t>
            </w:r>
            <w:r>
              <w:t xml:space="preserve"> </w:t>
            </w:r>
            <w:r>
              <w:rPr>
                <w:rFonts w:ascii="Consolas" w:hAnsi="Consolas"/>
                <w:sz w:val="20"/>
              </w:rPr>
              <w:t>deploy-ui</w:t>
            </w:r>
            <w:r>
              <w:t xml:space="preserve"> target</w:t>
            </w:r>
          </w:p>
        </w:tc>
        <w:tc>
          <w:tcPr>
            <w:tcW w:type="dxa" w:w="2880"/>
            <w:vAlign w:val="top"/>
          </w:tcPr>
          <w:p>
            <w:r/>
            <w:r>
              <w:rPr>
                <w:rFonts w:ascii="Consolas" w:hAnsi="Consolas"/>
                <w:sz w:val="20"/>
              </w:rPr>
              <w:t>npm run build:deploy</w:t>
            </w:r>
            <w:r>
              <w:t xml:space="preserve"> → S3 sync → CloudFront invalidate</w:t>
            </w:r>
          </w:p>
        </w:tc>
        <w:tc>
          <w:tcPr>
            <w:tcW w:type="dxa" w:w="2880"/>
            <w:vAlign w:val="top"/>
          </w:tcPr>
          <w:p>
            <w:r/>
            <w:r>
              <w:t xml:space="preserve">Replace with </w:t>
            </w:r>
            <w:r>
              <w:rPr>
                <w:rFonts w:ascii="Consolas" w:hAnsi="Consolas"/>
                <w:sz w:val="20"/>
              </w:rPr>
              <w:t>npm run build:deploy</w:t>
            </w:r>
            <w:r>
              <w:t xml:space="preserve"> → bake into Nginx image (or volume-mount). The </w:t>
            </w:r>
            <w:r>
              <w:rPr>
                <w:rFonts w:ascii="Consolas" w:hAnsi="Consolas"/>
                <w:sz w:val="20"/>
              </w:rPr>
              <w:t>generate-window-js.sh</w:t>
            </w:r>
            <w:r>
              <w:t xml:space="preserve"> step stays.</w:t>
            </w:r>
          </w:p>
        </w:tc>
      </w:tr>
      <w:tr>
        <w:tc>
          <w:tcPr>
            <w:tcW w:type="dxa" w:w="2880"/>
            <w:vAlign w:val="top"/>
          </w:tcPr>
          <w:p>
            <w:r/>
            <w:r>
              <w:rPr>
                <w:rFonts w:ascii="Consolas" w:hAnsi="Consolas"/>
                <w:sz w:val="20"/>
              </w:rPr>
              <w:t>.github/workflows/docker_build_*.yml</w:t>
            </w:r>
          </w:p>
        </w:tc>
        <w:tc>
          <w:tcPr>
            <w:tcW w:type="dxa" w:w="2880"/>
            <w:vAlign w:val="top"/>
          </w:tcPr>
          <w:p>
            <w:r/>
            <w:r>
              <w:t>Push images to GHCR</w:t>
            </w:r>
          </w:p>
        </w:tc>
        <w:tc>
          <w:tcPr>
            <w:tcW w:type="dxa" w:w="2880"/>
            <w:vAlign w:val="top"/>
          </w:tcPr>
          <w:p>
            <w:r/>
            <w:r>
              <w:t>No change for variant B. For air-gapped variant A, document the mirror procedure (</w:t>
            </w:r>
            <w:r>
              <w:rPr>
                <w:rFonts w:ascii="Consolas" w:hAnsi="Consolas"/>
                <w:sz w:val="20"/>
              </w:rPr>
              <w:t>docker save</w:t>
            </w:r>
            <w:r>
              <w:t xml:space="preserve"> → registry mirror, or Harbor replication).</w:t>
            </w:r>
          </w:p>
        </w:tc>
      </w:tr>
    </w:tbl>
    <w:p>
      <w:pPr>
        <w:pStyle w:val="Heading2"/>
      </w:pPr>
      <w:r>
        <w:t>4. Configuration contract</w:t>
      </w:r>
    </w:p>
    <w:p>
      <w:r>
        <w:t xml:space="preserve">A tighter env-var contract for on-prem would live alongside the existing </w:t>
      </w:r>
      <w:r>
        <w:rPr>
          <w:rFonts w:ascii="Consolas" w:hAnsi="Consolas"/>
          <w:sz w:val="20"/>
        </w:rPr>
        <w:t>.env.development.example</w:t>
      </w:r>
      <w:r>
        <w:t xml:space="preserve"> (lines 1–187). The on-prem-specific additions / changes:</w:t>
      </w:r>
    </w:p>
    <w:p>
      <w:pPr>
        <w:pStyle w:val="ListBullet"/>
      </w:pPr>
      <w:r>
        <w:rPr>
          <w:b/>
        </w:rPr>
        <w:t>Replaced</w:t>
      </w:r>
      <w:r>
        <w:t xml:space="preserve"> (used to be AWS-shaped): </w:t>
      </w:r>
      <w:r>
        <w:rPr>
          <w:rFonts w:ascii="Consolas" w:hAnsi="Consolas"/>
          <w:sz w:val="20"/>
        </w:rPr>
        <w:t>AWS_REGION</w:t>
      </w:r>
      <w:r>
        <w:t xml:space="preserve">, </w:t>
      </w:r>
      <w:r>
        <w:rPr>
          <w:rFonts w:ascii="Consolas" w:hAnsi="Consolas"/>
          <w:sz w:val="20"/>
        </w:rPr>
        <w:t>AWS_COGNITO_USER_POOL_ID</w:t>
      </w:r>
      <w:r>
        <w:t xml:space="preserve">, </w:t>
      </w:r>
      <w:r>
        <w:rPr>
          <w:rFonts w:ascii="Consolas" w:hAnsi="Consolas"/>
          <w:sz w:val="20"/>
        </w:rPr>
        <w:t>AWS_COGNITO_APP_CLIENT_ID</w:t>
      </w:r>
      <w:r>
        <w:t xml:space="preserve">, </w:t>
      </w:r>
      <w:r>
        <w:rPr>
          <w:rFonts w:ascii="Consolas" w:hAnsi="Consolas"/>
          <w:sz w:val="20"/>
        </w:rPr>
        <w:t>AWS_SECRET_NAME</w:t>
      </w:r>
      <w:r>
        <w:t xml:space="preserve">, </w:t>
      </w:r>
      <w:r>
        <w:rPr>
          <w:rFonts w:ascii="Consolas" w:hAnsi="Consolas"/>
          <w:sz w:val="20"/>
        </w:rPr>
        <w:t>AWS_SES_*</w:t>
      </w:r>
      <w:r>
        <w:t xml:space="preserve">, the five S3 bucket names → </w:t>
      </w:r>
      <w:r>
        <w:rPr>
          <w:rFonts w:ascii="Consolas" w:hAnsi="Consolas"/>
          <w:sz w:val="20"/>
        </w:rPr>
        <w:t>OIDC_ISSUER</w:t>
      </w:r>
      <w:r>
        <w:t xml:space="preserve">, </w:t>
      </w:r>
      <w:r>
        <w:rPr>
          <w:rFonts w:ascii="Consolas" w:hAnsi="Consolas"/>
          <w:sz w:val="20"/>
        </w:rPr>
        <w:t>OIDC_CLIENT_ID</w:t>
      </w:r>
      <w:r>
        <w:t xml:space="preserve">, </w:t>
      </w:r>
      <w:r>
        <w:rPr>
          <w:rFonts w:ascii="Consolas" w:hAnsi="Consolas"/>
          <w:sz w:val="20"/>
        </w:rPr>
        <w:t>OIDC_AUDIENCE</w:t>
      </w:r>
      <w:r>
        <w:t xml:space="preserve">, </w:t>
      </w:r>
      <w:r>
        <w:rPr>
          <w:rFonts w:ascii="Consolas" w:hAnsi="Consolas"/>
          <w:sz w:val="20"/>
        </w:rPr>
        <w:t>JWKS_URL</w:t>
      </w:r>
      <w:r>
        <w:t xml:space="preserve">, </w:t>
      </w:r>
      <w:r>
        <w:rPr>
          <w:rFonts w:ascii="Consolas" w:hAnsi="Consolas"/>
          <w:sz w:val="20"/>
        </w:rPr>
        <w:t>S3_ENDPOINT_URL</w:t>
      </w:r>
      <w:r>
        <w:t xml:space="preserve">, </w:t>
      </w:r>
      <w:r>
        <w:rPr>
          <w:rFonts w:ascii="Consolas" w:hAnsi="Consolas"/>
          <w:sz w:val="20"/>
        </w:rPr>
        <w:t>S3_ACCESS_KEY</w:t>
      </w:r>
      <w:r>
        <w:t xml:space="preserve">, </w:t>
      </w:r>
      <w:r>
        <w:rPr>
          <w:rFonts w:ascii="Consolas" w:hAnsi="Consolas"/>
          <w:sz w:val="20"/>
        </w:rPr>
        <w:t>S3_SECRET_KEY</w:t>
      </w:r>
      <w:r>
        <w:t xml:space="preserve">, bucket names (still applicable, just MinIO buckets), </w:t>
      </w:r>
      <w:r>
        <w:rPr>
          <w:rFonts w:ascii="Consolas" w:hAnsi="Consolas"/>
          <w:sz w:val="20"/>
        </w:rPr>
        <w:t>SMTP_HOST</w:t>
      </w:r>
      <w:r>
        <w:t xml:space="preserve">, </w:t>
      </w:r>
      <w:r>
        <w:rPr>
          <w:rFonts w:ascii="Consolas" w:hAnsi="Consolas"/>
          <w:sz w:val="20"/>
        </w:rPr>
        <w:t>SMTP_PORT</w:t>
      </w:r>
      <w:r>
        <w:t xml:space="preserve">, </w:t>
      </w:r>
      <w:r>
        <w:rPr>
          <w:rFonts w:ascii="Consolas" w:hAnsi="Consolas"/>
          <w:sz w:val="20"/>
        </w:rPr>
        <w:t>SMTP_USERNAME</w:t>
      </w:r>
      <w:r>
        <w:t xml:space="preserve">, </w:t>
      </w:r>
      <w:r>
        <w:rPr>
          <w:rFonts w:ascii="Consolas" w:hAnsi="Consolas"/>
          <w:sz w:val="20"/>
        </w:rPr>
        <w:t>SMTP_PASSWORD</w:t>
      </w:r>
      <w:r>
        <w:t xml:space="preserve">, </w:t>
      </w:r>
      <w:r>
        <w:rPr>
          <w:rFonts w:ascii="Consolas" w:hAnsi="Consolas"/>
          <w:sz w:val="20"/>
        </w:rPr>
        <w:t>SMTP_FROM</w:t>
      </w:r>
      <w:r>
        <w:t>.</w:t>
      </w:r>
    </w:p>
    <w:p>
      <w:pPr>
        <w:pStyle w:val="ListBullet"/>
      </w:pPr>
      <w:r>
        <w:rPr>
          <w:b/>
        </w:rPr>
        <w:t>Unchanged</w:t>
      </w:r>
      <w:r>
        <w:t xml:space="preserve">: </w:t>
      </w:r>
      <w:r>
        <w:rPr>
          <w:rFonts w:ascii="Consolas" w:hAnsi="Consolas"/>
          <w:sz w:val="20"/>
        </w:rPr>
        <w:t>POSTGRES_*</w:t>
      </w:r>
      <w:r>
        <w:t xml:space="preserve">, </w:t>
      </w:r>
      <w:r>
        <w:rPr>
          <w:rFonts w:ascii="Consolas" w:hAnsi="Consolas"/>
          <w:sz w:val="20"/>
        </w:rPr>
        <w:t>DB_HOST</w:t>
      </w:r>
      <w:r>
        <w:t xml:space="preserve">, </w:t>
      </w:r>
      <w:r>
        <w:rPr>
          <w:rFonts w:ascii="Consolas" w:hAnsi="Consolas"/>
          <w:sz w:val="20"/>
        </w:rPr>
        <w:t>DB_PORT</w:t>
      </w:r>
      <w:r>
        <w:t xml:space="preserve">, </w:t>
      </w:r>
      <w:r>
        <w:rPr>
          <w:rFonts w:ascii="Consolas" w:hAnsi="Consolas"/>
          <w:sz w:val="20"/>
        </w:rPr>
        <w:t>TRUST_NAMES</w:t>
      </w:r>
      <w:r>
        <w:t xml:space="preserve">, </w:t>
      </w:r>
      <w:r>
        <w:rPr>
          <w:rFonts w:ascii="Consolas" w:hAnsi="Consolas"/>
          <w:sz w:val="20"/>
        </w:rPr>
        <w:t>TRUST_API_KEY_HASHES</w:t>
      </w:r>
      <w:r>
        <w:t xml:space="preserve">, </w:t>
      </w:r>
      <w:r>
        <w:rPr>
          <w:rFonts w:ascii="Consolas" w:hAnsi="Consolas"/>
          <w:sz w:val="20"/>
        </w:rPr>
        <w:t>INTERNAL_SERVICE_KEY_HASH</w:t>
      </w:r>
      <w:r>
        <w:t xml:space="preserve">, </w:t>
      </w:r>
      <w:r>
        <w:rPr>
          <w:rFonts w:ascii="Consolas" w:hAnsi="Consolas"/>
          <w:sz w:val="20"/>
        </w:rPr>
        <w:t>INTERNAL_SERVICE_KEY_HEADER</w:t>
      </w:r>
      <w:r>
        <w:t xml:space="preserve">, </w:t>
      </w:r>
      <w:r>
        <w:rPr>
          <w:rFonts w:ascii="Consolas" w:hAnsi="Consolas"/>
          <w:sz w:val="20"/>
        </w:rPr>
        <w:t>TRUST_API_KEY_HEADER</w:t>
      </w:r>
      <w:r>
        <w:t xml:space="preserve">, </w:t>
      </w:r>
      <w:r>
        <w:rPr>
          <w:rFonts w:ascii="Consolas" w:hAnsi="Consolas"/>
          <w:sz w:val="20"/>
        </w:rPr>
        <w:t>AES_KEY_BASE64</w:t>
      </w:r>
      <w:r>
        <w:t xml:space="preserve">, </w:t>
      </w:r>
      <w:r>
        <w:rPr>
          <w:rFonts w:ascii="Consolas" w:hAnsi="Consolas"/>
          <w:sz w:val="20"/>
        </w:rPr>
        <w:t>FL_BACKEND</w:t>
      </w:r>
      <w:r>
        <w:t xml:space="preserve">, </w:t>
      </w:r>
      <w:r>
        <w:rPr>
          <w:rFonts w:ascii="Consolas" w:hAnsi="Consolas"/>
          <w:sz w:val="20"/>
        </w:rPr>
        <w:t>FL_API_PORT</w:t>
      </w:r>
      <w:r>
        <w:t xml:space="preserve">, </w:t>
      </w:r>
      <w:r>
        <w:rPr>
          <w:rFonts w:ascii="Consolas" w:hAnsi="Consolas"/>
          <w:sz w:val="20"/>
        </w:rPr>
        <w:t>FL_SERVER_PORT</w:t>
      </w:r>
      <w:r>
        <w:t xml:space="preserve">, </w:t>
      </w:r>
      <w:r>
        <w:rPr>
          <w:rFonts w:ascii="Consolas" w:hAnsi="Consolas"/>
          <w:sz w:val="20"/>
        </w:rPr>
        <w:t>FLIP_API_INTERNAL_URL</w:t>
      </w:r>
      <w:r>
        <w:t xml:space="preserve">, </w:t>
      </w:r>
      <w:r>
        <w:rPr>
          <w:rFonts w:ascii="Consolas" w:hAnsi="Consolas"/>
          <w:sz w:val="20"/>
        </w:rPr>
        <w:t>NET_ENDPOINTS</w:t>
      </w:r>
      <w:r>
        <w:t xml:space="preserve">, </w:t>
      </w:r>
      <w:r>
        <w:rPr>
          <w:rFonts w:ascii="Consolas" w:hAnsi="Consolas"/>
          <w:sz w:val="20"/>
        </w:rPr>
        <w:t>CENTRAL_HUB_API_URL</w:t>
      </w:r>
      <w:r>
        <w:t xml:space="preserve">, </w:t>
      </w:r>
      <w:r>
        <w:rPr>
          <w:rFonts w:ascii="Consolas" w:hAnsi="Consolas"/>
          <w:sz w:val="20"/>
        </w:rPr>
        <w:t>POLL_INTERVAL_SECONDS</w:t>
      </w:r>
      <w:r>
        <w:t>. These are already cloud-neutral.</w:t>
      </w:r>
    </w:p>
    <w:p>
      <w:pPr>
        <w:pStyle w:val="ListBullet"/>
      </w:pPr>
      <w:r>
        <w:rPr>
          <w:b/>
        </w:rPr>
        <w:t>Removed</w:t>
      </w:r>
      <w:r>
        <w:t xml:space="preserve">: </w:t>
      </w:r>
      <w:r>
        <w:rPr>
          <w:rFonts w:ascii="Consolas" w:hAnsi="Consolas"/>
          <w:sz w:val="20"/>
        </w:rPr>
        <w:t>POSTGRES_SECRET_ARN</w:t>
      </w:r>
      <w:r>
        <w:t xml:space="preserve">, </w:t>
      </w:r>
      <w:r>
        <w:rPr>
          <w:rFonts w:ascii="Consolas" w:hAnsi="Consolas"/>
          <w:sz w:val="20"/>
        </w:rPr>
        <w:t>AWS_PROFILE</w:t>
      </w:r>
      <w:r>
        <w:t xml:space="preserve">, </w:t>
      </w:r>
      <w:r>
        <w:rPr>
          <w:rFonts w:ascii="Consolas" w:hAnsi="Consolas"/>
          <w:sz w:val="20"/>
        </w:rPr>
        <w:t>AWS_SES_ADMIN_EMAIL_ADDRESS</w:t>
      </w:r>
      <w:r>
        <w:t xml:space="preserve">, </w:t>
      </w:r>
      <w:r>
        <w:rPr>
          <w:rFonts w:ascii="Consolas" w:hAnsi="Consolas"/>
          <w:sz w:val="20"/>
        </w:rPr>
        <w:t>AWS_SES_SENDER_EMAIL_ADDRESS</w:t>
      </w:r>
      <w:r>
        <w:t xml:space="preserve"> (collapsed into SMTP).</w:t>
      </w:r>
    </w:p>
    <w:p>
      <w:pPr>
        <w:pStyle w:val="Heading2"/>
      </w:pPr>
      <w:r>
        <w:t>5. Suggested phasing</w:t>
      </w:r>
    </w:p>
    <w:p>
      <w:pPr>
        <w:pStyle w:val="ListNumber"/>
      </w:pPr>
      <w:r>
        <w:rPr>
          <w:b/>
        </w:rPr>
        <w:t>Refactor for pluggability (no behaviour change).</w:t>
      </w:r>
      <w:r>
        <w:t xml:space="preserve"> Add </w:t>
      </w:r>
      <w:r>
        <w:rPr>
          <w:rFonts w:ascii="Consolas" w:hAnsi="Consolas"/>
          <w:sz w:val="20"/>
        </w:rPr>
        <w:t>endpoint_url</w:t>
      </w:r>
      <w:r>
        <w:t xml:space="preserve"> to </w:t>
      </w:r>
      <w:r>
        <w:rPr>
          <w:rFonts w:ascii="Consolas" w:hAnsi="Consolas"/>
          <w:sz w:val="20"/>
        </w:rPr>
        <w:t>s3_client.py</w:t>
      </w:r>
      <w:r>
        <w:t xml:space="preserve">, abstract Cognito helpers behind a protocol, abstract SES helpers behind a </w:t>
      </w:r>
      <w:r>
        <w:rPr>
          <w:rFonts w:ascii="Consolas" w:hAnsi="Consolas"/>
          <w:sz w:val="20"/>
        </w:rPr>
        <w:t>Mailer</w:t>
      </w:r>
      <w:r>
        <w:t xml:space="preserve"> protocol, add </w:t>
      </w:r>
      <w:r>
        <w:rPr>
          <w:rFonts w:ascii="Consolas" w:hAnsi="Consolas"/>
          <w:sz w:val="20"/>
        </w:rPr>
        <w:t>OnPremSettings</w:t>
      </w:r>
      <w:r>
        <w:t xml:space="preserve"> config class. AWS deploy keeps working unchanged. ~2–3 weeks.</w:t>
      </w:r>
    </w:p>
    <w:p>
      <w:pPr>
        <w:pStyle w:val="ListNumber"/>
      </w:pPr>
      <w:r>
        <w:rPr>
          <w:b/>
        </w:rPr>
        <w:t>Hybrid mode (variant B) shippable.</w:t>
      </w:r>
      <w:r>
        <w:t xml:space="preserve"> Add MinIO + SMTP + flip-ui-as-Nginx to </w:t>
      </w:r>
      <w:r>
        <w:rPr>
          <w:rFonts w:ascii="Consolas" w:hAnsi="Consolas"/>
          <w:sz w:val="20"/>
        </w:rPr>
        <w:t>compose.production.onprem.yml</w:t>
      </w:r>
      <w:r>
        <w:t xml:space="preserve">, write </w:t>
      </w:r>
      <w:r>
        <w:rPr>
          <w:rFonts w:ascii="Consolas" w:hAnsi="Consolas"/>
          <w:sz w:val="20"/>
        </w:rPr>
        <w:t>deploy/providers/local/site_local_hub.yml</w:t>
      </w:r>
      <w:r>
        <w:t>, write on-prem deployment doc. Cognito stays. End-to-end test: install on a clean VM, register a trust, run an FL job. ~2–3 weeks.</w:t>
      </w:r>
    </w:p>
    <w:p>
      <w:pPr>
        <w:pStyle w:val="ListNumber"/>
      </w:pPr>
      <w:r>
        <w:rPr>
          <w:b/>
        </w:rPr>
        <w:t>Cognito replacement (variant A).</w:t>
      </w:r>
      <w:r>
        <w:t xml:space="preserve"> Stand up Keycloak in compose, port the 6 admin operations and JWT verification, refactor flip-ui auth store to OIDC, port the 3 SES email templates to Jinja. ~4–6 weeks. This is the long pole.</w:t>
      </w:r>
    </w:p>
    <w:p>
      <w:pPr>
        <w:pStyle w:val="ListNumber"/>
      </w:pPr>
      <w:r>
        <w:rPr>
          <w:b/>
        </w:rPr>
        <w:t>Air-gapped polish.</w:t>
      </w:r>
      <w:r>
        <w:t xml:space="preserve"> Image-registry mirror procedure, offline </w:t>
      </w:r>
      <w:r>
        <w:rPr>
          <w:rFonts w:ascii="Consolas" w:hAnsi="Consolas"/>
          <w:sz w:val="20"/>
        </w:rPr>
        <w:t>uv</w:t>
      </w:r>
      <w:r>
        <w:t xml:space="preserve"> / </w:t>
      </w:r>
      <w:r>
        <w:rPr>
          <w:rFonts w:ascii="Consolas" w:hAnsi="Consolas"/>
          <w:sz w:val="20"/>
        </w:rPr>
        <w:t>npm</w:t>
      </w:r>
      <w:r>
        <w:t xml:space="preserve"> install, internal-CA cert rotation guidance. ~1 week.</w:t>
      </w:r>
    </w:p>
    <w:p>
      <w:r>
        <w:t xml:space="preserve">The two riskiest unknowns are (i) the institution's reverse-proxy and TLS-cert policy — websocket/long-poll support and </w:t>
      </w:r>
      <w:r>
        <w:rPr>
          <w:rFonts w:ascii="Consolas" w:hAnsi="Consolas"/>
          <w:sz w:val="20"/>
        </w:rPr>
        <w:t>X-Forwarded-*</w:t>
      </w:r>
      <w:r>
        <w:t xml:space="preserve"> trust have to be confirmed per site — and (ii) IdP integration depth. If a customer mandates SAML rather than OIDC, the UI lib choice changes again.</w:t>
      </w:r>
    </w:p>
    <w:p>
      <w:pPr>
        <w:pStyle w:val="Heading1"/>
      </w:pPr>
      <w:r>
        <w:t>Cloud vs on-prem for the Central Hub — pros and cons</w:t>
      </w:r>
    </w:p>
    <w:p>
      <w:r>
        <w:t>The choice isn't binary, and the right answer depends heavily on *who's running it*, *who the trusts are*, and *where they sit*. The current setup (cloud hub, on-prem trusts via the hybrid playbook) is itself a deliberate compromise. Here's how the tradeoffs land for FLIP specifically.</w:t>
      </w:r>
    </w:p>
    <w:p>
      <w:pPr>
        <w:pStyle w:val="Heading2"/>
      </w:pPr>
      <w:r>
        <w:t>Cloud (AWS) — current default</w:t>
      </w:r>
    </w:p>
    <w:p>
      <w:r>
        <w:rPr>
          <w:b/>
        </w:rPr>
        <w:t>Pros</w:t>
      </w:r>
    </w:p>
    <w:p>
      <w:pPr>
        <w:pStyle w:val="ListBullet"/>
      </w:pPr>
      <w:r>
        <w:rPr>
          <w:b/>
        </w:rPr>
        <w:t>Low ops burden.</w:t>
      </w:r>
      <w:r>
        <w:t xml:space="preserve"> RDS handles backups and patching, S3 is effectively zero-maintenance, ACM rotates certs automatically. London AI Centre runs one stack and that's the stack.</w:t>
      </w:r>
    </w:p>
    <w:p>
      <w:pPr>
        <w:pStyle w:val="ListBullet"/>
      </w:pPr>
      <w:r>
        <w:rPr>
          <w:b/>
        </w:rPr>
        <w:t>Single point of upgrade.</w:t>
      </w:r>
      <w:r>
        <w:t xml:space="preserve"> When a new flip-api version ships, one deployment moves and every trust picks it up at the next poll. With on-prem deployments at N institutions, version drift is real.</w:t>
      </w:r>
    </w:p>
    <w:p>
      <w:pPr>
        <w:pStyle w:val="ListBullet"/>
      </w:pPr>
      <w:r>
        <w:rPr>
          <w:b/>
        </w:rPr>
        <w:t>Cognito + SES + CloudFront are surprisingly hard to replicate.</w:t>
      </w:r>
      <w:r>
        <w:t xml:space="preserve"> Standing up Keycloak with HA, MFA, password reset email flows, hosted UI, and audit trail isn't a weekend job.</w:t>
      </w:r>
    </w:p>
    <w:p>
      <w:pPr>
        <w:pStyle w:val="ListBullet"/>
      </w:pPr>
      <w:r>
        <w:rPr>
          <w:b/>
        </w:rPr>
        <w:t>Elastic + multi-tenant.</w:t>
      </w:r>
      <w:r>
        <w:t xml:space="preserve"> One hub can host many federations at low marginal cost. On-prem usually means one hub per institution.</w:t>
      </w:r>
    </w:p>
    <w:p>
      <w:pPr>
        <w:pStyle w:val="ListBullet"/>
      </w:pPr>
      <w:r>
        <w:rPr>
          <w:b/>
        </w:rPr>
        <w:t>Built-in DR / HA.</w:t>
      </w:r>
      <w:r>
        <w:t xml:space="preserve"> Multi-AZ RDS, S3 11-9s durability, ALB cross-AZ. Equivalents on-prem need real institutional infra.</w:t>
      </w:r>
    </w:p>
    <w:p>
      <w:pPr>
        <w:pStyle w:val="ListBullet"/>
      </w:pPr>
      <w:r>
        <w:rPr>
          <w:b/>
        </w:rPr>
        <w:t>Audit + monitoring.</w:t>
      </w:r>
      <w:r>
        <w:t xml:space="preserve"> CloudTrail and CloudWatch are free with the IAM role. On-prem you build it (Loki/Grafana works, but it's more moving parts).</w:t>
      </w:r>
    </w:p>
    <w:p>
      <w:pPr>
        <w:pStyle w:val="ListBullet"/>
      </w:pPr>
      <w:r>
        <w:rPr>
          <w:b/>
        </w:rPr>
        <w:t>Fast time-to-pilot.</w:t>
      </w:r>
      <w:r>
        <w:t xml:space="preserve"> </w:t>
      </w:r>
      <w:r>
        <w:rPr>
          <w:rFonts w:ascii="Consolas" w:hAnsi="Consolas"/>
          <w:sz w:val="20"/>
        </w:rPr>
        <w:t>make full-deploy-stag</w:t>
      </w:r>
      <w:r>
        <w:t xml:space="preserve"> brings up a working hub from zero in under an hour.</w:t>
      </w:r>
    </w:p>
    <w:p>
      <w:r>
        <w:rPr>
          <w:b/>
        </w:rPr>
        <w:t>Cons</w:t>
      </w:r>
    </w:p>
    <w:p>
      <w:pPr>
        <w:pStyle w:val="ListBullet"/>
      </w:pPr>
      <w:r>
        <w:rPr>
          <w:b/>
        </w:rPr>
        <w:t>Data residency.</w:t>
      </w:r>
      <w:r>
        <w:t xml:space="preserve"> Even when raw imaging stays at the trust, the hub still sees model weights, FL metrics, user PII, project metadata, audit logs. UK NHS data going via AWS still triggers IG and DSPT review at most trusts; some institutions just won't sign off.</w:t>
      </w:r>
    </w:p>
    <w:p>
      <w:pPr>
        <w:pStyle w:val="ListBullet"/>
      </w:pPr>
      <w:r>
        <w:rPr>
          <w:b/>
        </w:rPr>
        <w:t>TRE incompatibility.</w:t>
      </w:r>
      <w:r>
        <w:t xml:space="preserve"> Many TREs allow no outbound traffic to public cloud at all. Those institutions can't be a trust against a cloud hub, period.</w:t>
      </w:r>
    </w:p>
    <w:p>
      <w:pPr>
        <w:pStyle w:val="ListBullet"/>
      </w:pPr>
      <w:r>
        <w:rPr>
          <w:b/>
        </w:rPr>
        <w:t>Geography is sticky.</w:t>
      </w:r>
      <w:r>
        <w:t xml:space="preserve"> The hub lives in eu-west-2; a hospital in Bangkok eats ~250ms RTT for every poll and FL round. You *can* re-deploy to ap-southeast-1, but then UK trusts get the latency hit. There's no good answer for a globally distributed federation — see below.</w:t>
      </w:r>
    </w:p>
    <w:p>
      <w:pPr>
        <w:pStyle w:val="ListBullet"/>
      </w:pPr>
      <w:r>
        <w:rPr>
          <w:b/>
        </w:rPr>
        <w:t>Egress + bandwidth costs.</w:t>
      </w:r>
      <w:r>
        <w:t xml:space="preserve"> Federated rounds pull model artefacts from S3 to every trust; for medical-imaging-scale models (100s of MB) this is material.</w:t>
      </w:r>
    </w:p>
    <w:p>
      <w:pPr>
        <w:pStyle w:val="ListBullet"/>
      </w:pPr>
      <w:r>
        <w:rPr>
          <w:b/>
        </w:rPr>
        <w:t>Vendor lock-in.</w:t>
      </w:r>
      <w:r>
        <w:t xml:space="preserve"> Cognito, SES, CloudFront, Secrets Manager are all proprietary. Even moving to GCP/Azure is a port, not a re-config.</w:t>
      </w:r>
    </w:p>
    <w:p>
      <w:pPr>
        <w:pStyle w:val="ListBullet"/>
      </w:pPr>
      <w:r>
        <w:rPr>
          <w:b/>
        </w:rPr>
        <w:t>Compliance scales with jurisdictions.</w:t>
      </w:r>
      <w:r>
        <w:t xml:space="preserve"> Each new country brings its own data-protection regime that has to be reasoned about against the AWS region's location.</w:t>
      </w:r>
    </w:p>
    <w:p>
      <w:pPr>
        <w:pStyle w:val="ListBullet"/>
      </w:pPr>
      <w:r>
        <w:rPr>
          <w:b/>
        </w:rPr>
        <w:t>Outbound-internet dependency.</w:t>
      </w:r>
      <w:r>
        <w:t xml:space="preserve"> Trusts must reach </w:t>
      </w:r>
      <w:r>
        <w:rPr>
          <w:rFonts w:ascii="Consolas" w:hAnsi="Consolas"/>
          <w:sz w:val="20"/>
        </w:rPr>
        <w:t>*.amazonaws.com</w:t>
      </w:r>
      <w:r>
        <w:t xml:space="preserve"> and the CloudFront edge. Hospital networks don't always cooperate.</w:t>
      </w:r>
    </w:p>
    <w:p>
      <w:pPr>
        <w:pStyle w:val="ListBullet"/>
      </w:pPr>
      <w:r>
        <w:rPr>
          <w:b/>
        </w:rPr>
        <w:t>The London AI Centre is on the hook for uptime.</w:t>
      </w:r>
      <w:r>
        <w:t xml:space="preserve"> A cloud outage or a billing/account issue takes down every federation simultaneously.</w:t>
      </w:r>
    </w:p>
    <w:p>
      <w:pPr>
        <w:pStyle w:val="Heading2"/>
      </w:pPr>
      <w:r>
        <w:t>On-prem</w:t>
      </w:r>
    </w:p>
    <w:p>
      <w:r>
        <w:rPr>
          <w:b/>
        </w:rPr>
        <w:t>Pros</w:t>
      </w:r>
    </w:p>
    <w:p>
      <w:pPr>
        <w:pStyle w:val="ListBullet"/>
      </w:pPr>
      <w:r>
        <w:rPr>
          <w:b/>
        </w:rPr>
        <w:t>Data and metadata never leave the institution.</w:t>
      </w:r>
      <w:r>
        <w:t xml:space="preserve"> Easiest possible IG conversation. The hub becomes "another internal service" rather than "a third-party cloud dependency".</w:t>
      </w:r>
    </w:p>
    <w:p>
      <w:pPr>
        <w:pStyle w:val="ListBullet"/>
      </w:pPr>
      <w:r>
        <w:rPr>
          <w:b/>
        </w:rPr>
        <w:t>Plugs into existing institutional infrastructure.</w:t>
      </w:r>
      <w:r>
        <w:t xml:space="preserve"> Hospitals already have an IdP (often Active Directory + ADFS or a Keycloak/Azure AD), DNS, internal CA, monitoring, backup tooling, and ops staff who know it. On-prem means *reusing* that infrastructure rather than parallel-running an AWS-shaped equivalent.</w:t>
      </w:r>
    </w:p>
    <w:p>
      <w:pPr>
        <w:pStyle w:val="ListBullet"/>
      </w:pPr>
      <w:r>
        <w:rPr>
          <w:b/>
        </w:rPr>
        <w:t>TRE-compatible.</w:t>
      </w:r>
      <w:r>
        <w:t xml:space="preserve"> A hub installed inside the TRE network can serve trusts that can't legally talk to public cloud at all. This is the only deployment model that works for some sites.</w:t>
      </w:r>
    </w:p>
    <w:p>
      <w:pPr>
        <w:pStyle w:val="ListBullet"/>
      </w:pPr>
      <w:r>
        <w:rPr>
          <w:b/>
        </w:rPr>
        <w:t>Predictable costs.</w:t>
      </w:r>
      <w:r>
        <w:t xml:space="preserve"> Capex + linear opex, no surprise bills. Over a 3–5 year horizon and high utilization, it's typically cheaper than cloud — though the breakeven depends a lot on how many engineering hours go into ops.</w:t>
      </w:r>
    </w:p>
    <w:p>
      <w:pPr>
        <w:pStyle w:val="ListBullet"/>
      </w:pPr>
      <w:r>
        <w:rPr>
          <w:b/>
        </w:rPr>
        <w:t>Latency wins for co-located trusts.</w:t>
      </w:r>
      <w:r>
        <w:t xml:space="preserve"> A hub on the institution's LAN talking to a trust on the same LAN is sub-millisecond. Useful for tight federations within one trust group (e.g. NHS regional consortium).</w:t>
      </w:r>
    </w:p>
    <w:p>
      <w:pPr>
        <w:pStyle w:val="ListBullet"/>
      </w:pPr>
      <w:r>
        <w:rPr>
          <w:b/>
        </w:rPr>
        <w:t>Independence.</w:t>
      </w:r>
      <w:r>
        <w:t xml:space="preserve"> No exposure to AWS account suspension, region outages, or pricing changes. Update cadence is the institution's choice.</w:t>
      </w:r>
    </w:p>
    <w:p>
      <w:pPr>
        <w:pStyle w:val="ListBullet"/>
      </w:pPr>
      <w:r>
        <w:rPr>
          <w:b/>
        </w:rPr>
        <w:t>Aligns with hospital procurement and governance.</w:t>
      </w:r>
      <w:r>
        <w:t xml:space="preserve"> Many institutions can buy hardware and license software more easily than they can sign cloud contracts and DPAs.</w:t>
      </w:r>
    </w:p>
    <w:p>
      <w:r>
        <w:rPr>
          <w:b/>
        </w:rPr>
        <w:t>Cons</w:t>
      </w:r>
    </w:p>
    <w:p>
      <w:pPr>
        <w:pStyle w:val="ListBullet"/>
      </w:pPr>
      <w:r>
        <w:rPr>
          <w:b/>
        </w:rPr>
        <w:t>Ops burden moves to the customer.</w:t>
      </w:r>
      <w:r>
        <w:t xml:space="preserve"> OS patching, cert renewal, DB backups, HA, monitoring, log retention — all become someone's job at the host institution. Most NHS trust IT teams can do this, but it's not free.</w:t>
      </w:r>
    </w:p>
    <w:p>
      <w:pPr>
        <w:pStyle w:val="ListBullet"/>
      </w:pPr>
      <w:r>
        <w:rPr>
          <w:b/>
        </w:rPr>
        <w:t>Each deployment is bespoke.</w:t>
      </w:r>
      <w:r>
        <w:t xml:space="preserve"> Different IdP per site (Keycloak vs Azure AD vs ADFS), different reverse proxy (Nginx vs F5), different cert authority, different DNS strategy, different storage backend. The "install" doc is necessarily long.</w:t>
      </w:r>
    </w:p>
    <w:p>
      <w:pPr>
        <w:pStyle w:val="ListBullet"/>
      </w:pPr>
      <w:r>
        <w:rPr>
          <w:b/>
        </w:rPr>
        <w:t>Version fragmentation.</w:t>
      </w:r>
      <w:r>
        <w:t xml:space="preserve"> With N customers running their own hubs, there are N versions in the wild. Bug fixes have to be rolled out to each one; coordinated upgrades across a multi-institution federation become a scheduling problem.</w:t>
      </w:r>
    </w:p>
    <w:p>
      <w:pPr>
        <w:pStyle w:val="ListBullet"/>
      </w:pPr>
      <w:r>
        <w:rPr>
          <w:b/>
        </w:rPr>
        <w:t>HA is harder.</w:t>
      </w:r>
      <w:r>
        <w:t xml:space="preserve"> A single-node hub is a single point of failure for the entire federation. Real HA requires clustered Postgres, redundant flip-api/fl-server replicas, and shared storage — which usually means leaning on institutional infra.</w:t>
      </w:r>
    </w:p>
    <w:p>
      <w:pPr>
        <w:pStyle w:val="ListBullet"/>
      </w:pPr>
      <w:r>
        <w:rPr>
          <w:b/>
        </w:rPr>
        <w:t>Air-gapped sites need a registry mirror.</w:t>
      </w:r>
      <w:r>
        <w:t xml:space="preserve"> Image distribution via GHCR doesn't work without internet; offline </w:t>
      </w:r>
      <w:r>
        <w:rPr>
          <w:rFonts w:ascii="Consolas" w:hAnsi="Consolas"/>
          <w:sz w:val="20"/>
        </w:rPr>
        <w:t>uv</w:t>
      </w:r>
      <w:r>
        <w:t xml:space="preserve"> and </w:t>
      </w:r>
      <w:r>
        <w:rPr>
          <w:rFonts w:ascii="Consolas" w:hAnsi="Consolas"/>
          <w:sz w:val="20"/>
        </w:rPr>
        <w:t>npm</w:t>
      </w:r>
      <w:r>
        <w:t xml:space="preserve"> installs need to be solved.</w:t>
      </w:r>
    </w:p>
    <w:p>
      <w:pPr>
        <w:pStyle w:val="ListBullet"/>
      </w:pPr>
      <w:r>
        <w:rPr>
          <w:b/>
        </w:rPr>
        <w:t>Slower fixes.</w:t>
      </w:r>
      <w:r>
        <w:t xml:space="preserve"> A security patch in flip-api becomes a coordinated upgrade across every customer instead of a </w:t>
      </w:r>
      <w:r>
        <w:rPr>
          <w:rFonts w:ascii="Consolas" w:hAnsi="Consolas"/>
          <w:sz w:val="20"/>
        </w:rPr>
        <w:t>kubectl rollout</w:t>
      </w:r>
      <w:r>
        <w:t xml:space="preserve"> (or compose redeploy) on one stack.</w:t>
      </w:r>
    </w:p>
    <w:p>
      <w:pPr>
        <w:pStyle w:val="ListBullet"/>
      </w:pPr>
      <w:r>
        <w:rPr>
          <w:b/>
        </w:rPr>
        <w:t>Single-site availability.</w:t>
      </w:r>
      <w:r>
        <w:t xml:space="preserve"> No multi-AZ; if the data centre goes down, the federation stops.</w:t>
      </w:r>
    </w:p>
    <w:p>
      <w:pPr>
        <w:pStyle w:val="ListBullet"/>
      </w:pPr>
      <w:r>
        <w:rPr>
          <w:b/>
        </w:rPr>
        <w:t>Geographic asymmetry just relocates.</w:t>
      </w:r>
      <w:r>
        <w:t xml:space="preserve"> Putting the hub on-prem in Thailand makes Thai trusts fast and London trusts slow.</w:t>
      </w:r>
    </w:p>
    <w:p>
      <w:pPr>
        <w:pStyle w:val="Heading2"/>
      </w:pPr>
      <w:r>
        <w:t>The "where does the hub live?" question (the FL geography point)</w:t>
      </w:r>
    </w:p>
    <w:p>
      <w:r>
        <w:t>This isn't really a "cloud vs on-prem" question — it's a federation-topology question. FL needs a coordinator and the coordinator has to live *somewhere*; whoever it's near gets the best round-trip. AWS regions don't help because each project is anchored to one hub regardless of where its EC2 lives. Three observations:</w:t>
      </w:r>
    </w:p>
    <w:p>
      <w:pPr>
        <w:pStyle w:val="ListNumber"/>
      </w:pPr>
      <w:r>
        <w:rPr>
          <w:b/>
        </w:rPr>
        <w:t>Latency is less dominant than it sounds.</w:t>
      </w:r>
      <w:r>
        <w:t xml:space="preserve"> Most FL traffic in FLIP is either polling (10s intervals — RTT doesn't matter) or model-parameter exchange (bandwidth matters more than RTT). A 250ms RTT vs a 10ms RTT changes round time by less than the actual training compute on most realistic medical imaging models. So a London hub serving an Asian trust is *workable*, just suboptimal.</w:t>
      </w:r>
    </w:p>
    <w:p>
      <w:pPr>
        <w:pStyle w:val="ListNumber"/>
      </w:pPr>
      <w:r>
        <w:rPr>
          <w:b/>
        </w:rPr>
        <w:t>Bandwidth and reliability matter more than raw distance.</w:t>
      </w:r>
      <w:r>
        <w:t xml:space="preserve"> A trust on a flaky 100Mbps link in the same building as the hub gets worse FL performance than one on a 10Gbps international circuit. Worth measuring before assuming geography is the bottleneck.</w:t>
      </w:r>
    </w:p>
    <w:p>
      <w:pPr>
        <w:pStyle w:val="ListNumber"/>
      </w:pPr>
      <w:r>
        <w:rPr>
          <w:b/>
        </w:rPr>
        <w:t>For a genuinely global federation, the right answer is probably more than one hub.</w:t>
      </w:r>
      <w:r>
        <w:t xml:space="preserve"> That's not a feature FLIP currently has — projects are bound to a single hub — but a "federation-of-federations" model where regional hubs coordinate among themselves would solve both the latency and the data-sovereignty problem at the same time. That's a much bigger piece of work than the on-prem scoping above, but worth flagging as the natural evolution if you end up with customers across continents.</w:t>
      </w:r>
    </w:p>
    <w:p>
      <w:pPr>
        <w:pStyle w:val="Heading2"/>
      </w:pPr>
      <w:r>
        <w:t>When to choose which</w:t>
      </w:r>
    </w:p>
    <w:tbl>
      <w:tblPr>
        <w:tblStyle w:val="LightGrid-Accent1"/>
        <w:tblW w:type="auto" w:w="0"/>
        <w:tblLook w:firstColumn="1" w:firstRow="1" w:lastColumn="0" w:lastRow="0" w:noHBand="0" w:noVBand="1" w:val="04A0"/>
      </w:tblPr>
      <w:tblGrid>
        <w:gridCol w:w="4320"/>
        <w:gridCol w:w="4320"/>
      </w:tblGrid>
      <w:tr>
        <w:tc>
          <w:tcPr>
            <w:tcW w:type="dxa" w:w="4320"/>
            <w:vAlign w:val="top"/>
          </w:tcPr>
          <w:p>
            <w:r/>
            <w:r>
              <w:rPr>
                <w:b/>
              </w:rPr>
              <w:t>Scenario</w:t>
            </w:r>
          </w:p>
        </w:tc>
        <w:tc>
          <w:tcPr>
            <w:tcW w:type="dxa" w:w="4320"/>
            <w:vAlign w:val="top"/>
          </w:tcPr>
          <w:p>
            <w:r/>
            <w:r>
              <w:rPr>
                <w:b/>
              </w:rPr>
              <w:t>Best fit</w:t>
            </w:r>
          </w:p>
        </w:tc>
      </w:tr>
      <w:tr>
        <w:tc>
          <w:tcPr>
            <w:tcW w:type="dxa" w:w="4320"/>
            <w:vAlign w:val="top"/>
          </w:tcPr>
          <w:p>
            <w:r/>
            <w:r>
              <w:t>Single-jurisdiction federation, central operator (NHS England, EU consortium)</w:t>
            </w:r>
          </w:p>
        </w:tc>
        <w:tc>
          <w:tcPr>
            <w:tcW w:type="dxa" w:w="4320"/>
            <w:vAlign w:val="top"/>
          </w:tcPr>
          <w:p>
            <w:r/>
            <w:r>
              <w:t>Cloud (current model)</w:t>
            </w:r>
          </w:p>
        </w:tc>
      </w:tr>
      <w:tr>
        <w:tc>
          <w:tcPr>
            <w:tcW w:type="dxa" w:w="4320"/>
            <w:vAlign w:val="top"/>
          </w:tcPr>
          <w:p>
            <w:r/>
            <w:r>
              <w:t>TRE-bound institutions, air-gapped sites</w:t>
            </w:r>
          </w:p>
        </w:tc>
        <w:tc>
          <w:tcPr>
            <w:tcW w:type="dxa" w:w="4320"/>
            <w:vAlign w:val="top"/>
          </w:tcPr>
          <w:p>
            <w:r/>
            <w:r>
              <w:t>On-prem (variant A)</w:t>
            </w:r>
          </w:p>
        </w:tc>
      </w:tr>
      <w:tr>
        <w:tc>
          <w:tcPr>
            <w:tcW w:type="dxa" w:w="4320"/>
            <w:vAlign w:val="top"/>
          </w:tcPr>
          <w:p>
            <w:r/>
            <w:r>
              <w:t>Mixed federation: some institutions can use cloud, others can't</w:t>
            </w:r>
          </w:p>
        </w:tc>
        <w:tc>
          <w:tcPr>
            <w:tcW w:type="dxa" w:w="4320"/>
            <w:vAlign w:val="top"/>
          </w:tcPr>
          <w:p>
            <w:r/>
            <w:r>
              <w:t>Hybrid — cloud hub + on-prem trusts (already supported)</w:t>
            </w:r>
          </w:p>
        </w:tc>
      </w:tr>
      <w:tr>
        <w:tc>
          <w:tcPr>
            <w:tcW w:type="dxa" w:w="4320"/>
            <w:vAlign w:val="top"/>
          </w:tcPr>
          <w:p>
            <w:r/>
            <w:r>
              <w:t>Hospital with strict IG that won't sign DPAs</w:t>
            </w:r>
          </w:p>
        </w:tc>
        <w:tc>
          <w:tcPr>
            <w:tcW w:type="dxa" w:w="4320"/>
            <w:vAlign w:val="top"/>
          </w:tcPr>
          <w:p>
            <w:r/>
            <w:r>
              <w:t>On-prem</w:t>
            </w:r>
          </w:p>
        </w:tc>
      </w:tr>
      <w:tr>
        <w:tc>
          <w:tcPr>
            <w:tcW w:type="dxa" w:w="4320"/>
            <w:vAlign w:val="top"/>
          </w:tcPr>
          <w:p>
            <w:r/>
            <w:r>
              <w:t>Pilot or time-pressured demo</w:t>
            </w:r>
          </w:p>
        </w:tc>
        <w:tc>
          <w:tcPr>
            <w:tcW w:type="dxa" w:w="4320"/>
            <w:vAlign w:val="top"/>
          </w:tcPr>
          <w:p>
            <w:r/>
            <w:r>
              <w:t>Cloud</w:t>
            </w:r>
          </w:p>
        </w:tc>
      </w:tr>
      <w:tr>
        <w:tc>
          <w:tcPr>
            <w:tcW w:type="dxa" w:w="4320"/>
            <w:vAlign w:val="top"/>
          </w:tcPr>
          <w:p>
            <w:r/>
            <w:r>
              <w:t>Long-running production at a single institution with capable IT</w:t>
            </w:r>
          </w:p>
        </w:tc>
        <w:tc>
          <w:tcPr>
            <w:tcW w:type="dxa" w:w="4320"/>
            <w:vAlign w:val="top"/>
          </w:tcPr>
          <w:p>
            <w:r/>
            <w:r>
              <w:t>On-prem (cheaper at horizon)</w:t>
            </w:r>
          </w:p>
        </w:tc>
      </w:tr>
      <w:tr>
        <w:tc>
          <w:tcPr>
            <w:tcW w:type="dxa" w:w="4320"/>
            <w:vAlign w:val="top"/>
          </w:tcPr>
          <w:p>
            <w:r/>
            <w:r>
              <w:t>Multi-continent federation</w:t>
            </w:r>
          </w:p>
        </w:tc>
        <w:tc>
          <w:tcPr>
            <w:tcW w:type="dxa" w:w="4320"/>
            <w:vAlign w:val="top"/>
          </w:tcPr>
          <w:p>
            <w:r/>
            <w:r>
              <w:t>Cloud, but accept the latency tradeoff — or invest in multi-hub federation as a longer-term roadmap</w:t>
            </w:r>
          </w:p>
        </w:tc>
      </w:tr>
    </w:tbl>
    <w:p>
      <w:r>
        <w:t>The pragmatic short-term answer is to keep cloud as the default and ship variant B (hybrid) so that on-prem is *available* for institutions that need it — without forcing every customer through the variant-A Cognito-replacement work. That's a much cheaper deliverable and unlocks most of the on-prem demand.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