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7F26" w14:paraId="6C0EB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300" w:type="dxa"/>
              <w:left w:w="480" w:type="dxa"/>
              <w:bottom w:w="300" w:type="dxa"/>
              <w:right w:w="480" w:type="dxa"/>
            </w:tcMar>
          </w:tcPr>
          <w:p w14:paraId="3EF5857C" w14:textId="77777777" w:rsidR="00817F26" w:rsidRDefault="00000000">
            <w:r>
              <w:rPr>
                <w:noProof/>
              </w:rPr>
              <w:drawing>
                <wp:inline distT="0" distB="0" distL="0" distR="0" wp14:anchorId="2CFF0F2B" wp14:editId="4FF5B64B">
                  <wp:extent cx="2667000" cy="3238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EEB60" w14:textId="77777777" w:rsidR="00817F26" w:rsidRDefault="00000000">
      <w:pPr>
        <w:spacing w:before="600"/>
      </w:pPr>
      <w:r>
        <w:rPr>
          <w:b/>
          <w:bCs/>
          <w:color w:val="03B585"/>
          <w:spacing w:val="80"/>
          <w:sz w:val="24"/>
          <w:szCs w:val="24"/>
        </w:rPr>
        <w:t>BUSINESS CASE · FINANZAS / ADMINISTRACIÓN</w:t>
      </w:r>
    </w:p>
    <w:p w14:paraId="6DA87A98" w14:textId="77777777" w:rsidR="00817F26" w:rsidRDefault="00000000">
      <w:pPr>
        <w:spacing w:before="200"/>
      </w:pPr>
      <w:r>
        <w:rPr>
          <w:b/>
          <w:bCs/>
          <w:color w:val="085E54"/>
          <w:sz w:val="80"/>
          <w:szCs w:val="80"/>
        </w:rPr>
        <w:t>GRIM</w:t>
      </w:r>
    </w:p>
    <w:p w14:paraId="73740650" w14:textId="77777777" w:rsidR="00817F26" w:rsidRDefault="00000000">
      <w:pPr>
        <w:spacing w:before="100"/>
      </w:pPr>
      <w:r>
        <w:rPr>
          <w:b/>
          <w:bCs/>
          <w:color w:val="03B585"/>
          <w:sz w:val="32"/>
          <w:szCs w:val="32"/>
        </w:rPr>
        <w:t>Grupo Inmobiliario Metropolitano</w:t>
      </w:r>
    </w:p>
    <w:p w14:paraId="452316E2" w14:textId="77777777" w:rsidR="00817F26" w:rsidRDefault="00000000">
      <w:pPr>
        <w:spacing w:before="240" w:after="1600"/>
      </w:pPr>
      <w:r>
        <w:rPr>
          <w:i/>
          <w:iCs/>
          <w:color w:val="5A5E5B"/>
          <w:sz w:val="24"/>
          <w:szCs w:val="24"/>
        </w:rPr>
        <w:t>Análisis financiero, cuentas por cobrar y rentabilidad por unidad de negocio</w:t>
      </w:r>
    </w:p>
    <w:p w14:paraId="6E31C4A0" w14:textId="77777777" w:rsidR="00817F26" w:rsidRDefault="00817F26">
      <w:pPr>
        <w:pBdr>
          <w:bottom w:val="single" w:sz="6" w:space="1" w:color="03B585"/>
        </w:pBdr>
        <w:spacing w:before="200" w:after="200"/>
      </w:pPr>
    </w:p>
    <w:p w14:paraId="065116E1" w14:textId="77777777" w:rsidR="00817F26" w:rsidRDefault="00000000">
      <w:pPr>
        <w:spacing w:before="300" w:after="80"/>
      </w:pPr>
      <w:r>
        <w:rPr>
          <w:b/>
          <w:bCs/>
          <w:color w:val="03B585"/>
          <w:spacing w:val="60"/>
          <w:sz w:val="18"/>
          <w:szCs w:val="18"/>
        </w:rPr>
        <w:t>PARA QUIÉN</w:t>
      </w:r>
    </w:p>
    <w:p w14:paraId="6FE766AA" w14:textId="77777777" w:rsidR="00817F26" w:rsidRDefault="00000000">
      <w:pPr>
        <w:spacing w:after="200" w:line="300" w:lineRule="auto"/>
      </w:pPr>
      <w:r>
        <w:rPr>
          <w:color w:val="1A1E1B"/>
        </w:rPr>
        <w:t>Candidato a Consultor de Operaciones · vertical Finanzas y Administración · LCG México.</w:t>
      </w:r>
    </w:p>
    <w:p w14:paraId="1B5A790D" w14:textId="77777777" w:rsidR="00817F26" w:rsidRDefault="00000000">
      <w:pPr>
        <w:spacing w:before="200" w:after="80"/>
      </w:pPr>
      <w:r>
        <w:rPr>
          <w:b/>
          <w:bCs/>
          <w:color w:val="03B585"/>
          <w:spacing w:val="60"/>
          <w:sz w:val="18"/>
          <w:szCs w:val="18"/>
        </w:rPr>
        <w:t>DURACIÓN</w:t>
      </w:r>
    </w:p>
    <w:p w14:paraId="78E2B3C6" w14:textId="77777777" w:rsidR="00817F26" w:rsidRDefault="00000000">
      <w:pPr>
        <w:spacing w:after="400" w:line="300" w:lineRule="auto"/>
      </w:pPr>
      <w:r>
        <w:rPr>
          <w:color w:val="1A1E1B"/>
        </w:rPr>
        <w:t>6 horas asíncronas + panel de 60 minutos.</w:t>
      </w:r>
    </w:p>
    <w:p w14:paraId="2C179AC8" w14:textId="77777777" w:rsidR="00817F26" w:rsidRDefault="00000000">
      <w:pPr>
        <w:spacing w:after="120" w:line="300" w:lineRule="auto"/>
      </w:pPr>
      <w:r>
        <w:rPr>
          <w:i/>
          <w:iCs/>
          <w:color w:val="5A5E5B"/>
          <w:sz w:val="18"/>
          <w:szCs w:val="18"/>
        </w:rPr>
        <w:t>London Consulting Group · México · 2026</w:t>
      </w:r>
    </w:p>
    <w:p w14:paraId="2099BB0E" w14:textId="77777777" w:rsidR="00817F26" w:rsidRDefault="00000000">
      <w:r>
        <w:br w:type="page"/>
      </w:r>
    </w:p>
    <w:p w14:paraId="44A9DE1B" w14:textId="77777777" w:rsidR="00817F26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EL CASO</w:t>
      </w:r>
    </w:p>
    <w:p w14:paraId="43BA795D" w14:textId="77777777" w:rsidR="00817F26" w:rsidRDefault="00000000">
      <w:pPr>
        <w:pStyle w:val="Ttulo1"/>
      </w:pPr>
      <w:r>
        <w:t>La empresa</w:t>
      </w:r>
    </w:p>
    <w:p w14:paraId="63CED088" w14:textId="77777777" w:rsidR="00817F26" w:rsidRDefault="00000000">
      <w:pPr>
        <w:spacing w:after="120" w:line="300" w:lineRule="auto"/>
      </w:pPr>
      <w:r>
        <w:rPr>
          <w:color w:val="1A1E1B"/>
        </w:rPr>
        <w:t>GRIM (Grupo Inmobiliario Metropolitano S.A.P.I. de C.V.) es una empresa mexicana de desarrollo y administración inmobiliaria con sede en CDMX. Opera ocho unidades de negocio: dos centros comerciales premium en CDMX (Polanco y Santa Fe), dos corporativos de oficinas (Insurgentes y Reforma 200), un parque industrial en Toluca, una plaza comercial en Monterrey (Vista Hermosa), un desarrollo residencial premium en Guadalajara (Torres del Country) y un hub empresarial en Querétaro. Su modelo es de renta de espacios a inquilinos B2B y B2C, con cobro de renta fija más cuotas de mantenimiento.</w:t>
      </w:r>
    </w:p>
    <w:p w14:paraId="1022D2E4" w14:textId="77777777" w:rsidR="00817F26" w:rsidRDefault="00000000">
      <w:pPr>
        <w:spacing w:after="120" w:line="300" w:lineRule="auto"/>
      </w:pPr>
      <w:r>
        <w:rPr>
          <w:color w:val="1A1E1B"/>
        </w:rPr>
        <w:t>La directora de finanzas tiene tres preocupaciones simultáneas. Primero, el ratio CXC vs ingresos creció en 2025 y no es claro qué unidades o tipos de inquilino lo están empujando. Segundo, los gastos operativos crecieron por arriba de la inflación en algunas unidades pero no en otras, y la causa no se ha identificado. Tercero, la junta directiva pidió un dashboard mensual con visibilidad por unidad que reemplace el reporte de 40 páginas en PDF que reciben hoy.</w:t>
      </w:r>
    </w:p>
    <w:p w14:paraId="2301345F" w14:textId="77777777" w:rsidR="00817F26" w:rsidRDefault="00000000">
      <w:pPr>
        <w:pStyle w:val="Ttulo2"/>
      </w:pPr>
      <w:r>
        <w:t>Lo que pide la dirección</w:t>
      </w:r>
    </w:p>
    <w:p w14:paraId="0042D531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Análisis de cuentas por cobrar al cierre 2025: composición, antigüedad, concentración, riesgo de incobrabilidad.</w:t>
      </w:r>
    </w:p>
    <w:p w14:paraId="1EF96084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Diagnóstico de gastos operativos: variaciones por categoría, por unidad, vs el año anterior.</w:t>
      </w:r>
    </w:p>
    <w:p w14:paraId="5FF865C5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Rentabilidad real por unidad de negocio: margen EBITDA, evolución mensual, comparación entre tipos de inmueble.</w:t>
      </w:r>
    </w:p>
    <w:p w14:paraId="5765192C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Plan de mejora con foco en cobranza y control de gasto.</w:t>
      </w:r>
    </w:p>
    <w:p w14:paraId="5C838852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Dashboard ejecutivo en Power BI que sustituya el PDF actual y permita drill-down hasta nivel inquilino.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7F26" w14:paraId="190ED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3B585"/>
              <w:bottom w:val="none" w:sz="0" w:space="0" w:color="FFFFFF"/>
              <w:right w:val="none" w:sz="0" w:space="0" w:color="FFFFFF"/>
            </w:tcBorders>
            <w:shd w:val="clear" w:color="auto" w:fill="F2EEE8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D119BBD" w14:textId="77777777" w:rsidR="00817F26" w:rsidRDefault="00000000">
            <w:pPr>
              <w:spacing w:after="100"/>
            </w:pPr>
            <w:r>
              <w:rPr>
                <w:b/>
                <w:bCs/>
                <w:color w:val="085E54"/>
                <w:spacing w:val="20"/>
                <w:sz w:val="20"/>
                <w:szCs w:val="20"/>
              </w:rPr>
              <w:t>Datos del caso</w:t>
            </w:r>
          </w:p>
          <w:p w14:paraId="6790755A" w14:textId="77777777" w:rsidR="00817F26" w:rsidRDefault="00000000">
            <w:pPr>
              <w:spacing w:after="60" w:line="280" w:lineRule="auto"/>
            </w:pPr>
            <w:r>
              <w:rPr>
                <w:color w:val="1A1E1B"/>
              </w:rPr>
              <w:t>Archivo: BC3_Finanzas_GRIM.xlsx</w:t>
            </w:r>
          </w:p>
          <w:p w14:paraId="2BF2F9C7" w14:textId="77777777" w:rsidR="00817F26" w:rsidRDefault="00000000">
            <w:pPr>
              <w:spacing w:after="60" w:line="280" w:lineRule="auto"/>
            </w:pPr>
            <w:r>
              <w:rPr>
                <w:color w:val="1A1E1B"/>
              </w:rPr>
              <w:t>Periodo: enero 2024 a diciembre 2025 (24 meses).</w:t>
            </w:r>
          </w:p>
          <w:p w14:paraId="23651957" w14:textId="77777777" w:rsidR="00817F26" w:rsidRDefault="00000000">
            <w:pPr>
              <w:spacing w:after="60" w:line="280" w:lineRule="auto"/>
            </w:pPr>
            <w:r>
              <w:rPr>
                <w:color w:val="1A1E1B"/>
              </w:rPr>
              <w:t>Hojas: Movimientos (contabilidad), CXC Antigüedad (saldos al cierre), Estados Financieros (resumen mensual), Inquilinos, Unidades de Negocio, Catálogo Cuentas.</w:t>
            </w:r>
          </w:p>
          <w:p w14:paraId="7889F478" w14:textId="77777777" w:rsidR="00817F26" w:rsidRDefault="00000000">
            <w:pPr>
              <w:spacing w:after="60" w:line="280" w:lineRule="auto"/>
            </w:pPr>
            <w:r>
              <w:rPr>
                <w:color w:val="1A1E1B"/>
              </w:rPr>
              <w:t>Volumen: ~7,000 movimientos contables · 120 inquilinos activos · 8 unidades · 23 cuentas contables.</w:t>
            </w:r>
          </w:p>
          <w:p w14:paraId="5F74A5F0" w14:textId="77777777" w:rsidR="00817F26" w:rsidRDefault="00000000">
            <w:pPr>
              <w:spacing w:after="60" w:line="280" w:lineRule="auto"/>
            </w:pPr>
            <w:r>
              <w:rPr>
                <w:color w:val="1A1E1B"/>
              </w:rPr>
              <w:t>Moneda: MXN.</w:t>
            </w:r>
          </w:p>
        </w:tc>
      </w:tr>
    </w:tbl>
    <w:p w14:paraId="6A246AF3" w14:textId="77777777" w:rsidR="00817F26" w:rsidRDefault="00000000">
      <w:r>
        <w:br w:type="page"/>
      </w:r>
    </w:p>
    <w:p w14:paraId="1227D51B" w14:textId="77777777" w:rsidR="00817F26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INSTRUCCIONES</w:t>
      </w:r>
    </w:p>
    <w:p w14:paraId="1D2724B5" w14:textId="77777777" w:rsidR="00817F26" w:rsidRDefault="00000000">
      <w:pPr>
        <w:pStyle w:val="Ttulo1"/>
      </w:pPr>
      <w:r>
        <w:t>Indicaciones generales</w:t>
      </w:r>
    </w:p>
    <w:p w14:paraId="01B7FA91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Leer detalladamente el caso de GRIM y seguir las instrucciones de cada sección.</w:t>
      </w:r>
    </w:p>
    <w:p w14:paraId="0A1432BE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Trabajar sobre el archivo de datos BC3_Finanzas_GRIM.xlsx.</w:t>
      </w:r>
    </w:p>
    <w:p w14:paraId="43EB60FE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Expresar todos los resultados en pesos mexicanos (MXN).</w:t>
      </w:r>
    </w:p>
    <w:p w14:paraId="37F4C310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Implementar tablas dinámicas, funciones lógicas, de búsqueda, matemáticas, estadísticas y formatos condicionales en Excel.</w:t>
      </w:r>
    </w:p>
    <w:p w14:paraId="43EBFC5A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Construir un dashboard en Power BI conectado al archivo de datos. Mínimo 3 páginas: Vista ejecutiva, Análisis profundo, Detalle.</w:t>
      </w:r>
    </w:p>
    <w:p w14:paraId="4F3CE3BC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Preparar un Deck en PowerPoint (máximo 10 slides) con la historia ejecutiva del caso: contexto, hallazgos, recomendaciones, plan de trabajo.</w:t>
      </w:r>
    </w:p>
    <w:p w14:paraId="6DF9715F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Documentar el uso de AI en una bitácora separada (formato definido en sección de entregables).</w:t>
      </w:r>
    </w:p>
    <w:p w14:paraId="157F2DB2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Entregar cuatro archivos: Excel con análisis, archivo .pbix de Power BI, Deck en PowerPoint, y bitácora AI en Word o PDF.</w:t>
      </w:r>
    </w:p>
    <w:p w14:paraId="4B08B398" w14:textId="77777777" w:rsidR="00817F26" w:rsidRDefault="00000000">
      <w:pPr>
        <w:pStyle w:val="Ttulo2"/>
      </w:pPr>
      <w:r>
        <w:t>Tiempo y herramientas</w:t>
      </w:r>
    </w:p>
    <w:p w14:paraId="27DEB552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Duración total:</w:t>
      </w:r>
      <w:r>
        <w:rPr>
          <w:color w:val="1A1E1B"/>
        </w:rPr>
        <w:t xml:space="preserve">  6 horas asíncronas + 60 minutos de panel.</w:t>
      </w:r>
    </w:p>
    <w:p w14:paraId="25DEE23B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Modalidad:</w:t>
      </w:r>
      <w:r>
        <w:rPr>
          <w:color w:val="1A1E1B"/>
        </w:rPr>
        <w:t xml:space="preserve">  individual, sin restricción de herramientas.</w:t>
      </w:r>
    </w:p>
    <w:p w14:paraId="7299CA4C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Herramientas AI permitidas:</w:t>
      </w:r>
      <w:r>
        <w:rPr>
          <w:color w:val="1A1E1B"/>
        </w:rPr>
        <w:t xml:space="preserve">  el candidato elige (Claude, ChatGPT, Gemini, Copilot u otra). Lo importante es el uso crítico, no la marca.</w:t>
      </w:r>
    </w:p>
    <w:p w14:paraId="10F2AFC9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Herramienta de visualización obligatoria:</w:t>
      </w:r>
      <w:r>
        <w:rPr>
          <w:color w:val="1A1E1B"/>
        </w:rPr>
        <w:t xml:space="preserve">  Microsoft Power BI Desktop. No se acepta Tableau ni Looker en este caso.</w:t>
      </w:r>
    </w:p>
    <w:p w14:paraId="494E7455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b/>
          <w:bCs/>
          <w:color w:val="085E54"/>
        </w:rPr>
        <w:t>Entrega:</w:t>
      </w:r>
      <w:r>
        <w:rPr>
          <w:color w:val="1A1E1B"/>
        </w:rPr>
        <w:t xml:space="preserve">  al correo del evaluador antes del panel; en el panel se defienden los resultados en vivo.</w:t>
      </w:r>
    </w:p>
    <w:p w14:paraId="61D1B133" w14:textId="77777777" w:rsidR="00817F26" w:rsidRDefault="00000000">
      <w:r>
        <w:br w:type="page"/>
      </w:r>
    </w:p>
    <w:p w14:paraId="4487E6F1" w14:textId="77777777" w:rsidR="00817F26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ANÁLISIS DE DATOS</w:t>
      </w:r>
    </w:p>
    <w:p w14:paraId="2CB3773B" w14:textId="77777777" w:rsidR="00817F26" w:rsidRDefault="00000000">
      <w:pPr>
        <w:pStyle w:val="Ttulo1"/>
      </w:pPr>
      <w:r>
        <w:t>Las 12 preguntas del caso</w:t>
      </w:r>
    </w:p>
    <w:p w14:paraId="7BF1D770" w14:textId="77777777" w:rsidR="00817F26" w:rsidRDefault="00000000">
      <w:pPr>
        <w:spacing w:after="120" w:line="300" w:lineRule="auto"/>
      </w:pPr>
      <w:r>
        <w:rPr>
          <w:color w:val="1A1E1B"/>
        </w:rPr>
        <w:t>Cada pregunta tiene tres componentes: Excel (cálculo), AI (interpretación o construcción asistida) y Power BI (visualización en el dashboard). Los tres son obligatorios.</w:t>
      </w:r>
    </w:p>
    <w:p w14:paraId="07E2EF0F" w14:textId="77777777" w:rsidR="00817F26" w:rsidRDefault="00000000">
      <w:pPr>
        <w:pStyle w:val="Ttulo2"/>
      </w:pPr>
      <w:r>
        <w:t>Bloque 1 · Análisis de ingresos y rentabilidad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817F26" w14:paraId="17F114D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7F9C03B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01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33507099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Ingresos por unidad de negocio</w:t>
            </w:r>
          </w:p>
          <w:p w14:paraId="2FFC7D44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045E71D3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los ingresos totales 2024 y 2025 por unidad de negocio. Reporta crecimiento YoY de cada unidad y el agregado del grupo.</w:t>
            </w:r>
          </w:p>
          <w:p w14:paraId="36415025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02AC6088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interprete el ranking. Para la unidad de mayor caída y la de mayor crecimiento, qué hipótesis levanta. Critica la respuesta: qué afirma sin evidencia, qué realmente aplica al sector inmobiliario mexicano.</w:t>
            </w:r>
          </w:p>
          <w:p w14:paraId="29FFE0A7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585A36B1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KPIs de ingresos totales y crecimiento. Bar chart por unidad con drill-down a meses.</w:t>
            </w:r>
          </w:p>
        </w:tc>
      </w:tr>
      <w:tr w:rsidR="00817F26" w14:paraId="7162D04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6B97591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02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63E00002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Margen EBITDA por unidad y por tipo de inmueble</w:t>
            </w:r>
          </w:p>
          <w:p w14:paraId="236D3FBE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31332EE5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EBITDA y margen EBITDA promedio por unidad y por tipo de inmueble (Centro Comercial, Oficinas, Naves Industriales, Residencial Premium). Identifica el tipo más rentable.</w:t>
            </w:r>
          </w:p>
          <w:p w14:paraId="139ADCFD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371C8890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explique en lenguaje de finanzas inmobiliarias por qué un tipo de inmueble suele tener mejor margen. Discute si esa explicación se sostiene con los datos del caso o si es la teoría sin contexto.</w:t>
            </w:r>
          </w:p>
          <w:p w14:paraId="5CAFCE0F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5F80F5CE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Bullet chart con margen real vs target del sector. Comparación lado a lado por tipo.</w:t>
            </w:r>
          </w:p>
        </w:tc>
      </w:tr>
      <w:tr w:rsidR="00817F26" w14:paraId="1B35F727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6DE0C76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03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3F90F9B0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Tendencia de EBITDA mensual</w:t>
            </w:r>
          </w:p>
          <w:p w14:paraId="37C7A14A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0083713F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Construye una serie mensual de EBITDA para cada unidad. Identifica unidades con tendencia descendente sostenida.</w:t>
            </w:r>
          </w:p>
          <w:p w14:paraId="4D9C3DCD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7DFBB8FD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detecte rupturas de tendencia. Para una unidad con caída sostenida, genera 3 hipótesis (alza de gasto, baja de ocupación, alza de mora). Valida con la BD.</w:t>
            </w:r>
          </w:p>
          <w:p w14:paraId="3CF4AD35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11A5A84B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lastRenderedPageBreak/>
              <w:t>Small multiples: 8 mini-gráficos, uno por unidad, con la línea de EBITDA mensual y la meta de margen 35% como referencia.</w:t>
            </w:r>
          </w:p>
        </w:tc>
      </w:tr>
    </w:tbl>
    <w:p w14:paraId="00574599" w14:textId="77777777" w:rsidR="00817F26" w:rsidRDefault="00000000">
      <w:pPr>
        <w:pStyle w:val="Ttulo2"/>
      </w:pPr>
      <w:r>
        <w:lastRenderedPageBreak/>
        <w:t>Bloque 2 · Cuentas por cobrar (CXC)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817F26" w14:paraId="3456242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F15BB6D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04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6FC40AF4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CXC al cierre · monto y composición</w:t>
            </w:r>
          </w:p>
          <w:p w14:paraId="4EE5305F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497D7E68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CXC total al cierre de diciembre 2025. Distribuye por rango de antigüedad (0-30, 31-60, 61-90, 91-180, +180 días). Calcula el % en mora de alto riesgo (&gt;90 días).</w:t>
            </w:r>
          </w:p>
          <w:p w14:paraId="6E674A13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0B91A322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interprete la composición. Cuál es el rango más preocupante. Compárate contra benchmark genérico del sector inmobiliario mexicano (la AI lo dará pero verifícalo).</w:t>
            </w:r>
          </w:p>
          <w:p w14:paraId="6D2BF5F0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4A86E6EE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Tabla de antigüedad con barras condicionadas. KPI de % mora &gt;90 días en rojo si supera 8%.</w:t>
            </w:r>
          </w:p>
        </w:tc>
      </w:tr>
      <w:tr w:rsidR="00817F26" w14:paraId="556A2C6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7B506DD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05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26D53650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Top 10 deudores</w:t>
            </w:r>
          </w:p>
          <w:p w14:paraId="5C914F5C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4D9E7462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Identifica los 10 inquilinos con mayor saldo vencido. Reporta monto, días promedio de atraso, unidad de negocio donde está cada uno y tipo de inquilino.</w:t>
            </w:r>
          </w:p>
          <w:p w14:paraId="52E3A606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02650688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perfile a los 10: qué patrón ves (concentración en una unidad, en un tipo, en un giro). Genera una recomendación diferenciada por inquilino: cobranza intensiva, renegociación, baja del contrato.</w:t>
            </w:r>
          </w:p>
          <w:p w14:paraId="78B8346B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4DBFE2BC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Tabla detallada con drill-through al historial de pago de cada inquilino.</w:t>
            </w:r>
          </w:p>
        </w:tc>
      </w:tr>
      <w:tr w:rsidR="00817F26" w14:paraId="13DB35A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5371B2D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06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0E1A756D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Patrones de mora por tipo de inquilino</w:t>
            </w:r>
          </w:p>
          <w:p w14:paraId="2817958A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2BD098CA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Cruza estado de pago contra tipo de inquilino (Retail premium, Restauración, Oficinas, etc.). Identifica el tipo con peor comportamiento de pago.</w:t>
            </w:r>
          </w:p>
          <w:p w14:paraId="7C82460F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2CC6B4FF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un análisis causa raíz para el tipo peor pagador. Marca cada nodo como verificable con BD, requiere entrevista interna o requiere contexto sectorial.</w:t>
            </w:r>
          </w:p>
          <w:p w14:paraId="5E1A64BD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35979927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Heat map tipo × estado de pago. Slicer por unidad.</w:t>
            </w:r>
          </w:p>
        </w:tc>
      </w:tr>
    </w:tbl>
    <w:p w14:paraId="5BA50767" w14:textId="77777777" w:rsidR="00817F26" w:rsidRDefault="00000000">
      <w:pPr>
        <w:pStyle w:val="Ttulo2"/>
      </w:pPr>
      <w:r>
        <w:lastRenderedPageBreak/>
        <w:t>Bloque 3 · Gastos operativos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817F26" w14:paraId="39EDF76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519D0CF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07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2A6C7F99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Estructura de gastos por categoría</w:t>
            </w:r>
          </w:p>
          <w:p w14:paraId="1F67E7BA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7031878F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peso % de cada categoría de gasto (Servicios públicos, Mantenimiento, Operación, Personal, Impuestos y seguros, Financieros, Comercial, Administración) en el total de gastos del grupo.</w:t>
            </w:r>
          </w:p>
          <w:p w14:paraId="372A739C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72A1E87B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un benchmark genérico de cómo debería ser la estructura para una operación inmobiliaria mexicana similar. Critica si la respuesta es vaga o se sostiene en algo concreto.</w:t>
            </w:r>
          </w:p>
          <w:p w14:paraId="4860BB75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42044C3F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Treemap con categorías de gasto. Comparación 2024 vs 2025 lado a lado.</w:t>
            </w:r>
          </w:p>
        </w:tc>
      </w:tr>
      <w:tr w:rsidR="00817F26" w14:paraId="543E6B6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93A4266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08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4B124488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Variaciones anormales de gasto</w:t>
            </w:r>
          </w:p>
          <w:p w14:paraId="16DBEA74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0DBE1DD7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Compara cada cuenta de gasto 2024 vs 2025 a nivel unidad. Identifica las 5 mayores variaciones positivas (gasto que subió más que la inflación esperada de 5%).</w:t>
            </w:r>
          </w:p>
          <w:p w14:paraId="518B6F56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6D3B12DA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clasifique las 5 variaciones en: justificadas (estacionalidad, alza de tarifas), sospechosas (requieren auditoría), oportunidad de optimización. Argumenta cada clasificación.</w:t>
            </w:r>
          </w:p>
          <w:p w14:paraId="0E4F2285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0CEBFC65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Tabla de variaciones con barras delta. Filtro por unidad y categoría.</w:t>
            </w:r>
          </w:p>
        </w:tc>
      </w:tr>
      <w:tr w:rsidR="00817F26" w14:paraId="0094EA0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9AA6D62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09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1A334031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Costo por m² rentable</w:t>
            </w:r>
          </w:p>
          <w:p w14:paraId="3B324762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12E93B31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Calcula el costo total mensual por m² rentable para cada unidad. Identifica la unidad más cara y la más barata por m².</w:t>
            </w:r>
          </w:p>
          <w:p w14:paraId="1890904F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7CFCE171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que evalúe si la diferencia entre unidades se explica por el tipo de inmueble (un centro comercial cuesta más que una nave industrial) o por ineficiencia operativa. Pide que distinga ambos efectos.</w:t>
            </w:r>
          </w:p>
          <w:p w14:paraId="0C61957A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16B032AE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Bar chart con costo por m² ordenado, con etiqueta de tipo de inmueble.</w:t>
            </w:r>
          </w:p>
        </w:tc>
      </w:tr>
    </w:tbl>
    <w:p w14:paraId="6BE28D1E" w14:textId="77777777" w:rsidR="00817F26" w:rsidRDefault="00000000">
      <w:pPr>
        <w:pStyle w:val="Ttulo2"/>
      </w:pPr>
      <w:r>
        <w:t>Bloque 4 · Análisis aumentado con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8580"/>
      </w:tblGrid>
      <w:tr w:rsidR="00817F26" w14:paraId="3459E7C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D4CA6CB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lastRenderedPageBreak/>
              <w:t>10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30A79888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Predicción de cobranza</w:t>
            </w:r>
          </w:p>
          <w:p w14:paraId="28936AB5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3A71584D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A partir del histórico, proyecta el flujo de cobranza esperado para el primer trimestre 2026. Asume comportamiento similar al promedio últimos 6 meses.</w:t>
            </w:r>
          </w:p>
          <w:p w14:paraId="295564CE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4C08FCB7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un método de proyección que ajuste por estacionalidad y por antigüedad de la cartera vencida. Documenta los supuestos. Compara con tu proyección base.</w:t>
            </w:r>
          </w:p>
          <w:p w14:paraId="0FD3D612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4CC81EFF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Línea histórica + área de proyección Q1 2026 con banda alta y baja.</w:t>
            </w:r>
          </w:p>
        </w:tc>
      </w:tr>
      <w:tr w:rsidR="00817F26" w14:paraId="4F3AA16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81E1156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11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348C1218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Detección de anomalías financieras</w:t>
            </w:r>
          </w:p>
          <w:p w14:paraId="7C9EF450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790F99D8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Detecta movimientos atípicos: gastos que duplican el promedio mensual, pagos fuera de patrón, cuentas con saltos anormales, inquilinos con aumento súbito de mora.</w:t>
            </w:r>
          </w:p>
          <w:p w14:paraId="668DEC2D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6DAA6C29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las reglas de detección estadísticas. Reporta cada anomalía con dato, regla, posible explicación, acción sugerida.</w:t>
            </w:r>
          </w:p>
          <w:p w14:paraId="3E045DBA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488C7393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Página de alertas con cards rojos por tipo de anomalía y tabla detallada.</w:t>
            </w:r>
          </w:p>
        </w:tc>
      </w:tr>
      <w:tr w:rsidR="00817F26" w14:paraId="29AF9BB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85E54"/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74F8FF7" w14:textId="77777777" w:rsidR="00817F26" w:rsidRDefault="00000000">
            <w:pPr>
              <w:jc w:val="center"/>
            </w:pPr>
            <w:r>
              <w:rPr>
                <w:b/>
                <w:bCs/>
                <w:color w:val="03B585"/>
                <w:sz w:val="36"/>
                <w:szCs w:val="36"/>
              </w:rPr>
              <w:t>12</w:t>
            </w:r>
          </w:p>
        </w:tc>
        <w:tc>
          <w:tcPr>
            <w:tcW w:w="8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8F3"/>
            <w:tcMar>
              <w:top w:w="200" w:type="dxa"/>
              <w:left w:w="280" w:type="dxa"/>
              <w:bottom w:w="240" w:type="dxa"/>
              <w:right w:w="240" w:type="dxa"/>
            </w:tcMar>
          </w:tcPr>
          <w:p w14:paraId="6252C780" w14:textId="77777777" w:rsidR="00817F26" w:rsidRDefault="00000000">
            <w:pPr>
              <w:spacing w:after="160"/>
            </w:pPr>
            <w:r>
              <w:rPr>
                <w:b/>
                <w:bCs/>
                <w:color w:val="085E54"/>
                <w:sz w:val="24"/>
                <w:szCs w:val="24"/>
              </w:rPr>
              <w:t>Plan de mejora aumentado</w:t>
            </w:r>
          </w:p>
          <w:p w14:paraId="1CBC725D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EXCEL</w:t>
            </w:r>
          </w:p>
          <w:p w14:paraId="047C0CBE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Diseña un plan de 12 semanas con dos focos: reducción de CXC &gt;90 días en 30% y contención de gastos operativos a no más de inflación. Tareas, responsables tipo, métricas semanales.</w:t>
            </w:r>
          </w:p>
          <w:p w14:paraId="260175EB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AI</w:t>
            </w:r>
          </w:p>
          <w:p w14:paraId="2115883F" w14:textId="77777777" w:rsidR="00817F26" w:rsidRDefault="00000000">
            <w:pPr>
              <w:spacing w:after="160" w:line="280" w:lineRule="auto"/>
            </w:pPr>
            <w:r>
              <w:rPr>
                <w:color w:val="1A1E1B"/>
                <w:sz w:val="20"/>
                <w:szCs w:val="20"/>
              </w:rPr>
              <w:t>Pídele a la AI el primer borrador. Críticalo con tracked changes: qué pasos son genéricos del manual, qué dependencias falta capturar, qué cargas se concentran en Tesorería.</w:t>
            </w:r>
          </w:p>
          <w:p w14:paraId="5218A47D" w14:textId="77777777" w:rsidR="00817F26" w:rsidRDefault="00000000">
            <w:pPr>
              <w:spacing w:after="60"/>
            </w:pPr>
            <w:r>
              <w:rPr>
                <w:b/>
                <w:bCs/>
                <w:color w:val="03B585"/>
                <w:spacing w:val="40"/>
                <w:sz w:val="16"/>
                <w:szCs w:val="16"/>
              </w:rPr>
              <w:t>COMPONENTE POWER BI</w:t>
            </w:r>
          </w:p>
          <w:p w14:paraId="166B33D1" w14:textId="77777777" w:rsidR="00817F26" w:rsidRDefault="00000000">
            <w:pPr>
              <w:spacing w:line="280" w:lineRule="auto"/>
            </w:pPr>
            <w:r>
              <w:rPr>
                <w:color w:val="1A1E1B"/>
                <w:sz w:val="20"/>
                <w:szCs w:val="20"/>
              </w:rPr>
              <w:t>No aplica · este entregable es Word.</w:t>
            </w:r>
          </w:p>
        </w:tc>
      </w:tr>
    </w:tbl>
    <w:p w14:paraId="50F482B5" w14:textId="77777777" w:rsidR="00817F26" w:rsidRDefault="00000000">
      <w:r>
        <w:br w:type="page"/>
      </w:r>
    </w:p>
    <w:p w14:paraId="4F473671" w14:textId="77777777" w:rsidR="00817F26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POLÍTICA DE USO AI</w:t>
      </w:r>
    </w:p>
    <w:p w14:paraId="7A005AF9" w14:textId="77777777" w:rsidR="00817F26" w:rsidRDefault="00000000">
      <w:pPr>
        <w:pStyle w:val="Ttulo1"/>
      </w:pPr>
      <w:r>
        <w:t>Reglas de uso responsable</w:t>
      </w:r>
    </w:p>
    <w:p w14:paraId="7AAEFF0F" w14:textId="77777777" w:rsidR="00817F26" w:rsidRDefault="00000000">
      <w:pPr>
        <w:spacing w:after="120" w:line="300" w:lineRule="auto"/>
      </w:pPr>
      <w:r>
        <w:rPr>
          <w:color w:val="1A1E1B"/>
        </w:rPr>
        <w:t>Estas reglas aplican durante el caso y son no negociables. La violación de cualquiera de ellas puede invalidar el ejercicio.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0"/>
        <w:gridCol w:w="3600"/>
        <w:gridCol w:w="4980"/>
      </w:tblGrid>
      <w:tr w:rsidR="00817F26" w14:paraId="6851D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7BE55A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1A6DC1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190ED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Por qué</w:t>
            </w:r>
          </w:p>
        </w:tc>
      </w:tr>
      <w:tr w:rsidR="00817F26" w14:paraId="58D45F7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5F42387" w14:textId="77777777" w:rsidR="00817F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R1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3AD9D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Etiquetar todo contenido generado o modificado por AI.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282306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Trazabilidad. El evaluador y el cliente deben poder distinguir aporte humano de aporte AI.</w:t>
            </w:r>
          </w:p>
        </w:tc>
      </w:tr>
      <w:tr w:rsidR="00817F26" w14:paraId="19F54F5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66603519" w14:textId="77777777" w:rsidR="00817F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R2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E1E623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Verificar todo dato numérico contra la fuente antes de presentarlo.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468F53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Las AI generativas alucinan números con seguridad. Un dato falso en un BC es falla grave.</w:t>
            </w:r>
          </w:p>
        </w:tc>
      </w:tr>
      <w:tr w:rsidR="00817F26" w14:paraId="43C3697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2F1EE42" w14:textId="77777777" w:rsidR="00817F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R3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4E4D84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No subir datos del caso a herramientas no autorizadas o cuentas personales.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009E3D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Riesgo de fuga de información. Usar versión empresarial o cuenta corporativa de la herramienta AI elegida.</w:t>
            </w:r>
          </w:p>
        </w:tc>
      </w:tr>
      <w:tr w:rsidR="00817F26" w14:paraId="73F25CA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AB1FC3B" w14:textId="77777777" w:rsidR="00817F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R4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2642E4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Documentar los prompts críticos en la bitácora AI.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10E67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Reproducibilidad. Otro consultor debe poder repetir tu análisis con la misma herramienta.</w:t>
            </w:r>
          </w:p>
        </w:tc>
      </w:tr>
      <w:tr w:rsidR="00817F26" w14:paraId="0D10998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3D89D2D" w14:textId="77777777" w:rsidR="00817F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R5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129799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Cuestionar siempre las recomendaciones genéricas de la AI.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4E90AA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Las AI tienden a respuestas medias-aceptables-para-todos. El consultor agrega valor al aterrizar al caso real.</w:t>
            </w:r>
          </w:p>
        </w:tc>
      </w:tr>
      <w:tr w:rsidR="00817F26" w14:paraId="1C2BB22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0DFC795" w14:textId="77777777" w:rsidR="00817F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R6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F887A8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No usar AI para inventar datos faltantes.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8FA6B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Si la BD no tiene un dato, no se completa con AI; se declara como información requerida.</w:t>
            </w:r>
          </w:p>
        </w:tc>
      </w:tr>
      <w:tr w:rsidR="00817F26" w14:paraId="561B76B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3B585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35EC02F" w14:textId="77777777" w:rsidR="00817F2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R7</w:t>
            </w:r>
          </w:p>
        </w:tc>
        <w:tc>
          <w:tcPr>
            <w:tcW w:w="360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FFBD7D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1A1E1B"/>
                <w:sz w:val="20"/>
                <w:szCs w:val="20"/>
              </w:rPr>
              <w:t>Mantener el juicio profesional como filtro final.</w:t>
            </w:r>
          </w:p>
        </w:tc>
        <w:tc>
          <w:tcPr>
            <w:tcW w:w="49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54C44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La AI no carga responsabilidad profesional; el consultor sí. Aprobar es firmar.</w:t>
            </w:r>
          </w:p>
        </w:tc>
      </w:tr>
    </w:tbl>
    <w:p w14:paraId="76A706AD" w14:textId="77777777" w:rsidR="00817F26" w:rsidRDefault="00000000">
      <w:r>
        <w:br w:type="page"/>
      </w:r>
    </w:p>
    <w:p w14:paraId="00B808C6" w14:textId="77777777" w:rsidR="00817F26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ENTREGABLES</w:t>
      </w:r>
    </w:p>
    <w:p w14:paraId="2F353307" w14:textId="77777777" w:rsidR="00817F26" w:rsidRDefault="00000000">
      <w:pPr>
        <w:pStyle w:val="Ttulo1"/>
      </w:pPr>
      <w:r>
        <w:t>Lo que debes entregar</w:t>
      </w:r>
    </w:p>
    <w:p w14:paraId="26F355A2" w14:textId="77777777" w:rsidR="00817F26" w:rsidRDefault="00000000">
      <w:pPr>
        <w:spacing w:after="120" w:line="300" w:lineRule="auto"/>
      </w:pPr>
      <w:r>
        <w:rPr>
          <w:color w:val="1A1E1B"/>
        </w:rPr>
        <w:t>Cuatro archivos antes del panel. Los cuatro son entregables formales: cada uno se evalúa de manera independiente y los cuatro deben llegar completos al correo del evaluador en T-0.</w:t>
      </w:r>
    </w:p>
    <w:p w14:paraId="6028EEC5" w14:textId="77777777" w:rsidR="00817F26" w:rsidRDefault="00000000">
      <w:pPr>
        <w:pStyle w:val="Ttulo2"/>
      </w:pPr>
      <w:r>
        <w:t>Los cuatro entregables</w:t>
      </w:r>
    </w:p>
    <w:p w14:paraId="1D5CE5A1" w14:textId="77777777" w:rsidR="00817F26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Archivo Excel con tu análisis · tablas dinámicas, fórmulas visibles, formato profesional. Puedes trabajar sobre una copia de BC3_Finanzas_GRIM.xlsx o crear un archivo separado vinculado. Es la columna vertebral del análisis cuantitativo.</w:t>
      </w:r>
    </w:p>
    <w:p w14:paraId="0FE21C7F" w14:textId="77777777" w:rsidR="00817F26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Archivo Power BI Desktop (.pbix) · mínimo 3 páginas — Vista ejecutiva con KPIs principales, Análisis profundo con desgloses, Detalle con tabla filtrable. Visualizaciones limpias y consistentes. Debe abrir y filtrar correctamente sin tu intervención.</w:t>
      </w:r>
    </w:p>
    <w:p w14:paraId="706BE0CB" w14:textId="77777777" w:rsidR="00817F26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Deck en PowerPoint · presentación ejecutiva de máximo 10 slides con: contexto del caso, áreas de oportunidad detectadas, soluciones propuestas, plan de trabajo, sistema de trabajo y métricas de seguimiento. Diseño profesional, una idea por slide, gráficos del análisis incluidos. Es lo que presentas al panel.</w:t>
      </w:r>
    </w:p>
    <w:p w14:paraId="759BAF79" w14:textId="77777777" w:rsidR="00817F26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color w:val="1A1E1B"/>
        </w:rPr>
        <w:t>Bitácora AI en Word o PDF · una sección por cada pregunta donde usaste AI, con: prompt usado (literal), output recibido (fragmento útil), crítica al output, decisión final, número de iteraciones. Sin esta bitácora, la dimensión AI no se puede evaluar.</w:t>
      </w:r>
    </w:p>
    <w:p w14:paraId="70A7AC2A" w14:textId="77777777" w:rsidR="00817F26" w:rsidRDefault="00817F26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7F26" w14:paraId="2E4A7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3B585"/>
              <w:bottom w:val="none" w:sz="0" w:space="0" w:color="FFFFFF"/>
              <w:right w:val="none" w:sz="0" w:space="0" w:color="FFFFFF"/>
            </w:tcBorders>
            <w:shd w:val="clear" w:color="auto" w:fill="F2EEE8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B84C728" w14:textId="77777777" w:rsidR="00817F26" w:rsidRDefault="00000000">
            <w:pPr>
              <w:spacing w:after="100"/>
            </w:pPr>
            <w:r>
              <w:rPr>
                <w:b/>
                <w:bCs/>
                <w:color w:val="085E54"/>
                <w:spacing w:val="20"/>
                <w:sz w:val="20"/>
                <w:szCs w:val="20"/>
              </w:rPr>
              <w:t>Cómo se conectan los cuatro</w:t>
            </w:r>
          </w:p>
          <w:p w14:paraId="5FD94C21" w14:textId="77777777" w:rsidR="00817F26" w:rsidRDefault="00000000">
            <w:pPr>
              <w:spacing w:after="60" w:line="280" w:lineRule="auto"/>
            </w:pPr>
            <w:r>
              <w:rPr>
                <w:color w:val="1A1E1B"/>
              </w:rPr>
              <w:t>El Excel sostiene el cálculo. El Power BI vuelve el cálculo navegable. El Deck cuenta la historia ejecutiva. La Bitácora AI documenta el pensamiento detrás. Cada archivo cumple un rol distinto y los cuatro se evalúan de forma independiente.</w:t>
            </w:r>
          </w:p>
        </w:tc>
      </w:tr>
    </w:tbl>
    <w:p w14:paraId="7AF359DA" w14:textId="77777777" w:rsidR="00817F26" w:rsidRDefault="00000000">
      <w:pPr>
        <w:pStyle w:val="Ttulo2"/>
      </w:pPr>
      <w:r>
        <w:t>Para el panel de 60 minutos</w:t>
      </w:r>
    </w:p>
    <w:p w14:paraId="64CAFCA6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Presentas tu Deck en PowerPoint en los primeros 10-15 minutos.</w:t>
      </w:r>
    </w:p>
    <w:p w14:paraId="5A4B6144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El dashboard de Power BI corre en vivo durante la sesión: el panel pedirá filtros y vistas específicas.</w:t>
      </w:r>
    </w:p>
    <w:p w14:paraId="18DF5C4D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La bitácora AI abierta para revisión de prompts cuando el panel lo solicite.</w:t>
      </w:r>
    </w:p>
    <w:p w14:paraId="4BE4AD58" w14:textId="77777777" w:rsidR="00817F26" w:rsidRDefault="00000000">
      <w:pPr>
        <w:pStyle w:val="Prrafodelista"/>
        <w:numPr>
          <w:ilvl w:val="0"/>
          <w:numId w:val="2"/>
        </w:numPr>
        <w:spacing w:after="80" w:line="280" w:lineRule="auto"/>
      </w:pPr>
      <w:r>
        <w:rPr>
          <w:color w:val="1A1E1B"/>
        </w:rPr>
        <w:t>El Excel disponible para validar cualquier cálculo en tiempo real.</w:t>
      </w:r>
    </w:p>
    <w:p w14:paraId="1EDAEBBA" w14:textId="77777777" w:rsidR="00817F26" w:rsidRDefault="00000000">
      <w:r>
        <w:br w:type="page"/>
      </w:r>
    </w:p>
    <w:p w14:paraId="4F92017B" w14:textId="77777777" w:rsidR="00817F26" w:rsidRDefault="00000000">
      <w:pPr>
        <w:spacing w:before="320" w:after="80"/>
      </w:pPr>
      <w:r>
        <w:rPr>
          <w:b/>
          <w:bCs/>
          <w:color w:val="03B585"/>
          <w:spacing w:val="30"/>
          <w:sz w:val="18"/>
          <w:szCs w:val="18"/>
        </w:rPr>
        <w:lastRenderedPageBreak/>
        <w:t>EVALUACIÓN</w:t>
      </w:r>
    </w:p>
    <w:p w14:paraId="2F4FAD64" w14:textId="77777777" w:rsidR="00817F26" w:rsidRDefault="00000000">
      <w:pPr>
        <w:pStyle w:val="Ttulo1"/>
      </w:pPr>
      <w:r>
        <w:t>Cómo se evalúa</w:t>
      </w:r>
    </w:p>
    <w:p w14:paraId="1EBBA9C6" w14:textId="77777777" w:rsidR="00817F26" w:rsidRDefault="00000000">
      <w:pPr>
        <w:spacing w:after="120" w:line="300" w:lineRule="auto"/>
      </w:pPr>
      <w:r>
        <w:rPr>
          <w:color w:val="1A1E1B"/>
        </w:rPr>
        <w:t>La evaluación tiene cuatro componentes alineados uno a uno con los cuatro entregables. El componente AI tiene a su vez cinco criterios; los pesos detallados están en la guía interna del evaluador.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817F26" w14:paraId="60AC0B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6CDF9B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B0C83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085E5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ABB0D8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Qué se evalúa</w:t>
            </w:r>
          </w:p>
        </w:tc>
      </w:tr>
      <w:tr w:rsidR="00817F26" w14:paraId="5EB295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37E28D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Análisis cuantitativo · Excel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FB0853" w14:textId="77777777" w:rsidR="00817F26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30%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7B2E79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Correctitud de cálculos, tablas dinámicas, fórmulas, claridad de la hoja de respuestas.</w:t>
            </w:r>
          </w:p>
        </w:tc>
      </w:tr>
      <w:tr w:rsidR="00817F26" w14:paraId="23FD7C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0BE272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Visualización · Power BI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AEC08" w14:textId="77777777" w:rsidR="00817F26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25%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3DC6B8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Diseño del dashboard, claridad narrativa, jerarquía visual, capacidad de filtrado y exploración.</w:t>
            </w:r>
          </w:p>
        </w:tc>
      </w:tr>
      <w:tr w:rsidR="00817F26" w14:paraId="3E505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002DD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Comunicación ejecutiva · Deck PPT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AC9B9" w14:textId="77777777" w:rsidR="00817F26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15%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39BE90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Storytelling, una idea por slide, calidad de los gráficos, recomendaciones accionables, defensa en panel.</w:t>
            </w:r>
          </w:p>
        </w:tc>
      </w:tr>
      <w:tr w:rsidR="00817F26" w14:paraId="6271B5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A545F8" w14:textId="77777777" w:rsidR="00817F26" w:rsidRDefault="00000000">
            <w:pPr>
              <w:spacing w:after="60" w:line="280" w:lineRule="auto"/>
            </w:pPr>
            <w:r>
              <w:rPr>
                <w:b/>
                <w:bCs/>
                <w:color w:val="085E54"/>
              </w:rPr>
              <w:t>Uso crítico de AI · Bitácora</w:t>
            </w:r>
          </w:p>
        </w:tc>
        <w:tc>
          <w:tcPr>
            <w:tcW w:w="156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7A05F3" w14:textId="77777777" w:rsidR="00817F26" w:rsidRDefault="00000000">
            <w:pPr>
              <w:spacing w:after="60" w:line="280" w:lineRule="auto"/>
              <w:jc w:val="center"/>
            </w:pPr>
            <w:r>
              <w:rPr>
                <w:b/>
                <w:bCs/>
                <w:color w:val="03B585"/>
                <w:sz w:val="24"/>
                <w:szCs w:val="24"/>
              </w:rPr>
              <w:t>30%</w:t>
            </w:r>
          </w:p>
        </w:tc>
        <w:tc>
          <w:tcPr>
            <w:tcW w:w="4680" w:type="dxa"/>
            <w:tcBorders>
              <w:top w:val="single" w:sz="4" w:space="0" w:color="BFD2CE"/>
              <w:left w:val="single" w:sz="4" w:space="0" w:color="BFD2CE"/>
              <w:bottom w:val="single" w:sz="4" w:space="0" w:color="BFD2CE"/>
              <w:right w:val="single" w:sz="4" w:space="0" w:color="BFD2CE"/>
            </w:tcBorders>
            <w:shd w:val="clear" w:color="auto" w:fill="F2EE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3005C" w14:textId="77777777" w:rsidR="00817F26" w:rsidRDefault="00000000">
            <w:pPr>
              <w:spacing w:after="60" w:line="280" w:lineRule="auto"/>
            </w:pPr>
            <w:r>
              <w:rPr>
                <w:color w:val="1A1E1B"/>
                <w:sz w:val="20"/>
                <w:szCs w:val="20"/>
              </w:rPr>
              <w:t>Calidad de prompts, juicio sobre outputs, aterrizaje al caso, integración AI con los otros entregables.</w:t>
            </w:r>
          </w:p>
        </w:tc>
      </w:tr>
    </w:tbl>
    <w:p w14:paraId="3F48B3B7" w14:textId="77777777" w:rsidR="00817F26" w:rsidRDefault="00817F2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7F26" w14:paraId="4DB624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3B585"/>
              <w:bottom w:val="none" w:sz="0" w:space="0" w:color="FFFFFF"/>
              <w:right w:val="none" w:sz="0" w:space="0" w:color="FFFFFF"/>
            </w:tcBorders>
            <w:shd w:val="clear" w:color="auto" w:fill="F2EEE8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3234D05" w14:textId="77777777" w:rsidR="00817F26" w:rsidRDefault="00000000">
            <w:pPr>
              <w:spacing w:after="100"/>
            </w:pPr>
            <w:r>
              <w:rPr>
                <w:b/>
                <w:bCs/>
                <w:color w:val="085E54"/>
                <w:spacing w:val="20"/>
                <w:sz w:val="20"/>
                <w:szCs w:val="20"/>
              </w:rPr>
              <w:t>Lo que más cuenta dentro del componente AI</w:t>
            </w:r>
          </w:p>
          <w:p w14:paraId="5C4E94FA" w14:textId="77777777" w:rsidR="00817F26" w:rsidRDefault="00000000">
            <w:pPr>
              <w:spacing w:after="60" w:line="280" w:lineRule="auto"/>
            </w:pPr>
            <w:r>
              <w:rPr>
                <w:color w:val="1A1E1B"/>
              </w:rPr>
              <w:t>Pensamiento crítico sobre la AI (25% del componente AI) pesa más que Calidad del prompt (20%). Es deliberado: el riesgo principal de un consultor con AI no es prompar mal, es aceptar respuestas mediocres como si fueran insights. Si solo dominas una de las dos cosas, prioriza la crítica.</w:t>
            </w:r>
          </w:p>
        </w:tc>
      </w:tr>
    </w:tbl>
    <w:p w14:paraId="5FAA8D64" w14:textId="77777777" w:rsidR="000318A9" w:rsidRDefault="000318A9"/>
    <w:sectPr w:rsidR="000318A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D3E9F" w14:textId="77777777" w:rsidR="000318A9" w:rsidRDefault="000318A9">
      <w:r>
        <w:separator/>
      </w:r>
    </w:p>
  </w:endnote>
  <w:endnote w:type="continuationSeparator" w:id="0">
    <w:p w14:paraId="45613BC4" w14:textId="77777777" w:rsidR="000318A9" w:rsidRDefault="0003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26F2F" w14:textId="77777777" w:rsidR="00817F26" w:rsidRDefault="00000000">
    <w:pPr>
      <w:tabs>
        <w:tab w:val="right" w:pos="9360"/>
      </w:tabs>
    </w:pPr>
    <w:r>
      <w:rPr>
        <w:color w:val="5A5E5B"/>
        <w:sz w:val="16"/>
        <w:szCs w:val="16"/>
      </w:rPr>
      <w:t>GRIM · 2026</w:t>
    </w:r>
    <w:r>
      <w:rPr>
        <w:color w:val="5A5E5B"/>
        <w:sz w:val="16"/>
        <w:szCs w:val="16"/>
      </w:rPr>
      <w:tab/>
    </w:r>
    <w:r>
      <w:rPr>
        <w:color w:val="5A5E5B"/>
        <w:sz w:val="16"/>
        <w:szCs w:val="16"/>
      </w:rPr>
      <w:fldChar w:fldCharType="begin"/>
    </w:r>
    <w:r>
      <w:rPr>
        <w:color w:val="5A5E5B"/>
        <w:sz w:val="16"/>
        <w:szCs w:val="16"/>
      </w:rPr>
      <w:instrText>PAGE</w:instrText>
    </w:r>
    <w:r>
      <w:rPr>
        <w:color w:val="5A5E5B"/>
        <w:sz w:val="16"/>
        <w:szCs w:val="16"/>
      </w:rPr>
      <w:fldChar w:fldCharType="separate"/>
    </w:r>
    <w:r w:rsidR="00FD7A5C">
      <w:rPr>
        <w:noProof/>
        <w:color w:val="5A5E5B"/>
        <w:sz w:val="16"/>
        <w:szCs w:val="16"/>
      </w:rPr>
      <w:t>1</w:t>
    </w:r>
    <w:r>
      <w:rPr>
        <w:color w:val="5A5E5B"/>
        <w:sz w:val="16"/>
        <w:szCs w:val="16"/>
      </w:rPr>
      <w:fldChar w:fldCharType="end"/>
    </w:r>
    <w:r>
      <w:rPr>
        <w:color w:val="5A5E5B"/>
        <w:sz w:val="16"/>
        <w:szCs w:val="16"/>
      </w:rPr>
      <w:t xml:space="preserve"> / </w:t>
    </w:r>
    <w:r>
      <w:rPr>
        <w:color w:val="5A5E5B"/>
        <w:sz w:val="16"/>
        <w:szCs w:val="16"/>
      </w:rPr>
      <w:fldChar w:fldCharType="begin"/>
    </w:r>
    <w:r>
      <w:rPr>
        <w:color w:val="5A5E5B"/>
        <w:sz w:val="16"/>
        <w:szCs w:val="16"/>
      </w:rPr>
      <w:instrText>NUMPAGES</w:instrText>
    </w:r>
    <w:r>
      <w:rPr>
        <w:color w:val="5A5E5B"/>
        <w:sz w:val="16"/>
        <w:szCs w:val="16"/>
      </w:rPr>
      <w:fldChar w:fldCharType="separate"/>
    </w:r>
    <w:r w:rsidR="00FD7A5C">
      <w:rPr>
        <w:noProof/>
        <w:color w:val="5A5E5B"/>
        <w:sz w:val="16"/>
        <w:szCs w:val="16"/>
      </w:rPr>
      <w:t>2</w:t>
    </w:r>
    <w:r>
      <w:rPr>
        <w:color w:val="5A5E5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D24D" w14:textId="77777777" w:rsidR="000318A9" w:rsidRDefault="000318A9">
      <w:r>
        <w:separator/>
      </w:r>
    </w:p>
  </w:footnote>
  <w:footnote w:type="continuationSeparator" w:id="0">
    <w:p w14:paraId="59E301BE" w14:textId="77777777" w:rsidR="000318A9" w:rsidRDefault="00031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single" w:sz="6" w:space="0" w:color="03B585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0"/>
      <w:gridCol w:w="8910"/>
    </w:tblGrid>
    <w:tr w:rsidR="00817F26" w14:paraId="2E63EC6D" w14:textId="77777777">
      <w:tblPrEx>
        <w:tblCellMar>
          <w:top w:w="0" w:type="dxa"/>
          <w:bottom w:w="0" w:type="dxa"/>
        </w:tblCellMar>
      </w:tblPrEx>
      <w:tc>
        <w:tcPr>
          <w:tcW w:w="45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0000"/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14:paraId="6EE688A0" w14:textId="77777777" w:rsidR="00817F26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0A159565" wp14:editId="7910EFF9">
                <wp:extent cx="228600" cy="200025"/>
                <wp:effectExtent l="0" t="0" r="0" b="0"/>
                <wp:docPr id="2123652449" name="Imagen 2123652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600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1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200" w:type="dxa"/>
            <w:bottom w:w="40" w:type="dxa"/>
            <w:right w:w="0" w:type="dxa"/>
          </w:tcMar>
          <w:vAlign w:val="center"/>
        </w:tcPr>
        <w:p w14:paraId="1D1449E7" w14:textId="77777777" w:rsidR="00817F26" w:rsidRDefault="00000000">
          <w:r>
            <w:rPr>
              <w:b/>
              <w:bCs/>
              <w:color w:val="085E54"/>
              <w:spacing w:val="60"/>
              <w:sz w:val="16"/>
              <w:szCs w:val="16"/>
            </w:rPr>
            <w:t>LONDON CONSULTING GROUP</w:t>
          </w:r>
          <w:r>
            <w:rPr>
              <w:color w:val="03B585"/>
              <w:sz w:val="16"/>
              <w:szCs w:val="16"/>
            </w:rPr>
            <w:t xml:space="preserve">   ·   </w:t>
          </w:r>
          <w:r>
            <w:rPr>
              <w:i/>
              <w:iCs/>
              <w:color w:val="5A5E5B"/>
              <w:sz w:val="16"/>
              <w:szCs w:val="16"/>
            </w:rPr>
            <w:t>BC3 · Finanzas / Administración · GRIM</w:t>
          </w:r>
        </w:p>
      </w:tc>
    </w:tr>
  </w:tbl>
  <w:p w14:paraId="4A71CC57" w14:textId="77777777" w:rsidR="00817F26" w:rsidRDefault="00817F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067E5"/>
    <w:multiLevelType w:val="hybridMultilevel"/>
    <w:tmpl w:val="F080176C"/>
    <w:lvl w:ilvl="0" w:tplc="0DC81DC6">
      <w:start w:val="1"/>
      <w:numFmt w:val="bullet"/>
      <w:lvlText w:val="●"/>
      <w:lvlJc w:val="left"/>
      <w:pPr>
        <w:ind w:left="720" w:hanging="360"/>
      </w:pPr>
    </w:lvl>
    <w:lvl w:ilvl="1" w:tplc="865AA15C">
      <w:start w:val="1"/>
      <w:numFmt w:val="bullet"/>
      <w:lvlText w:val="○"/>
      <w:lvlJc w:val="left"/>
      <w:pPr>
        <w:ind w:left="1440" w:hanging="360"/>
      </w:pPr>
    </w:lvl>
    <w:lvl w:ilvl="2" w:tplc="BE185270">
      <w:start w:val="1"/>
      <w:numFmt w:val="bullet"/>
      <w:lvlText w:val="■"/>
      <w:lvlJc w:val="left"/>
      <w:pPr>
        <w:ind w:left="2160" w:hanging="360"/>
      </w:pPr>
    </w:lvl>
    <w:lvl w:ilvl="3" w:tplc="02F6128E">
      <w:start w:val="1"/>
      <w:numFmt w:val="bullet"/>
      <w:lvlText w:val="●"/>
      <w:lvlJc w:val="left"/>
      <w:pPr>
        <w:ind w:left="2880" w:hanging="360"/>
      </w:pPr>
    </w:lvl>
    <w:lvl w:ilvl="4" w:tplc="1E841D6A">
      <w:start w:val="1"/>
      <w:numFmt w:val="bullet"/>
      <w:lvlText w:val="○"/>
      <w:lvlJc w:val="left"/>
      <w:pPr>
        <w:ind w:left="3600" w:hanging="360"/>
      </w:pPr>
    </w:lvl>
    <w:lvl w:ilvl="5" w:tplc="DBD65BC6">
      <w:start w:val="1"/>
      <w:numFmt w:val="bullet"/>
      <w:lvlText w:val="■"/>
      <w:lvlJc w:val="left"/>
      <w:pPr>
        <w:ind w:left="4320" w:hanging="360"/>
      </w:pPr>
    </w:lvl>
    <w:lvl w:ilvl="6" w:tplc="57FA687A">
      <w:start w:val="1"/>
      <w:numFmt w:val="bullet"/>
      <w:lvlText w:val="●"/>
      <w:lvlJc w:val="left"/>
      <w:pPr>
        <w:ind w:left="5040" w:hanging="360"/>
      </w:pPr>
    </w:lvl>
    <w:lvl w:ilvl="7" w:tplc="7B5E4DAA">
      <w:start w:val="1"/>
      <w:numFmt w:val="bullet"/>
      <w:lvlText w:val="●"/>
      <w:lvlJc w:val="left"/>
      <w:pPr>
        <w:ind w:left="5760" w:hanging="360"/>
      </w:pPr>
    </w:lvl>
    <w:lvl w:ilvl="8" w:tplc="DDAE07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B66629"/>
    <w:multiLevelType w:val="hybridMultilevel"/>
    <w:tmpl w:val="1BE48174"/>
    <w:lvl w:ilvl="0" w:tplc="C772135E">
      <w:start w:val="1"/>
      <w:numFmt w:val="bullet"/>
      <w:lvlText w:val="•"/>
      <w:lvlJc w:val="left"/>
      <w:pPr>
        <w:ind w:left="540" w:hanging="360"/>
      </w:pPr>
    </w:lvl>
    <w:lvl w:ilvl="1" w:tplc="63B21498">
      <w:numFmt w:val="decimal"/>
      <w:lvlText w:val=""/>
      <w:lvlJc w:val="left"/>
    </w:lvl>
    <w:lvl w:ilvl="2" w:tplc="85C8EF38">
      <w:numFmt w:val="decimal"/>
      <w:lvlText w:val=""/>
      <w:lvlJc w:val="left"/>
    </w:lvl>
    <w:lvl w:ilvl="3" w:tplc="DD54715A">
      <w:numFmt w:val="decimal"/>
      <w:lvlText w:val=""/>
      <w:lvlJc w:val="left"/>
    </w:lvl>
    <w:lvl w:ilvl="4" w:tplc="EB909BD6">
      <w:numFmt w:val="decimal"/>
      <w:lvlText w:val=""/>
      <w:lvlJc w:val="left"/>
    </w:lvl>
    <w:lvl w:ilvl="5" w:tplc="E48EC988">
      <w:numFmt w:val="decimal"/>
      <w:lvlText w:val=""/>
      <w:lvlJc w:val="left"/>
    </w:lvl>
    <w:lvl w:ilvl="6" w:tplc="F7E80EA6">
      <w:numFmt w:val="decimal"/>
      <w:lvlText w:val=""/>
      <w:lvlJc w:val="left"/>
    </w:lvl>
    <w:lvl w:ilvl="7" w:tplc="60FE8C96">
      <w:numFmt w:val="decimal"/>
      <w:lvlText w:val=""/>
      <w:lvlJc w:val="left"/>
    </w:lvl>
    <w:lvl w:ilvl="8" w:tplc="D0CA9244">
      <w:numFmt w:val="decimal"/>
      <w:lvlText w:val=""/>
      <w:lvlJc w:val="left"/>
    </w:lvl>
  </w:abstractNum>
  <w:abstractNum w:abstractNumId="2" w15:restartNumberingAfterBreak="0">
    <w:nsid w:val="74C2177C"/>
    <w:multiLevelType w:val="hybridMultilevel"/>
    <w:tmpl w:val="6FB4C58C"/>
    <w:lvl w:ilvl="0" w:tplc="3EB4D912">
      <w:start w:val="1"/>
      <w:numFmt w:val="decimal"/>
      <w:lvlText w:val="%1."/>
      <w:lvlJc w:val="left"/>
      <w:pPr>
        <w:ind w:left="540" w:hanging="360"/>
      </w:pPr>
    </w:lvl>
    <w:lvl w:ilvl="1" w:tplc="4B323612">
      <w:numFmt w:val="decimal"/>
      <w:lvlText w:val=""/>
      <w:lvlJc w:val="left"/>
    </w:lvl>
    <w:lvl w:ilvl="2" w:tplc="B0ECCADA">
      <w:numFmt w:val="decimal"/>
      <w:lvlText w:val=""/>
      <w:lvlJc w:val="left"/>
    </w:lvl>
    <w:lvl w:ilvl="3" w:tplc="80F24140">
      <w:numFmt w:val="decimal"/>
      <w:lvlText w:val=""/>
      <w:lvlJc w:val="left"/>
    </w:lvl>
    <w:lvl w:ilvl="4" w:tplc="A8347042">
      <w:numFmt w:val="decimal"/>
      <w:lvlText w:val=""/>
      <w:lvlJc w:val="left"/>
    </w:lvl>
    <w:lvl w:ilvl="5" w:tplc="13B8C322">
      <w:numFmt w:val="decimal"/>
      <w:lvlText w:val=""/>
      <w:lvlJc w:val="left"/>
    </w:lvl>
    <w:lvl w:ilvl="6" w:tplc="77DEFFBA">
      <w:numFmt w:val="decimal"/>
      <w:lvlText w:val=""/>
      <w:lvlJc w:val="left"/>
    </w:lvl>
    <w:lvl w:ilvl="7" w:tplc="1C543F4C">
      <w:numFmt w:val="decimal"/>
      <w:lvlText w:val=""/>
      <w:lvlJc w:val="left"/>
    </w:lvl>
    <w:lvl w:ilvl="8" w:tplc="BE0AFA24">
      <w:numFmt w:val="decimal"/>
      <w:lvlText w:val=""/>
      <w:lvlJc w:val="left"/>
    </w:lvl>
  </w:abstractNum>
  <w:num w:numId="1" w16cid:durableId="468325433">
    <w:abstractNumId w:val="0"/>
    <w:lvlOverride w:ilvl="0">
      <w:startOverride w:val="1"/>
    </w:lvlOverride>
  </w:num>
  <w:num w:numId="2" w16cid:durableId="237522668">
    <w:abstractNumId w:val="1"/>
    <w:lvlOverride w:ilvl="0">
      <w:startOverride w:val="1"/>
    </w:lvlOverride>
  </w:num>
  <w:num w:numId="3" w16cid:durableId="7346684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F26"/>
    <w:rsid w:val="000318A9"/>
    <w:rsid w:val="00817F26"/>
    <w:rsid w:val="00876258"/>
    <w:rsid w:val="00FD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4EA722"/>
  <w15:docId w15:val="{455451D3-14AD-2246-B9F1-F5271D3D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200"/>
      <w:outlineLvl w:val="0"/>
    </w:pPr>
    <w:rPr>
      <w:b/>
      <w:bCs/>
      <w:color w:val="085E54"/>
      <w:sz w:val="40"/>
      <w:szCs w:val="40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085E54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color w:val="085E5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undefined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2235</Words>
  <Characters>12097</Characters>
  <Application>Microsoft Office Word</Application>
  <DocSecurity>0</DocSecurity>
  <Lines>326</Lines>
  <Paragraphs>242</Paragraphs>
  <ScaleCrop>false</ScaleCrop>
  <Company/>
  <LinksUpToDate>false</LinksUpToDate>
  <CharactersWithSpaces>14090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Case Finanzas / Administración · GRIM</dc:title>
  <dc:creator>London Consulting Group</dc:creator>
  <cp:lastModifiedBy>Alfredo Felipe Chavez Enriquez</cp:lastModifiedBy>
  <cp:revision>1</cp:revision>
  <dcterms:created xsi:type="dcterms:W3CDTF">2026-05-07T20:54:00Z</dcterms:created>
  <dcterms:modified xsi:type="dcterms:W3CDTF">2026-05-07T21:05:00Z</dcterms:modified>
</cp:coreProperties>
</file>