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3CD7" w14:paraId="22301D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300" w:type="dxa"/>
              <w:left w:w="480" w:type="dxa"/>
              <w:bottom w:w="300" w:type="dxa"/>
              <w:right w:w="480" w:type="dxa"/>
            </w:tcMar>
          </w:tcPr>
          <w:p w14:paraId="056C2E12" w14:textId="77777777" w:rsidR="007A3CD7" w:rsidRDefault="00000000">
            <w:r>
              <w:rPr>
                <w:noProof/>
              </w:rPr>
              <w:drawing>
                <wp:inline distT="0" distB="0" distL="0" distR="0" wp14:anchorId="08E55BB5" wp14:editId="61FBF64F">
                  <wp:extent cx="2667000" cy="3238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1B427" w14:textId="77777777" w:rsidR="007A3CD7" w:rsidRDefault="00000000">
      <w:pPr>
        <w:spacing w:before="600"/>
      </w:pPr>
      <w:r>
        <w:rPr>
          <w:b/>
          <w:bCs/>
          <w:color w:val="03B585"/>
          <w:spacing w:val="80"/>
          <w:sz w:val="24"/>
          <w:szCs w:val="24"/>
        </w:rPr>
        <w:t>BUSINESS CASE · MANUFACTURA</w:t>
      </w:r>
    </w:p>
    <w:p w14:paraId="15990381" w14:textId="77777777" w:rsidR="007A3CD7" w:rsidRDefault="00000000">
      <w:pPr>
        <w:spacing w:before="200"/>
      </w:pPr>
      <w:r>
        <w:rPr>
          <w:b/>
          <w:bCs/>
          <w:color w:val="085E54"/>
          <w:sz w:val="64"/>
          <w:szCs w:val="64"/>
        </w:rPr>
        <w:t>MATENORSA</w:t>
      </w:r>
    </w:p>
    <w:p w14:paraId="2A281C58" w14:textId="77777777" w:rsidR="007A3CD7" w:rsidRDefault="00000000">
      <w:pPr>
        <w:spacing w:before="100"/>
      </w:pPr>
      <w:r>
        <w:rPr>
          <w:b/>
          <w:bCs/>
          <w:color w:val="03B585"/>
          <w:sz w:val="28"/>
          <w:szCs w:val="28"/>
        </w:rPr>
        <w:t>Manufacturas Tecnológicas del Norte</w:t>
      </w:r>
    </w:p>
    <w:p w14:paraId="5FD42373" w14:textId="77777777" w:rsidR="007A3CD7" w:rsidRDefault="00000000">
      <w:pPr>
        <w:spacing w:before="240" w:after="1600"/>
      </w:pPr>
      <w:r>
        <w:rPr>
          <w:i/>
          <w:iCs/>
          <w:color w:val="5A5E5B"/>
          <w:sz w:val="24"/>
          <w:szCs w:val="24"/>
        </w:rPr>
        <w:t>Análisis de eficiencia productiva, OEE, paros y rentabilidad por línea</w:t>
      </w:r>
    </w:p>
    <w:p w14:paraId="6860D78E" w14:textId="77777777" w:rsidR="007A3CD7" w:rsidRDefault="007A3CD7">
      <w:pPr>
        <w:pBdr>
          <w:bottom w:val="single" w:sz="6" w:space="1" w:color="03B585"/>
        </w:pBdr>
        <w:spacing w:before="200" w:after="200"/>
      </w:pPr>
    </w:p>
    <w:p w14:paraId="663A4830" w14:textId="77777777" w:rsidR="007A3CD7" w:rsidRDefault="00000000">
      <w:pPr>
        <w:spacing w:before="300" w:after="80"/>
      </w:pPr>
      <w:r>
        <w:rPr>
          <w:b/>
          <w:bCs/>
          <w:color w:val="03B585"/>
          <w:spacing w:val="60"/>
          <w:sz w:val="18"/>
          <w:szCs w:val="18"/>
        </w:rPr>
        <w:t>PARA QUIÉN</w:t>
      </w:r>
    </w:p>
    <w:p w14:paraId="64F03EF7" w14:textId="77777777" w:rsidR="007A3CD7" w:rsidRDefault="00000000">
      <w:pPr>
        <w:spacing w:after="200" w:line="300" w:lineRule="auto"/>
      </w:pPr>
      <w:r>
        <w:rPr>
          <w:color w:val="1A1E1B"/>
        </w:rPr>
        <w:t>Candidato a Consultor de Operaciones · vertical Manufactura · LCG México.</w:t>
      </w:r>
    </w:p>
    <w:p w14:paraId="6FAC684A" w14:textId="77777777" w:rsidR="007A3CD7" w:rsidRDefault="00000000">
      <w:pPr>
        <w:spacing w:before="200" w:after="80"/>
      </w:pPr>
      <w:r>
        <w:rPr>
          <w:b/>
          <w:bCs/>
          <w:color w:val="03B585"/>
          <w:spacing w:val="60"/>
          <w:sz w:val="18"/>
          <w:szCs w:val="18"/>
        </w:rPr>
        <w:t>DURACIÓN</w:t>
      </w:r>
    </w:p>
    <w:p w14:paraId="4429C190" w14:textId="77777777" w:rsidR="007A3CD7" w:rsidRDefault="00000000">
      <w:pPr>
        <w:spacing w:after="400" w:line="300" w:lineRule="auto"/>
      </w:pPr>
      <w:r>
        <w:rPr>
          <w:color w:val="1A1E1B"/>
        </w:rPr>
        <w:t>6 horas asíncronas + panel de 60 minutos.</w:t>
      </w:r>
    </w:p>
    <w:p w14:paraId="10F393B2" w14:textId="77777777" w:rsidR="007A3CD7" w:rsidRDefault="00000000">
      <w:pPr>
        <w:spacing w:after="120" w:line="300" w:lineRule="auto"/>
      </w:pPr>
      <w:r>
        <w:rPr>
          <w:i/>
          <w:iCs/>
          <w:color w:val="5A5E5B"/>
          <w:sz w:val="18"/>
          <w:szCs w:val="18"/>
        </w:rPr>
        <w:t>London Consulting Group · México · 2026</w:t>
      </w:r>
    </w:p>
    <w:p w14:paraId="6B75DA18" w14:textId="77777777" w:rsidR="007A3CD7" w:rsidRDefault="00000000">
      <w:r>
        <w:br w:type="page"/>
      </w:r>
    </w:p>
    <w:p w14:paraId="233CC108" w14:textId="77777777" w:rsidR="007A3CD7" w:rsidRDefault="00000000">
      <w:pPr>
        <w:spacing w:before="320" w:after="80"/>
      </w:pPr>
      <w:r>
        <w:rPr>
          <w:b/>
          <w:bCs/>
          <w:color w:val="03B585"/>
          <w:spacing w:val="30"/>
          <w:sz w:val="18"/>
          <w:szCs w:val="18"/>
        </w:rPr>
        <w:lastRenderedPageBreak/>
        <w:t>EL CASO</w:t>
      </w:r>
    </w:p>
    <w:p w14:paraId="6CC6228D" w14:textId="77777777" w:rsidR="007A3CD7" w:rsidRDefault="00000000">
      <w:pPr>
        <w:pStyle w:val="Ttulo1"/>
      </w:pPr>
      <w:r>
        <w:t>La empresa</w:t>
      </w:r>
    </w:p>
    <w:p w14:paraId="0828627A" w14:textId="77777777" w:rsidR="007A3CD7" w:rsidRDefault="00000000">
      <w:pPr>
        <w:spacing w:after="120" w:line="300" w:lineRule="auto"/>
      </w:pPr>
      <w:r>
        <w:rPr>
          <w:color w:val="1A1E1B"/>
        </w:rPr>
        <w:t>MATENORSA (Manufacturas Tecnológicas del Norte S.A. de C.V.) es una empresa mexicana de manufactura metalmecánica para el sector automotriz Tier 2. Opera dos plantas: la principal en Apodaca, Nuevo León, y una secundaria en Saltillo, Coahuila. Cuenta con seis líneas de producción: estampado pesado, maquinado CNC, soldadura robótica, inyección plástico, estampado ligero y ensamble final. Sirve a clientes Tier 1 (Magna, Lear, Bocar, Schaeffler, Continental, ZF) y a OEMs directamente (KIA Pesquería, GM Ramos Arizpe, Stellantis Saltillo).</w:t>
      </w:r>
    </w:p>
    <w:p w14:paraId="1056A157" w14:textId="77777777" w:rsidR="007A3CD7" w:rsidRDefault="00000000">
      <w:pPr>
        <w:spacing w:after="120" w:line="300" w:lineRule="auto"/>
      </w:pPr>
      <w:r>
        <w:rPr>
          <w:color w:val="1A1E1B"/>
        </w:rPr>
        <w:t>El director de operaciones tiene un problema: el OEE corporativo está estancado en 71% cuando la meta es 85%, y dos líneas en particular han mostrado deterioro creciente en 2025. Las quejas de clientes Tier 1 sobre puntualidad y scrap están aumentando. La dirección encargó un análisis a fondo de los 24 meses de datos de producción y paros para entender dónde están las oportunidades reales y construir un plan de recuperación.</w:t>
      </w:r>
    </w:p>
    <w:p w14:paraId="667830DD" w14:textId="77777777" w:rsidR="007A3CD7" w:rsidRDefault="00000000">
      <w:pPr>
        <w:pStyle w:val="Ttulo2"/>
      </w:pPr>
      <w:r>
        <w:t>Lo que pide la dirección</w:t>
      </w:r>
    </w:p>
    <w:p w14:paraId="2BF77936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Diagnóstico claro del OEE actual por línea, planta y turno. Comparación contra la meta de 85% y contra la propia línea hace un año.</w:t>
      </w:r>
    </w:p>
    <w:p w14:paraId="4FF1C7CF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Identificación de las principales causas de paro: por línea, por categoría, su evolución en el tiempo y su impacto en valor.</w:t>
      </w:r>
    </w:p>
    <w:p w14:paraId="098B3D13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Análisis de scrap por línea y por SKU: dónde se está perdiendo más dinero por defectos.</w:t>
      </w:r>
    </w:p>
    <w:p w14:paraId="3DB2B275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Plan de recuperación con prioridades, secuencia y métricas de seguimiento.</w:t>
      </w:r>
    </w:p>
    <w:p w14:paraId="0B7500F5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Tablero ejecutivo en Power BI que el director pueda revisar en su junta semanal.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3CD7" w14:paraId="1C0AAC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3B585"/>
              <w:bottom w:val="none" w:sz="0" w:space="0" w:color="FFFFFF"/>
              <w:right w:val="none" w:sz="0" w:space="0" w:color="FFFFFF"/>
            </w:tcBorders>
            <w:shd w:val="clear" w:color="auto" w:fill="F2EEE8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22B2714D" w14:textId="77777777" w:rsidR="007A3CD7" w:rsidRDefault="00000000">
            <w:pPr>
              <w:spacing w:after="100"/>
            </w:pPr>
            <w:r>
              <w:rPr>
                <w:b/>
                <w:bCs/>
                <w:color w:val="085E54"/>
                <w:spacing w:val="20"/>
                <w:sz w:val="20"/>
                <w:szCs w:val="20"/>
              </w:rPr>
              <w:t>Datos del caso</w:t>
            </w:r>
          </w:p>
          <w:p w14:paraId="32B15697" w14:textId="77777777" w:rsidR="007A3CD7" w:rsidRDefault="00000000">
            <w:pPr>
              <w:spacing w:after="60" w:line="280" w:lineRule="auto"/>
            </w:pPr>
            <w:r>
              <w:rPr>
                <w:color w:val="1A1E1B"/>
              </w:rPr>
              <w:t>Archivo: BC2_Manufactura_MATENORSA.xlsx</w:t>
            </w:r>
          </w:p>
          <w:p w14:paraId="58539A7F" w14:textId="77777777" w:rsidR="007A3CD7" w:rsidRDefault="00000000">
            <w:pPr>
              <w:spacing w:after="60" w:line="280" w:lineRule="auto"/>
            </w:pPr>
            <w:r>
              <w:rPr>
                <w:color w:val="1A1E1B"/>
              </w:rPr>
              <w:t>Periodo: enero 2024 a diciembre 2025 (24 meses).</w:t>
            </w:r>
          </w:p>
          <w:p w14:paraId="1A5AEA75" w14:textId="77777777" w:rsidR="007A3CD7" w:rsidRDefault="00000000">
            <w:pPr>
              <w:spacing w:after="60" w:line="280" w:lineRule="auto"/>
            </w:pPr>
            <w:r>
              <w:rPr>
                <w:color w:val="1A1E1B"/>
              </w:rPr>
              <w:t>Hojas: Producción (registro diario línea × turno), Paros (eventos detallados), Productos, Clientes, Líneas, Plantas, Turnos, Causas.</w:t>
            </w:r>
          </w:p>
          <w:p w14:paraId="2CE148B2" w14:textId="77777777" w:rsidR="007A3CD7" w:rsidRDefault="00000000">
            <w:pPr>
              <w:spacing w:after="60" w:line="280" w:lineRule="auto"/>
            </w:pPr>
            <w:r>
              <w:rPr>
                <w:color w:val="1A1E1B"/>
              </w:rPr>
              <w:t>Volumen: ~10,500 registros de producción · ~23,000 eventos de paro · 21 SKUs · 6 líneas · 3 turnos.</w:t>
            </w:r>
          </w:p>
          <w:p w14:paraId="59AEA55C" w14:textId="77777777" w:rsidR="007A3CD7" w:rsidRDefault="00000000">
            <w:pPr>
              <w:spacing w:after="60" w:line="280" w:lineRule="auto"/>
            </w:pPr>
            <w:r>
              <w:rPr>
                <w:color w:val="1A1E1B"/>
              </w:rPr>
              <w:t>Moneda: MXN.</w:t>
            </w:r>
          </w:p>
        </w:tc>
      </w:tr>
    </w:tbl>
    <w:p w14:paraId="6081567F" w14:textId="77777777" w:rsidR="007A3CD7" w:rsidRDefault="00000000">
      <w:r>
        <w:br w:type="page"/>
      </w:r>
    </w:p>
    <w:p w14:paraId="5CE03361" w14:textId="77777777" w:rsidR="007A3CD7" w:rsidRDefault="00000000">
      <w:pPr>
        <w:spacing w:before="320" w:after="80"/>
      </w:pPr>
      <w:r>
        <w:rPr>
          <w:b/>
          <w:bCs/>
          <w:color w:val="03B585"/>
          <w:spacing w:val="30"/>
          <w:sz w:val="18"/>
          <w:szCs w:val="18"/>
        </w:rPr>
        <w:lastRenderedPageBreak/>
        <w:t>INSTRUCCIONES</w:t>
      </w:r>
    </w:p>
    <w:p w14:paraId="20200A00" w14:textId="77777777" w:rsidR="007A3CD7" w:rsidRDefault="00000000">
      <w:pPr>
        <w:pStyle w:val="Ttulo1"/>
      </w:pPr>
      <w:r>
        <w:t>Indicaciones generales</w:t>
      </w:r>
    </w:p>
    <w:p w14:paraId="082C5BD9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Leer detalladamente el caso de MATENORSA y seguir las instrucciones de cada sección.</w:t>
      </w:r>
    </w:p>
    <w:p w14:paraId="28CC5000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Trabajar sobre el archivo de datos BC2_Manufactura_MATENORSA.xlsx.</w:t>
      </w:r>
    </w:p>
    <w:p w14:paraId="4125E45F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Expresar todos los resultados en pesos mexicanos (MXN).</w:t>
      </w:r>
    </w:p>
    <w:p w14:paraId="65B6D837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Implementar tablas dinámicas, funciones lógicas, de búsqueda, matemáticas, estadísticas y formatos condicionales en Excel.</w:t>
      </w:r>
    </w:p>
    <w:p w14:paraId="3291AFAA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Construir un dashboard en Power BI conectado al archivo de datos. Mínimo 3 páginas: Vista ejecutiva, Análisis profundo, Detalle.</w:t>
      </w:r>
    </w:p>
    <w:p w14:paraId="1A0CE600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Preparar un Deck en PowerPoint (máximo 10 slides) con la historia ejecutiva del caso: contexto, hallazgos, recomendaciones, plan de trabajo.</w:t>
      </w:r>
    </w:p>
    <w:p w14:paraId="7BE04E49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Documentar el uso de AI en una bitácora separada (formato definido en sección de entregables).</w:t>
      </w:r>
    </w:p>
    <w:p w14:paraId="672840E0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Entregar cuatro archivos: Excel con análisis, archivo .pbix de Power BI, Deck en PowerPoint, y bitácora AI en Word o PDF.</w:t>
      </w:r>
    </w:p>
    <w:p w14:paraId="0E4DC30B" w14:textId="77777777" w:rsidR="007A3CD7" w:rsidRDefault="00000000">
      <w:pPr>
        <w:pStyle w:val="Ttulo2"/>
      </w:pPr>
      <w:r>
        <w:t>Tiempo y herramientas</w:t>
      </w:r>
    </w:p>
    <w:p w14:paraId="58404587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85E54"/>
        </w:rPr>
        <w:t>Duración total:</w:t>
      </w:r>
      <w:r>
        <w:rPr>
          <w:color w:val="1A1E1B"/>
        </w:rPr>
        <w:t xml:space="preserve">  6 horas asíncronas + 60 minutos de panel.</w:t>
      </w:r>
    </w:p>
    <w:p w14:paraId="34B81F4A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85E54"/>
        </w:rPr>
        <w:t>Modalidad:</w:t>
      </w:r>
      <w:r>
        <w:rPr>
          <w:color w:val="1A1E1B"/>
        </w:rPr>
        <w:t xml:space="preserve">  individual, sin restricción de herramientas.</w:t>
      </w:r>
    </w:p>
    <w:p w14:paraId="16952C28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85E54"/>
        </w:rPr>
        <w:t>Herramientas AI permitidas:</w:t>
      </w:r>
      <w:r>
        <w:rPr>
          <w:color w:val="1A1E1B"/>
        </w:rPr>
        <w:t xml:space="preserve">  el candidato elige (Claude, ChatGPT, Gemini, Copilot u otra). Lo importante es el uso crítico, no la marca.</w:t>
      </w:r>
    </w:p>
    <w:p w14:paraId="73CBBEF0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85E54"/>
        </w:rPr>
        <w:t>Herramienta de visualización obligatoria:</w:t>
      </w:r>
      <w:r>
        <w:rPr>
          <w:color w:val="1A1E1B"/>
        </w:rPr>
        <w:t xml:space="preserve">  Microsoft Power BI Desktop. No se acepta Tableau ni Looker en este caso.</w:t>
      </w:r>
    </w:p>
    <w:p w14:paraId="6A68F72B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85E54"/>
        </w:rPr>
        <w:t>Entrega:</w:t>
      </w:r>
      <w:r>
        <w:rPr>
          <w:color w:val="1A1E1B"/>
        </w:rPr>
        <w:t xml:space="preserve">  al correo del evaluador antes del panel; en el panel se defienden los resultados en vivo.</w:t>
      </w:r>
    </w:p>
    <w:p w14:paraId="57DF21BC" w14:textId="77777777" w:rsidR="007A3CD7" w:rsidRDefault="00000000">
      <w:r>
        <w:br w:type="page"/>
      </w:r>
    </w:p>
    <w:p w14:paraId="261DFF77" w14:textId="77777777" w:rsidR="007A3CD7" w:rsidRDefault="00000000">
      <w:pPr>
        <w:spacing w:before="320" w:after="80"/>
      </w:pPr>
      <w:r>
        <w:rPr>
          <w:b/>
          <w:bCs/>
          <w:color w:val="03B585"/>
          <w:spacing w:val="30"/>
          <w:sz w:val="18"/>
          <w:szCs w:val="18"/>
        </w:rPr>
        <w:lastRenderedPageBreak/>
        <w:t>ANÁLISIS DE DATOS</w:t>
      </w:r>
    </w:p>
    <w:p w14:paraId="67DE4DB9" w14:textId="77777777" w:rsidR="007A3CD7" w:rsidRDefault="00000000">
      <w:pPr>
        <w:pStyle w:val="Ttulo1"/>
      </w:pPr>
      <w:r>
        <w:t>Las 12 preguntas del caso</w:t>
      </w:r>
    </w:p>
    <w:p w14:paraId="565895B6" w14:textId="77777777" w:rsidR="007A3CD7" w:rsidRDefault="00000000">
      <w:pPr>
        <w:spacing w:after="120" w:line="300" w:lineRule="auto"/>
      </w:pPr>
      <w:r>
        <w:rPr>
          <w:color w:val="1A1E1B"/>
        </w:rPr>
        <w:t>Cada pregunta tiene tres componentes: Excel (cálculo), AI (interpretación o construcción asistida) y Power BI (visualización en el dashboard). Los tres son obligatorios.</w:t>
      </w:r>
    </w:p>
    <w:p w14:paraId="1F74495A" w14:textId="77777777" w:rsidR="007A3CD7" w:rsidRDefault="00000000">
      <w:pPr>
        <w:pStyle w:val="Ttulo2"/>
      </w:pPr>
      <w:r>
        <w:t>Bloque 1 · Diagnóstico de eficiencia (OEE)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580"/>
      </w:tblGrid>
      <w:tr w:rsidR="007A3CD7" w14:paraId="4FE3F98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B2EBA31" w14:textId="77777777" w:rsidR="007A3CD7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01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5AA9C1FD" w14:textId="77777777" w:rsidR="007A3CD7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OEE por línea</w:t>
            </w:r>
          </w:p>
          <w:p w14:paraId="3D83FF18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0BDE230C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Calcula el OEE promedio del periodo por línea. Compara contra la meta de 85% y reporta el delta. Identifica la línea con peor desempeño.</w:t>
            </w:r>
          </w:p>
          <w:p w14:paraId="63F34957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07518179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interprete el ranking. Para la línea peor, qué hipótesis levanta sobre causas posibles. Critica la respuesta: qué es razonable, qué es opinión sin sustento.</w:t>
            </w:r>
          </w:p>
          <w:p w14:paraId="5CE0C3E4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35C7DFDD" w14:textId="77777777" w:rsidR="007A3CD7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Tarjeta KPI por línea con OEE actual, gauge contra la meta de 85% y semáforo. Slicer por planta.</w:t>
            </w:r>
          </w:p>
        </w:tc>
      </w:tr>
      <w:tr w:rsidR="007A3CD7" w14:paraId="622F7D8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7E96F02" w14:textId="77777777" w:rsidR="007A3CD7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02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5154A94B" w14:textId="77777777" w:rsidR="007A3CD7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Tendencia de OEE 2024 vs 2025</w:t>
            </w:r>
          </w:p>
          <w:p w14:paraId="37EF8EF8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7C4C8912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Calcula el OEE mensual por línea. Identifica las líneas que empeoraron y las que mejoraron entre 2024 y 2025.</w:t>
            </w:r>
          </w:p>
          <w:p w14:paraId="1F337499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140CCB34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detecte cambios estructurales en la serie (rupturas de tendencia, escalones). Una línea bajó turno T3 desde julio 2025: ¿se ve eso en los datos?</w:t>
            </w:r>
          </w:p>
          <w:p w14:paraId="49DC5784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251643B0" w14:textId="77777777" w:rsidR="007A3CD7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Gráfico de líneas mes vs OEE para las 6 líneas, con eje meta de 85% como referencia. Annotation de eventos clave.</w:t>
            </w:r>
          </w:p>
        </w:tc>
      </w:tr>
      <w:tr w:rsidR="007A3CD7" w14:paraId="7A72E7A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2EF3533" w14:textId="77777777" w:rsidR="007A3CD7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03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3DD8D638" w14:textId="77777777" w:rsidR="007A3CD7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OEE por turno</w:t>
            </w:r>
          </w:p>
          <w:p w14:paraId="429F0360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69515C54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Calcula el OEE promedio por turno (T1, T2, T3). Identifica si hay un turno consistentemente mejor o peor.</w:t>
            </w:r>
          </w:p>
          <w:p w14:paraId="714FF647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23A7F3FC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3 hipótesis sobre por qué el turno con peor desempeño está abajo (curva de aprendizaje, fatiga, supervisión, mantenimiento). Discute cómo cada una se podría validar con entrevistas o más datos.</w:t>
            </w:r>
          </w:p>
          <w:p w14:paraId="7D47DD7D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49090789" w14:textId="77777777" w:rsidR="007A3CD7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lastRenderedPageBreak/>
              <w:t>Bar chart turno × OEE, con desglose por línea en drill-down.</w:t>
            </w:r>
          </w:p>
        </w:tc>
      </w:tr>
    </w:tbl>
    <w:p w14:paraId="252E36E2" w14:textId="77777777" w:rsidR="007A3CD7" w:rsidRDefault="00000000">
      <w:pPr>
        <w:pStyle w:val="Ttulo2"/>
      </w:pPr>
      <w:r>
        <w:lastRenderedPageBreak/>
        <w:t>Bloque 2 · Análisis de paros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580"/>
      </w:tblGrid>
      <w:tr w:rsidR="007A3CD7" w14:paraId="5D9A339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8FC3292" w14:textId="77777777" w:rsidR="007A3CD7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04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7E2D0D43" w14:textId="77777777" w:rsidR="007A3CD7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Top causas de paro por minutos</w:t>
            </w:r>
          </w:p>
          <w:p w14:paraId="2162B7B5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632E51AD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Suma los minutos de paro por causa específica. Identifica el top 10 y reporta su % individual y acumulado del total. Aplica regla 80-20.</w:t>
            </w:r>
          </w:p>
          <w:p w14:paraId="03003929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3A9D8F2B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clasifique las causas top en quick wins (resolución &lt; 4 semanas) vs estructurales (&gt; 12 semanas). Critica la clasificación: ¿qué supuestos hace?</w:t>
            </w:r>
          </w:p>
          <w:p w14:paraId="498A4415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5862B3D7" w14:textId="77777777" w:rsidR="007A3CD7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Pareto chart con barras decrecientes y línea de % acumulado al 80%.</w:t>
            </w:r>
          </w:p>
        </w:tc>
      </w:tr>
      <w:tr w:rsidR="007A3CD7" w14:paraId="63D22C1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FBB1F8B" w14:textId="77777777" w:rsidR="007A3CD7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05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48B60DF5" w14:textId="77777777" w:rsidR="007A3CD7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Causas por categoría</w:t>
            </w:r>
          </w:p>
          <w:p w14:paraId="0B425097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0A1A6981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Agrupa las causas por categoría (Mantenimiento, Setup, Materiales, Calidad, Personal, Logística) y reporta el peso de cada categoría en minutos y en costo de oportunidad.</w:t>
            </w:r>
          </w:p>
          <w:p w14:paraId="324E39A1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7E059F10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un análisis 5 porqués sobre la categoría con más impacto. Marca cada nodo como verificable con BD, requiere entrevista interna o requiere benchmark externo.</w:t>
            </w:r>
          </w:p>
          <w:p w14:paraId="38B43741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74B877A0" w14:textId="77777777" w:rsidR="007A3CD7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Treemap o donut con categorías. Drill-through a las causas individuales.</w:t>
            </w:r>
          </w:p>
        </w:tc>
      </w:tr>
      <w:tr w:rsidR="007A3CD7" w14:paraId="7E6D003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0F31919" w14:textId="77777777" w:rsidR="007A3CD7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06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59168F46" w14:textId="77777777" w:rsidR="007A3CD7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Línea L06 · análisis profundo</w:t>
            </w:r>
          </w:p>
          <w:p w14:paraId="51835D4D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379F29E4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La línea L06 (Ensamble final) es la de peor desempeño y empeoró durante 2025. Analiza: causas dominantes, evolución, productos que más afecta, clientes impactados.</w:t>
            </w:r>
          </w:p>
          <w:p w14:paraId="7016DE47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385A2A74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Construye con AI un caso de negocio completo de recuperación de L06: situación actual con datos, objetivo cuantificado, intervenciones propuestas, inversión estimada, retorno esperado, riesgos. La AI da el primer borrador, tú lo aterrizas.</w:t>
            </w:r>
          </w:p>
          <w:p w14:paraId="761B63C0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13CEC51F" w14:textId="77777777" w:rsidR="007A3CD7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Página dedicada a L06 con todos los KPIs y desgloses. Comparación contra L05 (ensamble similar) como benchmark interno.</w:t>
            </w:r>
          </w:p>
        </w:tc>
      </w:tr>
    </w:tbl>
    <w:p w14:paraId="36AE2289" w14:textId="77777777" w:rsidR="007A3CD7" w:rsidRDefault="00000000">
      <w:pPr>
        <w:pStyle w:val="Ttulo2"/>
      </w:pPr>
      <w:r>
        <w:t>Bloque 3 · Calidad y rentabilidad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580"/>
      </w:tblGrid>
      <w:tr w:rsidR="007A3CD7" w14:paraId="6C94BE1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16FB277" w14:textId="77777777" w:rsidR="007A3CD7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lastRenderedPageBreak/>
              <w:t>07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451E711F" w14:textId="77777777" w:rsidR="007A3CD7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Scrap por línea y costo</w:t>
            </w:r>
          </w:p>
          <w:p w14:paraId="3BE68FB3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17238CEA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Calcula la tasa de scrap (Unidades_Scrap / Unidades_Totales) por línea. Calcula el costo total del scrap en MXN para el periodo.</w:t>
            </w:r>
          </w:p>
          <w:p w14:paraId="49E19A0A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6EDF51D7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cruce: ¿la línea con mayor scrap es la misma con peor OEE? ¿Hay correlación con causas de paro de calidad? Valida con los datos antes de afirmar.</w:t>
            </w:r>
          </w:p>
          <w:p w14:paraId="085387A4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07874CAA" w14:textId="77777777" w:rsidR="007A3CD7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KPI scrap rate global, bar chart por línea, card de costo total scrap acumulado en pesos.</w:t>
            </w:r>
          </w:p>
        </w:tc>
      </w:tr>
      <w:tr w:rsidR="007A3CD7" w14:paraId="6B96B86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14C87BE" w14:textId="77777777" w:rsidR="007A3CD7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08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1000375A" w14:textId="77777777" w:rsidR="007A3CD7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Rentabilidad por línea y producto</w:t>
            </w:r>
          </w:p>
          <w:p w14:paraId="73583B6D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1AECCC98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Calcula la utilidad bruta por línea (Valor_Producido − Costo_Producido − Costo_Scrap). Identifica la línea más y menos rentable.</w:t>
            </w:r>
          </w:p>
          <w:p w14:paraId="0971B0C6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69974F54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arme una propuesta de redistribución de capacidad: ¿qué SKUs deberían moverse de qué línea a qué línea para optimizar rentabilidad? Considera restricciones de equipo.</w:t>
            </w:r>
          </w:p>
          <w:p w14:paraId="6CCB3A94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4B9343A4" w14:textId="77777777" w:rsidR="007A3CD7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Tabla con utilidad por línea-producto, bullet chart de margen real vs esperado.</w:t>
            </w:r>
          </w:p>
        </w:tc>
      </w:tr>
      <w:tr w:rsidR="007A3CD7" w14:paraId="65D4F8D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02E233D" w14:textId="77777777" w:rsidR="007A3CD7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09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550A9561" w14:textId="77777777" w:rsidR="007A3CD7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Concentración de clientes</w:t>
            </w:r>
          </w:p>
          <w:p w14:paraId="12118940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45CB1C04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Calcula el % de la producción que va a cada cliente. Identifica el riesgo de concentración: ¿qué % depende del top 3?</w:t>
            </w:r>
          </w:p>
          <w:p w14:paraId="1BFE8F09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0FC20DFC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evalúe el riesgo: dado el contexto del sector automotriz mexicano (USMCA, KIA, GM), ¿qué tan riesgoso es esa concentración? Critica si la respuesta es genérica.</w:t>
            </w:r>
          </w:p>
          <w:p w14:paraId="229F3B7D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51B9F410" w14:textId="77777777" w:rsidR="007A3CD7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Donut con concentración por cliente. Tabla con top clientes y su % del valor producido.</w:t>
            </w:r>
          </w:p>
        </w:tc>
      </w:tr>
    </w:tbl>
    <w:p w14:paraId="365BCABE" w14:textId="77777777" w:rsidR="007A3CD7" w:rsidRDefault="00000000">
      <w:pPr>
        <w:pStyle w:val="Ttulo2"/>
      </w:pPr>
      <w:r>
        <w:t>Bloque 4 · Análisis aumentado con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580"/>
      </w:tblGrid>
      <w:tr w:rsidR="007A3CD7" w14:paraId="120F342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A7DA50D" w14:textId="77777777" w:rsidR="007A3CD7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10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4131CF3F" w14:textId="77777777" w:rsidR="007A3CD7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Predicción de OEE para 2026</w:t>
            </w:r>
          </w:p>
          <w:p w14:paraId="2EE8708A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26323101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A partir de la tendencia 2024-2025, proyecta el OEE de cada línea para los próximos 6 meses si nada cambia. Usa promedio móvil simple en Excel.</w:t>
            </w:r>
          </w:p>
          <w:p w14:paraId="6E8EC927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lastRenderedPageBreak/>
              <w:t>COMPONENTE AI</w:t>
            </w:r>
          </w:p>
          <w:p w14:paraId="76C7DC8B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un método más sofisticado de proyección que se pueda hacer sin código (descomposición tendencia + estacional). Documenta las suposiciones. Compara con tu proyección de Excel.</w:t>
            </w:r>
          </w:p>
          <w:p w14:paraId="6C64B89B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6F0AF2BD" w14:textId="77777777" w:rsidR="007A3CD7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Línea histórica + área sombreada de proyección con banda de confianza visual.</w:t>
            </w:r>
          </w:p>
        </w:tc>
      </w:tr>
      <w:tr w:rsidR="007A3CD7" w14:paraId="5CB5833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C514B08" w14:textId="77777777" w:rsidR="007A3CD7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lastRenderedPageBreak/>
              <w:t>11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05B863F3" w14:textId="77777777" w:rsidR="007A3CD7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Sistema de alertas tempranas</w:t>
            </w:r>
          </w:p>
          <w:p w14:paraId="0DDF264A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44CCA386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Define tres reglas de alerta operativa que puedan correr diariamente: (1) caída de OEE &gt;10pp respecto a la semana anterior, (2) categoría de paro que se sale 2σ de su histórico, (3) scrap &gt;7% en un turno.</w:t>
            </w:r>
          </w:p>
          <w:p w14:paraId="79AA1FD2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0E93BAD2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afine las reglas con base estadística. Critica si los umbrales propuestos son razonables para una operación 24/7 con 3 turnos.</w:t>
            </w:r>
          </w:p>
          <w:p w14:paraId="5472C39C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51C70FC9" w14:textId="77777777" w:rsidR="007A3CD7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Página de alertas en Power BI con tarjetas que se prendan en rojo cuando se cumplen las reglas, con drill-through al detalle.</w:t>
            </w:r>
          </w:p>
        </w:tc>
      </w:tr>
      <w:tr w:rsidR="007A3CD7" w14:paraId="6213D36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A78803F" w14:textId="77777777" w:rsidR="007A3CD7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12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3BDCB67F" w14:textId="77777777" w:rsidR="007A3CD7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Plan de trabajo aumentado</w:t>
            </w:r>
          </w:p>
          <w:p w14:paraId="1D51F62A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6C5D5C6E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Diseña un plan de 12 semanas para recuperar OEE corporativo de 71% a 78% (paso intermedio). Foco en L06, segundo foco en L03. Tareas, entregables, responsables tipo, dependencias, métrica de éxito por semana.</w:t>
            </w:r>
          </w:p>
          <w:p w14:paraId="54AFEA7C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7BC380EB" w14:textId="77777777" w:rsidR="007A3CD7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el primer borrador. Críticalo con tracked changes: qué pasos son genéricos, qué subestima, qué cadenas de dependencias rompe, qué responsable carga demasiado.</w:t>
            </w:r>
          </w:p>
          <w:p w14:paraId="1635AA77" w14:textId="77777777" w:rsidR="007A3CD7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23D94AB5" w14:textId="77777777" w:rsidR="007A3CD7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No aplica · este entregable es Word.</w:t>
            </w:r>
          </w:p>
        </w:tc>
      </w:tr>
    </w:tbl>
    <w:p w14:paraId="2DA2D5FD" w14:textId="77777777" w:rsidR="007A3CD7" w:rsidRDefault="00000000">
      <w:r>
        <w:br w:type="page"/>
      </w:r>
    </w:p>
    <w:p w14:paraId="5AF81922" w14:textId="77777777" w:rsidR="007A3CD7" w:rsidRDefault="00000000">
      <w:pPr>
        <w:spacing w:before="320" w:after="80"/>
      </w:pPr>
      <w:r>
        <w:rPr>
          <w:b/>
          <w:bCs/>
          <w:color w:val="03B585"/>
          <w:spacing w:val="30"/>
          <w:sz w:val="18"/>
          <w:szCs w:val="18"/>
        </w:rPr>
        <w:lastRenderedPageBreak/>
        <w:t>POLÍTICA DE USO AI</w:t>
      </w:r>
    </w:p>
    <w:p w14:paraId="7AE91F77" w14:textId="77777777" w:rsidR="007A3CD7" w:rsidRDefault="00000000">
      <w:pPr>
        <w:pStyle w:val="Ttulo1"/>
      </w:pPr>
      <w:r>
        <w:t>Reglas de uso responsable</w:t>
      </w:r>
    </w:p>
    <w:p w14:paraId="5C690A92" w14:textId="77777777" w:rsidR="007A3CD7" w:rsidRDefault="00000000">
      <w:pPr>
        <w:spacing w:after="120" w:line="300" w:lineRule="auto"/>
      </w:pPr>
      <w:r>
        <w:rPr>
          <w:color w:val="1A1E1B"/>
        </w:rPr>
        <w:t>Estas reglas aplican durante el caso y son no negociables. La violación de cualquiera de ellas puede invalidar el ejercicio.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3600"/>
        <w:gridCol w:w="4980"/>
      </w:tblGrid>
      <w:tr w:rsidR="007A3CD7" w14:paraId="3E1A47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85E5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C763EC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85E5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512941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85E5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A87842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Por qué</w:t>
            </w:r>
          </w:p>
        </w:tc>
      </w:tr>
      <w:tr w:rsidR="007A3CD7" w14:paraId="0D35B9A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124BE14" w14:textId="77777777" w:rsidR="007A3CD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R1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9CBE83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Etiquetar todo contenido generado o modificado por AI.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4578BD" w14:textId="77777777" w:rsidR="007A3CD7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Trazabilidad. El evaluador y el cliente deben poder distinguir aporte humano de aporte AI.</w:t>
            </w:r>
          </w:p>
        </w:tc>
      </w:tr>
      <w:tr w:rsidR="007A3CD7" w14:paraId="1A2F3EB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11F66EC" w14:textId="77777777" w:rsidR="007A3CD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R2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BC5B3B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Verificar todo dato numérico contra la fuente antes de presentarlo.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04A4B3" w14:textId="77777777" w:rsidR="007A3CD7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Las AI generativas alucinan números con seguridad. Un dato falso en un BC es falla grave.</w:t>
            </w:r>
          </w:p>
        </w:tc>
      </w:tr>
      <w:tr w:rsidR="007A3CD7" w14:paraId="1E89303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184FA13" w14:textId="77777777" w:rsidR="007A3CD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R3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7A625A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No subir datos del caso a herramientas no autorizadas o cuentas personales.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1BDA0E" w14:textId="77777777" w:rsidR="007A3CD7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Riesgo de fuga de información. Usar versión empresarial o cuenta corporativa de la herramienta AI elegida.</w:t>
            </w:r>
          </w:p>
        </w:tc>
      </w:tr>
      <w:tr w:rsidR="007A3CD7" w14:paraId="7125D7E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00C763F" w14:textId="77777777" w:rsidR="007A3CD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R4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20F972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Documentar los prompts críticos en la bitácora AI.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0E6ADA" w14:textId="77777777" w:rsidR="007A3CD7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Reproducibilidad. Otro consultor debe poder repetir tu análisis con la misma herramienta.</w:t>
            </w:r>
          </w:p>
        </w:tc>
      </w:tr>
      <w:tr w:rsidR="007A3CD7" w14:paraId="2FE9EAD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3D8A749" w14:textId="77777777" w:rsidR="007A3CD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R5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968ACA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Cuestionar siempre las recomendaciones genéricas de la AI.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57371B" w14:textId="77777777" w:rsidR="007A3CD7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Las AI tienden a respuestas medias-aceptables-para-todos. El consultor agrega valor al aterrizar al caso real.</w:t>
            </w:r>
          </w:p>
        </w:tc>
      </w:tr>
      <w:tr w:rsidR="007A3CD7" w14:paraId="54D9EA6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BE30064" w14:textId="77777777" w:rsidR="007A3CD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R6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92BE58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No usar AI para inventar datos faltantes.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9CEA6C" w14:textId="77777777" w:rsidR="007A3CD7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Si la BD no tiene un dato, no se completa con AI; se declara como información requerida.</w:t>
            </w:r>
          </w:p>
        </w:tc>
      </w:tr>
      <w:tr w:rsidR="007A3CD7" w14:paraId="0ABD315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70261F6" w14:textId="77777777" w:rsidR="007A3CD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R7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74ED77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Mantener el juicio profesional como filtro final.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C6B291" w14:textId="77777777" w:rsidR="007A3CD7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La AI no carga responsabilidad profesional; el consultor sí. Aprobar es firmar.</w:t>
            </w:r>
          </w:p>
        </w:tc>
      </w:tr>
    </w:tbl>
    <w:p w14:paraId="171A3664" w14:textId="77777777" w:rsidR="007A3CD7" w:rsidRDefault="00000000">
      <w:r>
        <w:br w:type="page"/>
      </w:r>
    </w:p>
    <w:p w14:paraId="63A549C2" w14:textId="77777777" w:rsidR="007A3CD7" w:rsidRDefault="00000000">
      <w:pPr>
        <w:spacing w:before="320" w:after="80"/>
      </w:pPr>
      <w:r>
        <w:rPr>
          <w:b/>
          <w:bCs/>
          <w:color w:val="03B585"/>
          <w:spacing w:val="30"/>
          <w:sz w:val="18"/>
          <w:szCs w:val="18"/>
        </w:rPr>
        <w:lastRenderedPageBreak/>
        <w:t>ENTREGABLES</w:t>
      </w:r>
    </w:p>
    <w:p w14:paraId="570B707E" w14:textId="77777777" w:rsidR="007A3CD7" w:rsidRDefault="00000000">
      <w:pPr>
        <w:pStyle w:val="Ttulo1"/>
      </w:pPr>
      <w:r>
        <w:t>Lo que debes entregar</w:t>
      </w:r>
    </w:p>
    <w:p w14:paraId="6CE76385" w14:textId="77777777" w:rsidR="007A3CD7" w:rsidRDefault="00000000">
      <w:pPr>
        <w:spacing w:after="120" w:line="300" w:lineRule="auto"/>
      </w:pPr>
      <w:r>
        <w:rPr>
          <w:color w:val="1A1E1B"/>
        </w:rPr>
        <w:t>Cuatro archivos antes del panel. Los cuatro son entregables formales: cada uno se evalúa de manera independiente y los cuatro deben llegar completos al correo del evaluador en T-0.</w:t>
      </w:r>
    </w:p>
    <w:p w14:paraId="03E1C5AE" w14:textId="77777777" w:rsidR="007A3CD7" w:rsidRDefault="00000000">
      <w:pPr>
        <w:pStyle w:val="Ttulo2"/>
      </w:pPr>
      <w:r>
        <w:t>Los cuatro entregables</w:t>
      </w:r>
    </w:p>
    <w:p w14:paraId="076947F5" w14:textId="77777777" w:rsidR="007A3CD7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color w:val="1A1E1B"/>
        </w:rPr>
        <w:t>Archivo Excel con tu análisis · tablas dinámicas, fórmulas visibles, formato profesional. Puedes trabajar sobre una copia de BC2_Manufactura_MATENORSA.xlsx o crear un archivo separado vinculado. Es la columna vertebral del análisis cuantitativo.</w:t>
      </w:r>
    </w:p>
    <w:p w14:paraId="6CFA27C4" w14:textId="77777777" w:rsidR="007A3CD7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color w:val="1A1E1B"/>
        </w:rPr>
        <w:t>Archivo Power BI Desktop (.pbix) · mínimo 3 páginas — Vista ejecutiva con KPIs principales, Análisis profundo con desgloses, Detalle con tabla filtrable. Visualizaciones limpias y consistentes. Debe abrir y filtrar correctamente sin tu intervención.</w:t>
      </w:r>
    </w:p>
    <w:p w14:paraId="53D47905" w14:textId="77777777" w:rsidR="007A3CD7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color w:val="1A1E1B"/>
        </w:rPr>
        <w:t>Deck en PowerPoint · presentación ejecutiva de máximo 10 slides con: contexto del caso, áreas de oportunidad detectadas, soluciones propuestas, plan de trabajo, sistema de trabajo y métricas de seguimiento. Diseño profesional, una idea por slide, gráficos del análisis incluidos. Es lo que presentas al panel.</w:t>
      </w:r>
    </w:p>
    <w:p w14:paraId="1933A789" w14:textId="77777777" w:rsidR="007A3CD7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color w:val="1A1E1B"/>
        </w:rPr>
        <w:t>Bitácora AI en Word o PDF · una sección por cada pregunta donde usaste AI, con: prompt usado (literal), output recibido (fragmento útil), crítica al output, decisión final, número de iteraciones. Sin esta bitácora, la dimensión AI no se puede evaluar.</w:t>
      </w:r>
    </w:p>
    <w:p w14:paraId="6DAEE9C4" w14:textId="77777777" w:rsidR="007A3CD7" w:rsidRDefault="007A3CD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3CD7" w14:paraId="736B8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3B585"/>
              <w:bottom w:val="none" w:sz="0" w:space="0" w:color="FFFFFF"/>
              <w:right w:val="none" w:sz="0" w:space="0" w:color="FFFFFF"/>
            </w:tcBorders>
            <w:shd w:val="clear" w:color="auto" w:fill="F2EEE8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A4AEA7A" w14:textId="77777777" w:rsidR="007A3CD7" w:rsidRDefault="00000000">
            <w:pPr>
              <w:spacing w:after="100"/>
            </w:pPr>
            <w:r>
              <w:rPr>
                <w:b/>
                <w:bCs/>
                <w:color w:val="085E54"/>
                <w:spacing w:val="20"/>
                <w:sz w:val="20"/>
                <w:szCs w:val="20"/>
              </w:rPr>
              <w:t>Cómo se conectan los cuatro</w:t>
            </w:r>
          </w:p>
          <w:p w14:paraId="57124846" w14:textId="77777777" w:rsidR="007A3CD7" w:rsidRDefault="00000000">
            <w:pPr>
              <w:spacing w:after="60" w:line="280" w:lineRule="auto"/>
            </w:pPr>
            <w:r>
              <w:rPr>
                <w:color w:val="1A1E1B"/>
              </w:rPr>
              <w:t>El Excel sostiene el cálculo. El Power BI vuelve el cálculo navegable. El Deck cuenta la historia ejecutiva. La Bitácora AI documenta el pensamiento detrás. Cada archivo cumple un rol distinto y los cuatro se evalúan de forma independiente.</w:t>
            </w:r>
          </w:p>
        </w:tc>
      </w:tr>
    </w:tbl>
    <w:p w14:paraId="7FEF955C" w14:textId="77777777" w:rsidR="007A3CD7" w:rsidRDefault="00000000">
      <w:pPr>
        <w:pStyle w:val="Ttulo2"/>
      </w:pPr>
      <w:r>
        <w:t>Para el panel de 60 minutos</w:t>
      </w:r>
    </w:p>
    <w:p w14:paraId="2541FA36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Presentas tu Deck en PowerPoint en los primeros 10-15 minutos.</w:t>
      </w:r>
    </w:p>
    <w:p w14:paraId="6F28B2F8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El dashboard de Power BI corre en vivo durante la sesión: el panel pedirá filtros y vistas específicas.</w:t>
      </w:r>
    </w:p>
    <w:p w14:paraId="0766CDA2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La bitácora AI abierta para revisión de prompts cuando el panel lo solicite.</w:t>
      </w:r>
    </w:p>
    <w:p w14:paraId="0DEB64CB" w14:textId="77777777" w:rsidR="007A3CD7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El Excel disponible para validar cualquier cálculo en tiempo real.</w:t>
      </w:r>
    </w:p>
    <w:p w14:paraId="1A868847" w14:textId="77777777" w:rsidR="007A3CD7" w:rsidRDefault="00000000">
      <w:r>
        <w:br w:type="page"/>
      </w:r>
    </w:p>
    <w:p w14:paraId="3626DF0A" w14:textId="77777777" w:rsidR="007A3CD7" w:rsidRDefault="00000000">
      <w:pPr>
        <w:spacing w:before="320" w:after="80"/>
      </w:pPr>
      <w:r>
        <w:rPr>
          <w:b/>
          <w:bCs/>
          <w:color w:val="03B585"/>
          <w:spacing w:val="30"/>
          <w:sz w:val="18"/>
          <w:szCs w:val="18"/>
        </w:rPr>
        <w:lastRenderedPageBreak/>
        <w:t>EVALUACIÓN</w:t>
      </w:r>
    </w:p>
    <w:p w14:paraId="0C4754E8" w14:textId="77777777" w:rsidR="007A3CD7" w:rsidRDefault="00000000">
      <w:pPr>
        <w:pStyle w:val="Ttulo1"/>
      </w:pPr>
      <w:r>
        <w:t>Cómo se evalúa</w:t>
      </w:r>
    </w:p>
    <w:p w14:paraId="27910CB1" w14:textId="77777777" w:rsidR="007A3CD7" w:rsidRDefault="00000000">
      <w:pPr>
        <w:spacing w:after="120" w:line="300" w:lineRule="auto"/>
      </w:pPr>
      <w:r>
        <w:rPr>
          <w:color w:val="1A1E1B"/>
        </w:rPr>
        <w:t>La evaluación tiene cuatro componentes alineados uno a uno con los cuatro entregables. El componente AI tiene a su vez cinco criterios; los pesos detallados están en la guía interna del evaluador.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7A3CD7" w14:paraId="263B1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85E5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A0B5ED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56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85E5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FED7B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46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85E5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68437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Qué se evalúa</w:t>
            </w:r>
          </w:p>
        </w:tc>
      </w:tr>
      <w:tr w:rsidR="007A3CD7" w14:paraId="1DFBEE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0D08C2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085E54"/>
              </w:rPr>
              <w:t>Análisis cuantitativo · Excel</w:t>
            </w:r>
          </w:p>
        </w:tc>
        <w:tc>
          <w:tcPr>
            <w:tcW w:w="156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15DD89" w14:textId="77777777" w:rsidR="007A3CD7" w:rsidRDefault="00000000">
            <w:pPr>
              <w:spacing w:after="60" w:line="280" w:lineRule="auto"/>
              <w:jc w:val="center"/>
            </w:pPr>
            <w:r>
              <w:rPr>
                <w:b/>
                <w:bCs/>
                <w:color w:val="03B585"/>
                <w:sz w:val="24"/>
                <w:szCs w:val="24"/>
              </w:rPr>
              <w:t>30%</w:t>
            </w:r>
          </w:p>
        </w:tc>
        <w:tc>
          <w:tcPr>
            <w:tcW w:w="46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E08932" w14:textId="77777777" w:rsidR="007A3CD7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Correctitud de cálculos, tablas dinámicas, fórmulas, claridad de la hoja de respuestas.</w:t>
            </w:r>
          </w:p>
        </w:tc>
      </w:tr>
      <w:tr w:rsidR="007A3CD7" w14:paraId="45F4E3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7321F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085E54"/>
              </w:rPr>
              <w:t>Visualización · Power BI</w:t>
            </w:r>
          </w:p>
        </w:tc>
        <w:tc>
          <w:tcPr>
            <w:tcW w:w="156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7ACD38" w14:textId="77777777" w:rsidR="007A3CD7" w:rsidRDefault="00000000">
            <w:pPr>
              <w:spacing w:after="60" w:line="280" w:lineRule="auto"/>
              <w:jc w:val="center"/>
            </w:pPr>
            <w:r>
              <w:rPr>
                <w:b/>
                <w:bCs/>
                <w:color w:val="03B585"/>
                <w:sz w:val="24"/>
                <w:szCs w:val="24"/>
              </w:rPr>
              <w:t>25%</w:t>
            </w:r>
          </w:p>
        </w:tc>
        <w:tc>
          <w:tcPr>
            <w:tcW w:w="46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1F9DC8" w14:textId="77777777" w:rsidR="007A3CD7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Diseño del dashboard, claridad narrativa, jerarquía visual, capacidad de filtrado y exploración.</w:t>
            </w:r>
          </w:p>
        </w:tc>
      </w:tr>
      <w:tr w:rsidR="007A3CD7" w14:paraId="24C676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CBDAD7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085E54"/>
              </w:rPr>
              <w:t>Comunicación ejecutiva · Deck PPT</w:t>
            </w:r>
          </w:p>
        </w:tc>
        <w:tc>
          <w:tcPr>
            <w:tcW w:w="156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752C8" w14:textId="77777777" w:rsidR="007A3CD7" w:rsidRDefault="00000000">
            <w:pPr>
              <w:spacing w:after="60" w:line="280" w:lineRule="auto"/>
              <w:jc w:val="center"/>
            </w:pPr>
            <w:r>
              <w:rPr>
                <w:b/>
                <w:bCs/>
                <w:color w:val="03B585"/>
                <w:sz w:val="24"/>
                <w:szCs w:val="24"/>
              </w:rPr>
              <w:t>15%</w:t>
            </w:r>
          </w:p>
        </w:tc>
        <w:tc>
          <w:tcPr>
            <w:tcW w:w="46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F92FB" w14:textId="77777777" w:rsidR="007A3CD7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Storytelling, una idea por slide, calidad de los gráficos, recomendaciones accionables, defensa en panel.</w:t>
            </w:r>
          </w:p>
        </w:tc>
      </w:tr>
      <w:tr w:rsidR="007A3CD7" w14:paraId="7D96C9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B2A779" w14:textId="77777777" w:rsidR="007A3CD7" w:rsidRDefault="00000000">
            <w:pPr>
              <w:spacing w:after="60" w:line="280" w:lineRule="auto"/>
            </w:pPr>
            <w:r>
              <w:rPr>
                <w:b/>
                <w:bCs/>
                <w:color w:val="085E54"/>
              </w:rPr>
              <w:t>Uso crítico de AI · Bitácora</w:t>
            </w:r>
          </w:p>
        </w:tc>
        <w:tc>
          <w:tcPr>
            <w:tcW w:w="156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FB855" w14:textId="77777777" w:rsidR="007A3CD7" w:rsidRDefault="00000000">
            <w:pPr>
              <w:spacing w:after="60" w:line="280" w:lineRule="auto"/>
              <w:jc w:val="center"/>
            </w:pPr>
            <w:r>
              <w:rPr>
                <w:b/>
                <w:bCs/>
                <w:color w:val="03B585"/>
                <w:sz w:val="24"/>
                <w:szCs w:val="24"/>
              </w:rPr>
              <w:t>30%</w:t>
            </w:r>
          </w:p>
        </w:tc>
        <w:tc>
          <w:tcPr>
            <w:tcW w:w="46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DF5397" w14:textId="77777777" w:rsidR="007A3CD7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Calidad de prompts, juicio sobre outputs, aterrizaje al caso, integración AI con los otros entregables.</w:t>
            </w:r>
          </w:p>
        </w:tc>
      </w:tr>
    </w:tbl>
    <w:p w14:paraId="1CB696ED" w14:textId="77777777" w:rsidR="007A3CD7" w:rsidRDefault="007A3CD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A3CD7" w14:paraId="23406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3B585"/>
              <w:bottom w:val="none" w:sz="0" w:space="0" w:color="FFFFFF"/>
              <w:right w:val="none" w:sz="0" w:space="0" w:color="FFFFFF"/>
            </w:tcBorders>
            <w:shd w:val="clear" w:color="auto" w:fill="F2EEE8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23C8BBDF" w14:textId="77777777" w:rsidR="007A3CD7" w:rsidRDefault="00000000">
            <w:pPr>
              <w:spacing w:after="100"/>
            </w:pPr>
            <w:r>
              <w:rPr>
                <w:b/>
                <w:bCs/>
                <w:color w:val="085E54"/>
                <w:spacing w:val="20"/>
                <w:sz w:val="20"/>
                <w:szCs w:val="20"/>
              </w:rPr>
              <w:t>Lo que más cuenta dentro del componente AI</w:t>
            </w:r>
          </w:p>
          <w:p w14:paraId="66DC0F35" w14:textId="77777777" w:rsidR="007A3CD7" w:rsidRDefault="00000000">
            <w:pPr>
              <w:spacing w:after="60" w:line="280" w:lineRule="auto"/>
            </w:pPr>
            <w:r>
              <w:rPr>
                <w:color w:val="1A1E1B"/>
              </w:rPr>
              <w:t>Pensamiento crítico sobre la AI (25% del componente AI) pesa más que Calidad del prompt (20%). Es deliberado: el riesgo principal de un consultor con AI no es prompar mal, es aceptar respuestas mediocres como si fueran insights. Si solo dominas una de las dos cosas, prioriza la crítica.</w:t>
            </w:r>
          </w:p>
        </w:tc>
      </w:tr>
    </w:tbl>
    <w:p w14:paraId="7826F080" w14:textId="77777777" w:rsidR="00A76AEA" w:rsidRDefault="00A76AEA"/>
    <w:sectPr w:rsidR="00A76AE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074DF" w14:textId="77777777" w:rsidR="00A76AEA" w:rsidRDefault="00A76AEA">
      <w:r>
        <w:separator/>
      </w:r>
    </w:p>
  </w:endnote>
  <w:endnote w:type="continuationSeparator" w:id="0">
    <w:p w14:paraId="270F3040" w14:textId="77777777" w:rsidR="00A76AEA" w:rsidRDefault="00A76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1490" w14:textId="77777777" w:rsidR="007A3CD7" w:rsidRDefault="00000000">
    <w:pPr>
      <w:tabs>
        <w:tab w:val="right" w:pos="9360"/>
      </w:tabs>
    </w:pPr>
    <w:r>
      <w:rPr>
        <w:color w:val="5A5E5B"/>
        <w:sz w:val="16"/>
        <w:szCs w:val="16"/>
      </w:rPr>
      <w:t>MATENORSA · 2026</w:t>
    </w:r>
    <w:r>
      <w:rPr>
        <w:color w:val="5A5E5B"/>
        <w:sz w:val="16"/>
        <w:szCs w:val="16"/>
      </w:rPr>
      <w:tab/>
    </w:r>
    <w:r>
      <w:rPr>
        <w:color w:val="5A5E5B"/>
        <w:sz w:val="16"/>
        <w:szCs w:val="16"/>
      </w:rPr>
      <w:fldChar w:fldCharType="begin"/>
    </w:r>
    <w:r>
      <w:rPr>
        <w:color w:val="5A5E5B"/>
        <w:sz w:val="16"/>
        <w:szCs w:val="16"/>
      </w:rPr>
      <w:instrText>PAGE</w:instrText>
    </w:r>
    <w:r>
      <w:rPr>
        <w:color w:val="5A5E5B"/>
        <w:sz w:val="16"/>
        <w:szCs w:val="16"/>
      </w:rPr>
      <w:fldChar w:fldCharType="separate"/>
    </w:r>
    <w:r w:rsidR="009D18EA">
      <w:rPr>
        <w:noProof/>
        <w:color w:val="5A5E5B"/>
        <w:sz w:val="16"/>
        <w:szCs w:val="16"/>
      </w:rPr>
      <w:t>1</w:t>
    </w:r>
    <w:r>
      <w:rPr>
        <w:color w:val="5A5E5B"/>
        <w:sz w:val="16"/>
        <w:szCs w:val="16"/>
      </w:rPr>
      <w:fldChar w:fldCharType="end"/>
    </w:r>
    <w:r>
      <w:rPr>
        <w:color w:val="5A5E5B"/>
        <w:sz w:val="16"/>
        <w:szCs w:val="16"/>
      </w:rPr>
      <w:t xml:space="preserve"> / </w:t>
    </w:r>
    <w:r>
      <w:rPr>
        <w:color w:val="5A5E5B"/>
        <w:sz w:val="16"/>
        <w:szCs w:val="16"/>
      </w:rPr>
      <w:fldChar w:fldCharType="begin"/>
    </w:r>
    <w:r>
      <w:rPr>
        <w:color w:val="5A5E5B"/>
        <w:sz w:val="16"/>
        <w:szCs w:val="16"/>
      </w:rPr>
      <w:instrText>NUMPAGES</w:instrText>
    </w:r>
    <w:r>
      <w:rPr>
        <w:color w:val="5A5E5B"/>
        <w:sz w:val="16"/>
        <w:szCs w:val="16"/>
      </w:rPr>
      <w:fldChar w:fldCharType="separate"/>
    </w:r>
    <w:r w:rsidR="009D18EA">
      <w:rPr>
        <w:noProof/>
        <w:color w:val="5A5E5B"/>
        <w:sz w:val="16"/>
        <w:szCs w:val="16"/>
      </w:rPr>
      <w:t>2</w:t>
    </w:r>
    <w:r>
      <w:rPr>
        <w:color w:val="5A5E5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9F6A1" w14:textId="77777777" w:rsidR="00A76AEA" w:rsidRDefault="00A76AEA">
      <w:r>
        <w:separator/>
      </w:r>
    </w:p>
  </w:footnote>
  <w:footnote w:type="continuationSeparator" w:id="0">
    <w:p w14:paraId="3734CC03" w14:textId="77777777" w:rsidR="00A76AEA" w:rsidRDefault="00A76A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one" w:sz="0" w:space="0" w:color="FFFFFF"/>
        <w:left w:val="none" w:sz="0" w:space="0" w:color="FFFFFF"/>
        <w:bottom w:val="single" w:sz="6" w:space="0" w:color="03B585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0"/>
      <w:gridCol w:w="8910"/>
    </w:tblGrid>
    <w:tr w:rsidR="007A3CD7" w14:paraId="00D03621" w14:textId="77777777">
      <w:tblPrEx>
        <w:tblCellMar>
          <w:top w:w="0" w:type="dxa"/>
          <w:bottom w:w="0" w:type="dxa"/>
        </w:tblCellMar>
      </w:tblPrEx>
      <w:tc>
        <w:tcPr>
          <w:tcW w:w="45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0000"/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2E7A43AF" w14:textId="77777777" w:rsidR="007A3CD7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0D0AB51F" wp14:editId="6ED3207A">
                <wp:extent cx="228600" cy="200025"/>
                <wp:effectExtent l="0" t="0" r="0" b="0"/>
                <wp:docPr id="1639747769" name="Imagen 1639747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1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200" w:type="dxa"/>
            <w:bottom w:w="40" w:type="dxa"/>
            <w:right w:w="0" w:type="dxa"/>
          </w:tcMar>
          <w:vAlign w:val="center"/>
        </w:tcPr>
        <w:p w14:paraId="238357E8" w14:textId="77777777" w:rsidR="007A3CD7" w:rsidRDefault="00000000">
          <w:r>
            <w:rPr>
              <w:b/>
              <w:bCs/>
              <w:color w:val="085E54"/>
              <w:spacing w:val="60"/>
              <w:sz w:val="16"/>
              <w:szCs w:val="16"/>
            </w:rPr>
            <w:t>LONDON CONSULTING GROUP</w:t>
          </w:r>
          <w:r>
            <w:rPr>
              <w:color w:val="03B585"/>
              <w:sz w:val="16"/>
              <w:szCs w:val="16"/>
            </w:rPr>
            <w:t xml:space="preserve">   ·   </w:t>
          </w:r>
          <w:r>
            <w:rPr>
              <w:i/>
              <w:iCs/>
              <w:color w:val="5A5E5B"/>
              <w:sz w:val="16"/>
              <w:szCs w:val="16"/>
            </w:rPr>
            <w:t>BC2 · Manufactura · MATENORSA</w:t>
          </w:r>
        </w:p>
      </w:tc>
    </w:tr>
  </w:tbl>
  <w:p w14:paraId="4EB9311B" w14:textId="77777777" w:rsidR="007A3CD7" w:rsidRDefault="007A3C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17BC8"/>
    <w:multiLevelType w:val="hybridMultilevel"/>
    <w:tmpl w:val="094AC560"/>
    <w:lvl w:ilvl="0" w:tplc="82AA3826">
      <w:start w:val="1"/>
      <w:numFmt w:val="decimal"/>
      <w:lvlText w:val="%1."/>
      <w:lvlJc w:val="left"/>
      <w:pPr>
        <w:ind w:left="540" w:hanging="360"/>
      </w:pPr>
    </w:lvl>
    <w:lvl w:ilvl="1" w:tplc="8AEADA5E">
      <w:numFmt w:val="decimal"/>
      <w:lvlText w:val=""/>
      <w:lvlJc w:val="left"/>
    </w:lvl>
    <w:lvl w:ilvl="2" w:tplc="D728B7DC">
      <w:numFmt w:val="decimal"/>
      <w:lvlText w:val=""/>
      <w:lvlJc w:val="left"/>
    </w:lvl>
    <w:lvl w:ilvl="3" w:tplc="2132E39C">
      <w:numFmt w:val="decimal"/>
      <w:lvlText w:val=""/>
      <w:lvlJc w:val="left"/>
    </w:lvl>
    <w:lvl w:ilvl="4" w:tplc="58369264">
      <w:numFmt w:val="decimal"/>
      <w:lvlText w:val=""/>
      <w:lvlJc w:val="left"/>
    </w:lvl>
    <w:lvl w:ilvl="5" w:tplc="91329DB6">
      <w:numFmt w:val="decimal"/>
      <w:lvlText w:val=""/>
      <w:lvlJc w:val="left"/>
    </w:lvl>
    <w:lvl w:ilvl="6" w:tplc="C4CE8E7C">
      <w:numFmt w:val="decimal"/>
      <w:lvlText w:val=""/>
      <w:lvlJc w:val="left"/>
    </w:lvl>
    <w:lvl w:ilvl="7" w:tplc="D7DA7982">
      <w:numFmt w:val="decimal"/>
      <w:lvlText w:val=""/>
      <w:lvlJc w:val="left"/>
    </w:lvl>
    <w:lvl w:ilvl="8" w:tplc="FE6AC686">
      <w:numFmt w:val="decimal"/>
      <w:lvlText w:val=""/>
      <w:lvlJc w:val="left"/>
    </w:lvl>
  </w:abstractNum>
  <w:abstractNum w:abstractNumId="1" w15:restartNumberingAfterBreak="0">
    <w:nsid w:val="70826D10"/>
    <w:multiLevelType w:val="hybridMultilevel"/>
    <w:tmpl w:val="AAF623FA"/>
    <w:lvl w:ilvl="0" w:tplc="9A1E0FDA">
      <w:start w:val="1"/>
      <w:numFmt w:val="bullet"/>
      <w:lvlText w:val="●"/>
      <w:lvlJc w:val="left"/>
      <w:pPr>
        <w:ind w:left="720" w:hanging="360"/>
      </w:pPr>
    </w:lvl>
    <w:lvl w:ilvl="1" w:tplc="5FC6B364">
      <w:start w:val="1"/>
      <w:numFmt w:val="bullet"/>
      <w:lvlText w:val="○"/>
      <w:lvlJc w:val="left"/>
      <w:pPr>
        <w:ind w:left="1440" w:hanging="360"/>
      </w:pPr>
    </w:lvl>
    <w:lvl w:ilvl="2" w:tplc="9866F02E">
      <w:start w:val="1"/>
      <w:numFmt w:val="bullet"/>
      <w:lvlText w:val="■"/>
      <w:lvlJc w:val="left"/>
      <w:pPr>
        <w:ind w:left="2160" w:hanging="360"/>
      </w:pPr>
    </w:lvl>
    <w:lvl w:ilvl="3" w:tplc="D1844E3A">
      <w:start w:val="1"/>
      <w:numFmt w:val="bullet"/>
      <w:lvlText w:val="●"/>
      <w:lvlJc w:val="left"/>
      <w:pPr>
        <w:ind w:left="2880" w:hanging="360"/>
      </w:pPr>
    </w:lvl>
    <w:lvl w:ilvl="4" w:tplc="950ED7D8">
      <w:start w:val="1"/>
      <w:numFmt w:val="bullet"/>
      <w:lvlText w:val="○"/>
      <w:lvlJc w:val="left"/>
      <w:pPr>
        <w:ind w:left="3600" w:hanging="360"/>
      </w:pPr>
    </w:lvl>
    <w:lvl w:ilvl="5" w:tplc="30D0F426">
      <w:start w:val="1"/>
      <w:numFmt w:val="bullet"/>
      <w:lvlText w:val="■"/>
      <w:lvlJc w:val="left"/>
      <w:pPr>
        <w:ind w:left="4320" w:hanging="360"/>
      </w:pPr>
    </w:lvl>
    <w:lvl w:ilvl="6" w:tplc="0478C11C">
      <w:start w:val="1"/>
      <w:numFmt w:val="bullet"/>
      <w:lvlText w:val="●"/>
      <w:lvlJc w:val="left"/>
      <w:pPr>
        <w:ind w:left="5040" w:hanging="360"/>
      </w:pPr>
    </w:lvl>
    <w:lvl w:ilvl="7" w:tplc="D6B2EE86">
      <w:start w:val="1"/>
      <w:numFmt w:val="bullet"/>
      <w:lvlText w:val="●"/>
      <w:lvlJc w:val="left"/>
      <w:pPr>
        <w:ind w:left="5760" w:hanging="360"/>
      </w:pPr>
    </w:lvl>
    <w:lvl w:ilvl="8" w:tplc="0DE8C0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0F7577"/>
    <w:multiLevelType w:val="hybridMultilevel"/>
    <w:tmpl w:val="5AE8D658"/>
    <w:lvl w:ilvl="0" w:tplc="7F267D72">
      <w:start w:val="1"/>
      <w:numFmt w:val="bullet"/>
      <w:lvlText w:val="•"/>
      <w:lvlJc w:val="left"/>
      <w:pPr>
        <w:ind w:left="540" w:hanging="360"/>
      </w:pPr>
    </w:lvl>
    <w:lvl w:ilvl="1" w:tplc="150253C4">
      <w:numFmt w:val="decimal"/>
      <w:lvlText w:val=""/>
      <w:lvlJc w:val="left"/>
    </w:lvl>
    <w:lvl w:ilvl="2" w:tplc="DA52FD18">
      <w:numFmt w:val="decimal"/>
      <w:lvlText w:val=""/>
      <w:lvlJc w:val="left"/>
    </w:lvl>
    <w:lvl w:ilvl="3" w:tplc="063A5BA0">
      <w:numFmt w:val="decimal"/>
      <w:lvlText w:val=""/>
      <w:lvlJc w:val="left"/>
    </w:lvl>
    <w:lvl w:ilvl="4" w:tplc="87462F04">
      <w:numFmt w:val="decimal"/>
      <w:lvlText w:val=""/>
      <w:lvlJc w:val="left"/>
    </w:lvl>
    <w:lvl w:ilvl="5" w:tplc="3C32AD94">
      <w:numFmt w:val="decimal"/>
      <w:lvlText w:val=""/>
      <w:lvlJc w:val="left"/>
    </w:lvl>
    <w:lvl w:ilvl="6" w:tplc="B1B8561A">
      <w:numFmt w:val="decimal"/>
      <w:lvlText w:val=""/>
      <w:lvlJc w:val="left"/>
    </w:lvl>
    <w:lvl w:ilvl="7" w:tplc="B630D492">
      <w:numFmt w:val="decimal"/>
      <w:lvlText w:val=""/>
      <w:lvlJc w:val="left"/>
    </w:lvl>
    <w:lvl w:ilvl="8" w:tplc="8CDEA44C">
      <w:numFmt w:val="decimal"/>
      <w:lvlText w:val=""/>
      <w:lvlJc w:val="left"/>
    </w:lvl>
  </w:abstractNum>
  <w:num w:numId="1" w16cid:durableId="1206285991">
    <w:abstractNumId w:val="1"/>
    <w:lvlOverride w:ilvl="0">
      <w:startOverride w:val="1"/>
    </w:lvlOverride>
  </w:num>
  <w:num w:numId="2" w16cid:durableId="1813058809">
    <w:abstractNumId w:val="2"/>
    <w:lvlOverride w:ilvl="0">
      <w:startOverride w:val="1"/>
    </w:lvlOverride>
  </w:num>
  <w:num w:numId="3" w16cid:durableId="265161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CD7"/>
    <w:rsid w:val="007A3CD7"/>
    <w:rsid w:val="00876258"/>
    <w:rsid w:val="009D18EA"/>
    <w:rsid w:val="00A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8856D"/>
  <w15:docId w15:val="{455451D3-14AD-2246-B9F1-F5271D3D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085E54"/>
      <w:sz w:val="40"/>
      <w:szCs w:val="40"/>
    </w:rPr>
  </w:style>
  <w:style w:type="paragraph" w:styleId="Ttulo2">
    <w:name w:val="heading 2"/>
    <w:uiPriority w:val="9"/>
    <w:unhideWhenUsed/>
    <w:qFormat/>
    <w:pPr>
      <w:spacing w:before="320" w:after="140"/>
      <w:outlineLvl w:val="1"/>
    </w:pPr>
    <w:rPr>
      <w:b/>
      <w:bCs/>
      <w:color w:val="085E54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085E5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undefined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2227</Words>
  <Characters>11885</Characters>
  <Application>Microsoft Office Word</Application>
  <DocSecurity>0</DocSecurity>
  <Lines>321</Lines>
  <Paragraphs>206</Paragraphs>
  <ScaleCrop>false</ScaleCrop>
  <Company/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Case Manufactura · MATENORSA</dc:title>
  <dc:creator>London Consulting Group</dc:creator>
  <cp:lastModifiedBy>Alfredo Felipe Chavez Enriquez</cp:lastModifiedBy>
  <cp:revision>1</cp:revision>
  <dcterms:created xsi:type="dcterms:W3CDTF">2026-05-07T20:54:00Z</dcterms:created>
  <dcterms:modified xsi:type="dcterms:W3CDTF">2026-05-07T21:02:00Z</dcterms:modified>
</cp:coreProperties>
</file>