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2026年6月23日</w:t>
      </w:r>
    </w:p>
    <w:p/>
    <w:p>
      <w:pPr>
        <w:pStyle w:val="ListParagraph"/>
        <w:numPr>
          <w:ilvl w:val="0"/>
          <w:numId w:val="8"/>
        </w:numPr>
      </w:pPr>
      <w:r>
        <w:rPr>
          <w:rFonts w:ascii="FangSong_GB2312" w:hAnsi="FangSong_GB2312" w:eastAsia="FangSong_GB2312"/>
          <w:b/>
          <w:sz w:val="21"/>
        </w:rPr>
        <w:t>美财政部签发伊朗石油60天制裁豁免，为德黑兰解锁数十亿美元收入</w:t>
      </w:r>
    </w:p>
    <w:p>
      <w:pPr>
        <w:pStyle w:val="ListParagraph"/>
        <w:numPr>
          <w:ilvl w:val="0"/>
          <w:numId w:val="8"/>
        </w:numPr>
      </w:pPr>
      <w:r>
        <w:rPr>
          <w:rFonts w:ascii="FangSong_GB2312" w:hAnsi="FangSong_GB2312" w:eastAsia="FangSong_GB2312"/>
          <w:b/>
          <w:sz w:val="21"/>
        </w:rPr>
        <w:t>全球科技股抛售加剧，SpaceX领跌、七巨头集体下挫</w:t>
      </w:r>
    </w:p>
    <w:p>
      <w:pPr>
        <w:pStyle w:val="ListParagraph"/>
        <w:numPr>
          <w:ilvl w:val="0"/>
          <w:numId w:val="8"/>
        </w:numPr>
      </w:pPr>
      <w:r>
        <w:rPr>
          <w:rFonts w:ascii="FangSong_GB2312" w:hAnsi="FangSong_GB2312" w:eastAsia="FangSong_GB2312"/>
          <w:b/>
          <w:sz w:val="21"/>
        </w:rPr>
        <w:t>艾伯维109亿美元收购Apogee，加码免疫学叫板Dupixent</w:t>
      </w:r>
    </w:p>
    <w:p>
      <w:pPr>
        <w:pStyle w:val="ListParagraph"/>
        <w:numPr>
          <w:ilvl w:val="0"/>
          <w:numId w:val="8"/>
        </w:numPr>
      </w:pPr>
      <w:r>
        <w:rPr>
          <w:rFonts w:ascii="FangSong_GB2312" w:hAnsi="FangSong_GB2312" w:eastAsia="FangSong_GB2312"/>
          <w:b/>
          <w:sz w:val="21"/>
        </w:rPr>
        <w:t>斯塔默辞去英国首相，伯纳姆将不经竞争接任</w:t>
      </w:r>
    </w:p>
    <w:p>
      <w:pPr>
        <w:pStyle w:val="ListParagraph"/>
        <w:numPr>
          <w:ilvl w:val="0"/>
          <w:numId w:val="8"/>
        </w:numPr>
      </w:pPr>
      <w:r>
        <w:rPr>
          <w:rFonts w:ascii="FangSong_GB2312" w:hAnsi="FangSong_GB2312" w:eastAsia="FangSong_GB2312"/>
          <w:b/>
          <w:sz w:val="21"/>
        </w:rPr>
        <w:t>英国6月综合PMI跌至49.4，创14个月新低</w:t>
      </w:r>
    </w:p>
    <w:p>
      <w:pPr>
        <w:pStyle w:val="ListParagraph"/>
        <w:numPr>
          <w:ilvl w:val="0"/>
          <w:numId w:val="8"/>
        </w:numPr>
      </w:pPr>
      <w:r>
        <w:rPr>
          <w:rFonts w:ascii="FangSong_GB2312" w:hAnsi="FangSong_GB2312" w:eastAsia="FangSong_GB2312"/>
          <w:b/>
          <w:sz w:val="21"/>
        </w:rPr>
        <w:t>欧央行连恩警示油价冲击超历次能源危机之和</w:t>
      </w:r>
    </w:p>
    <w:p>
      <w:pPr>
        <w:pStyle w:val="ListParagraph"/>
        <w:numPr>
          <w:ilvl w:val="0"/>
          <w:numId w:val="8"/>
        </w:numPr>
      </w:pPr>
      <w:r>
        <w:rPr>
          <w:rFonts w:ascii="FangSong_GB2312" w:hAnsi="FangSong_GB2312" w:eastAsia="FangSong_GB2312"/>
          <w:b/>
          <w:sz w:val="21"/>
        </w:rPr>
        <w:t>全球芯片股遭抛售，ASML单日蒸发约380亿欧元</w:t>
      </w:r>
    </w:p>
    <w:p>
      <w:pPr>
        <w:pStyle w:val="ListParagraph"/>
        <w:numPr>
          <w:ilvl w:val="0"/>
          <w:numId w:val="8"/>
        </w:numPr>
      </w:pPr>
      <w:r>
        <w:rPr>
          <w:rFonts w:ascii="FangSong_GB2312" w:hAnsi="FangSong_GB2312" w:eastAsia="FangSong_GB2312"/>
          <w:b/>
          <w:sz w:val="21"/>
        </w:rPr>
        <w:t>央行授权六家大行直通离岸人民币交易</w:t>
      </w:r>
    </w:p>
    <w:p>
      <w:pPr>
        <w:pStyle w:val="ListParagraph"/>
        <w:numPr>
          <w:ilvl w:val="0"/>
          <w:numId w:val="8"/>
        </w:numPr>
      </w:pPr>
      <w:r>
        <w:rPr>
          <w:rFonts w:ascii="FangSong_GB2312" w:hAnsi="FangSong_GB2312" w:eastAsia="FangSong_GB2312"/>
          <w:b/>
          <w:sz w:val="21"/>
        </w:rPr>
        <w:t>中国制裁美国防务与稀土企业，反制五角大楼涉军名单</w:t>
      </w:r>
    </w:p>
    <w:p>
      <w:pPr>
        <w:pStyle w:val="ListParagraph"/>
        <w:numPr>
          <w:ilvl w:val="0"/>
          <w:numId w:val="8"/>
        </w:numPr>
      </w:pPr>
      <w:r>
        <w:rPr>
          <w:rFonts w:ascii="FangSong_GB2312" w:hAnsi="FangSong_GB2312" w:eastAsia="FangSong_GB2312"/>
          <w:b/>
          <w:sz w:val="21"/>
        </w:rPr>
        <w:t>华润新能源募资36亿美元，创深交所最大IPO纪录</w:t>
      </w:r>
    </w:p>
    <w:p>
      <w:pPr>
        <w:pStyle w:val="ListParagraph"/>
        <w:numPr>
          <w:ilvl w:val="0"/>
          <w:numId w:val="8"/>
        </w:numPr>
      </w:pPr>
      <w:r>
        <w:rPr>
          <w:rFonts w:ascii="FangSong_GB2312" w:hAnsi="FangSong_GB2312" w:eastAsia="FangSong_GB2312"/>
          <w:b/>
          <w:sz w:val="21"/>
        </w:rPr>
        <w:t>日经225单日重挫约4%，AI半导体板块领跌</w:t>
      </w:r>
    </w:p>
    <w:p>
      <w:pPr>
        <w:pStyle w:val="ListParagraph"/>
        <w:numPr>
          <w:ilvl w:val="0"/>
          <w:numId w:val="8"/>
        </w:numPr>
      </w:pPr>
      <w:r>
        <w:rPr>
          <w:rFonts w:ascii="FangSong_GB2312" w:hAnsi="FangSong_GB2312" w:eastAsia="FangSong_GB2312"/>
          <w:b/>
          <w:sz w:val="21"/>
        </w:rPr>
        <w:t>日本出租车应用GO登东证，募资886亿日元成年度最大IPO</w:t>
      </w:r>
    </w:p>
    <w:p>
      <w:pPr>
        <w:pStyle w:val="ListParagraph"/>
        <w:numPr>
          <w:ilvl w:val="0"/>
          <w:numId w:val="8"/>
        </w:numPr>
      </w:pPr>
      <w:r>
        <w:rPr>
          <w:rFonts w:ascii="FangSong_GB2312" w:hAnsi="FangSong_GB2312" w:eastAsia="FangSong_GB2312"/>
          <w:b/>
          <w:sz w:val="21"/>
        </w:rPr>
        <w:t>KOSPI暴跌近一成触发熔断，三星海力士领跌</w:t>
      </w:r>
    </w:p>
    <w:p>
      <w:pPr>
        <w:pStyle w:val="ListParagraph"/>
        <w:numPr>
          <w:ilvl w:val="0"/>
          <w:numId w:val="8"/>
        </w:numPr>
      </w:pPr>
      <w:r>
        <w:rPr>
          <w:rFonts w:ascii="FangSong_GB2312" w:hAnsi="FangSong_GB2312" w:eastAsia="FangSong_GB2312"/>
          <w:b/>
          <w:sz w:val="21"/>
        </w:rPr>
        <w:t>金正恩重申核武国家立场，下令向前线部署新装备</w:t>
      </w:r>
    </w:p>
    <w:p/>
    <w:p/>
    <w:p>
      <w:r>
        <w:rPr>
          <w:rFonts w:ascii="FangSong_GB2312" w:hAnsi="FangSong_GB2312" w:eastAsia="FangSong_GB2312"/>
          <w:b/>
          <w:sz w:val="24"/>
        </w:rPr>
        <w:t>1.美财政部签发伊朗石油60天制裁豁免，为德黑兰解锁数十亿美元收入</w:t>
      </w:r>
    </w:p>
    <w:p>
      <w:r>
        <w:rPr>
          <w:rFonts w:ascii="FangSong_GB2312" w:hAnsi="FangSong_GB2312" w:eastAsia="FangSong_GB2312"/>
          <w:b w:val="0"/>
          <w:sz w:val="21"/>
        </w:rPr>
        <w:t>美国财政部海外资产控制办公室（OFAC）6月22日前后签发“伊朗1号一般许可证”（General License X），在60天窗口期内允许伊朗原油贸易及相关航运、保险与金融交易，有效期延续至8月21日，为德黑兰解锁“数十亿美元的收入”——这是美国多年来对伊朗能源制裁最大幅度的一次松动。许可证绑定在6月17日签署的《伊斯兰堡备忘录》框架之下，60天豁免期恰好对应美伊就核问题、霍尔木兹海峡地位等议题完成谈判的时限，伊朗合规情况是窗口能否延续的前提。财政部长贝森特（Scott Bessent）称许可证签发“与瑞士正在进行的富有成效的会谈一致”——该轮谈判由副总统万斯（JD Vance）牵头、巴基斯坦和卡塔尔斡旋；作为交换，伊朗承诺维持霍尔木兹海峡自由通航。本周一该海峡录得战后最高单日通行量，35艘商品运输船过境，约为和平时期正常水平的三分之一。 [1]</w:t>
      </w:r>
    </w:p>
    <w:p/>
    <w:p>
      <w:r>
        <w:rPr>
          <w:rFonts w:ascii="FangSong_GB2312" w:hAnsi="FangSong_GB2312" w:eastAsia="FangSong_GB2312"/>
          <w:b/>
          <w:sz w:val="24"/>
        </w:rPr>
        <w:t>2.全球科技股抛售加剧，SpaceX领跌、七巨头集体下挫</w:t>
      </w:r>
    </w:p>
    <w:p>
      <w:r>
        <w:rPr>
          <w:rFonts w:ascii="FangSong_GB2312" w:hAnsi="FangSong_GB2312" w:eastAsia="FangSong_GB2312"/>
          <w:b w:val="0"/>
          <w:sz w:val="21"/>
        </w:rPr>
        <w:t>6月23日美国及全球科技股遭遇大幅抛售，SpaceX领跌。该公司6月12日以每股135美元上市、募资约860亿美元，盘后一度逼近225美元，6月23日盘前跌超4%、较IPO后峰值回落约16.2%至每股约155美元，导火索是一笔规模达200亿美元的债券发行引发的稀释担忧；从峰值算起累计市值蒸发在CNBC口径下约4000亿美元。这笔债券所得款项用于偿还过桥贷款并为AI和数据中心项目融资，投资者对支撑公司技术野心所需的巨额现金感到不安。抛售并未止于SpaceX：“七巨头”集体下挫，Alphabet录得一年多以来最差单日表现，市场将其与公司核心AI人才流失挂钩；韩国SK海力士和三星跌幅均超过12%；纳斯达克100指数期货盘前下跌约2.8%。 [2]</w:t>
      </w:r>
    </w:p>
    <w:p/>
    <w:p>
      <w:r>
        <w:rPr>
          <w:rFonts w:ascii="FangSong_GB2312" w:hAnsi="FangSong_GB2312" w:eastAsia="FangSong_GB2312"/>
          <w:b/>
          <w:sz w:val="24"/>
        </w:rPr>
        <w:t>3.艾伯维109亿美元收购Apogee，加码免疫学叫板Dupixent</w:t>
      </w:r>
    </w:p>
    <w:p>
      <w:r>
        <w:rPr>
          <w:rFonts w:ascii="FangSong_GB2312" w:hAnsi="FangSong_GB2312" w:eastAsia="FangSong_GB2312"/>
          <w:b w:val="0"/>
          <w:sz w:val="21"/>
        </w:rPr>
        <w:t>艾伯维（AbbVie，NYSE: ABBV）6月22日宣布将以每股135.11美元现金收购临床阶段生物科技公司Apogee Therapeutics全部流通股，对应股权价值约109亿美元，交易获双方董事会一致批准，预计2026年第三季度完成，尚待Apogee股东投票及包括Hart-Scott-Rodino在内的监管审批。收购战略核心是Apogee的主打候选药物zumilokibart（APG777）——一种抗IL-13单克隆抗体，处于针对特应性皮炎和哮喘的2/3期临床，被定位为赛诺菲与再生元联合开发、年收入约150亿美元的Dupixent的长效替代方案；Apogee管线还包括抗IL-4Rα的APG990和抗TSLP的APG808。对艾伯维而言，此交易意在填补增长缺口——当家品种修美乐（Humira）正面临生物类似药竞争，现增长引擎是Skyrizi和Rinvoq，公司预计该交易将从2032年起对调整后摊薄每股收益产生增厚效应。 [3]</w:t>
      </w:r>
    </w:p>
    <w:p/>
    <w:p>
      <w:r>
        <w:rPr>
          <w:rFonts w:ascii="FangSong_GB2312" w:hAnsi="FangSong_GB2312" w:eastAsia="FangSong_GB2312"/>
          <w:b/>
          <w:sz w:val="24"/>
        </w:rPr>
        <w:t>4.斯塔默辞去英国首相，伯纳姆将不经竞争接任</w:t>
      </w:r>
    </w:p>
    <w:p>
      <w:r>
        <w:rPr>
          <w:rFonts w:ascii="FangSong_GB2312" w:hAnsi="FangSong_GB2312" w:eastAsia="FangSong_GB2312"/>
          <w:b w:val="0"/>
          <w:sz w:val="21"/>
        </w:rPr>
        <w:t>英国首相基尔·斯塔默（Keir Starmer）6月22日宣布辞职，距其带领工党赢得2024年7月历史性大胜尚不足两年，直接导火索是2026年5月地方选举惨败——工党丢失1496个议会席位和35个地方议会控制权，改革英国党（Reform UK）则一举拿下1453个议员席位。接棒者几无悬念：56岁的前大曼彻斯特市长安迪·伯纳姆（Andy Burnham）6月18日通过马克菲尔德补选以54.8%得票率重返下议院，赢得逾9200票多数优势，为挑战斯塔默铺平道路。党内最强对手韦斯·斯特里廷（Wes Streeting）6月22日退出竞选转而支持伯纳姆，称“我们可以用整个夏天去夸大彼此间的细微分歧，也可以卷起袖子帮助他兑现我们的党和国家所需要的改变”。工党提名7月9日开放、16日截止，新党魁须在9月1日前到任，斯塔默过渡期内留任；这意味着英国将在十年内迎来第七位首相。 [4]</w:t>
      </w:r>
    </w:p>
    <w:p/>
    <w:p>
      <w:r>
        <w:rPr>
          <w:rFonts w:ascii="FangSong_GB2312" w:hAnsi="FangSong_GB2312" w:eastAsia="FangSong_GB2312"/>
          <w:b/>
          <w:sz w:val="24"/>
        </w:rPr>
        <w:t>5.英国6月综合PMI跌至49.4，创14个月新低</w:t>
      </w:r>
    </w:p>
    <w:p>
      <w:r>
        <w:rPr>
          <w:rFonts w:ascii="FangSong_GB2312" w:hAnsi="FangSong_GB2312" w:eastAsia="FangSong_GB2312"/>
          <w:b w:val="0"/>
          <w:sz w:val="21"/>
        </w:rPr>
        <w:t>标普全球（S&amp;P Global）6月23日公布的英国6月综合PMI产出指数初值降至49.4，低于5月的49.7，为14个月以来最低，连续第二个月落在50荣枯线下方。拖累来自服务业：服务业商务活动指数从49.3滑落至48.7，为41个月以来最低；制造业产出指数虽从52.2升至53.6、为近两年最强，但标普全球将其归因于企业为防范中东冲突可能引发供应中断而进行的预防性补库存，制造业新订单实际已回落至六个月低点。就业以标普全球首席商业经济学家克里斯·威廉姆森（Chris Williamson）所说的“令人担忧的高速度”下滑，他评价：“数据指向一个在第二季度基本陷入停滞的经济体。”这份数据落在首相斯塔默6月22日宣布辞职的当口，为继任者留下了一个二季度几近零增长的经济底盘。 [5]</w:t>
      </w:r>
    </w:p>
    <w:p/>
    <w:p>
      <w:r>
        <w:rPr>
          <w:rFonts w:ascii="FangSong_GB2312" w:hAnsi="FangSong_GB2312" w:eastAsia="FangSong_GB2312"/>
          <w:b/>
          <w:sz w:val="24"/>
        </w:rPr>
        <w:t>6.欧央行连恩警示油价冲击超历次能源危机之和</w:t>
      </w:r>
    </w:p>
    <w:p>
      <w:r>
        <w:rPr>
          <w:rFonts w:ascii="FangSong_GB2312" w:hAnsi="FangSong_GB2312" w:eastAsia="FangSong_GB2312"/>
          <w:b w:val="0"/>
          <w:sz w:val="21"/>
        </w:rPr>
        <w:t>欧洲央行首席经济学家连恩（Philip R. Lane）6月23日在布鲁塞尔向欧洲议会经济与货币事务委员会陈述时说，本轮油价冲击“比此前三次能源危机（1973年、1979年和2022年）加在一起还要大”，以此解释欧央行为何在6月17日生效的决议中将三大关键利率同步上调25个基点——这是自2023年以来首次加息，存款机制利率升至2.25%、主要再融资利率2.40%、边际贷款利率2.65%，逆转了2024年6月以来的宽松周期。霍尔木兹海峡石油运输受扰再度点燃通胀：5月欧元区整体通胀率升至3.2%，能源通胀高达10.8%，核心通胀从2.2%跳升至2.6%。经济基本面却在走弱——一季度GDP环比萎缩0.2%，4月失业率6.3%。欧元体系工作人员预测能源通胀将在2026年三季度见顶于12.5%，2026至2028年GDP增速分别为0.8%、1.2%和1.5%；连恩说：“管理委员会有充分准备驾驭战争造成的不确定性。” [6]</w:t>
      </w:r>
    </w:p>
    <w:p/>
    <w:p>
      <w:r>
        <w:rPr>
          <w:rFonts w:ascii="FangSong_GB2312" w:hAnsi="FangSong_GB2312" w:eastAsia="FangSong_GB2312"/>
          <w:b/>
          <w:sz w:val="24"/>
        </w:rPr>
        <w:t>7.全球芯片股遭抛售，ASML单日蒸发约380亿欧元</w:t>
      </w:r>
    </w:p>
    <w:p>
      <w:r>
        <w:rPr>
          <w:rFonts w:ascii="FangSong_GB2312" w:hAnsi="FangSong_GB2312" w:eastAsia="FangSong_GB2312"/>
          <w:b w:val="0"/>
          <w:sz w:val="21"/>
        </w:rPr>
        <w:t>ASML 6月23日在阿姆斯特丹早盘下跌4.9%，市值一日蒸发约380亿欧元，抛售席卷整个欧洲半导体板块：意法半导体跌7.3%至7.5%，英飞凌跌5.4%至5.8%，ASMI跌5.9%；泛欧斯托克600指数下跌约1.2%，其科技子指数重挫3.2%，欧洲斯托克50指数跌1.25%至6,236点。导火索来自大洋彼岸——博通（Broadcom）对AI芯片需求发出谨慎信号，其三季度AI芯片销售指引160亿美元低于分析师预期的172亿美元，且未上调全年AI半导体销售预测，叠加内存芯片危机与全球智能手机需求骤降预期。亚洲市场反应更剧烈：SK海力士和三星各跌超12%，韩国综合指数下挫10%。一位分析师直言芯片设备股的脆弱性：“本土芯片和设备公司如今实际上成了押注美国超大规模云厂商支出决策的杠杆工具。” [7]</w:t>
      </w:r>
    </w:p>
    <w:p/>
    <w:p>
      <w:r>
        <w:rPr>
          <w:rFonts w:ascii="FangSong_GB2312" w:hAnsi="FangSong_GB2312" w:eastAsia="FangSong_GB2312"/>
          <w:b/>
          <w:sz w:val="24"/>
        </w:rPr>
        <w:t>8.央行授权六家大行直通离岸人民币交易</w:t>
      </w:r>
    </w:p>
    <w:p>
      <w:r>
        <w:rPr>
          <w:rFonts w:ascii="FangSong_GB2312" w:hAnsi="FangSong_GB2312" w:eastAsia="FangSong_GB2312"/>
          <w:b w:val="0"/>
          <w:sz w:val="21"/>
        </w:rPr>
        <w:t>中国人民银行6月23日授权工商银行、中国银行、中国建设银行等六家大型银行直接从上海自贸区开展离岸人民币交易，绕开传统中介环节——它们可从在岸账户对离岸人民币（CNH）报价并清算，把此前相互分割的在岸（CNY）与离岸（CNH）两个市场连接起来。央行行长潘功胜在陆家嘴论坛上阐释逻辑：让六家银行从境内直接交易离岸人民币，有望收窄买卖价差、压低交易成本，从而提升人民币定价效率，并扩大人民币在跨境贸易结算中的使用，工商银行和中国银行率先落地首批交易。这是一连串动作中的一环——潘功胜同期还宣布央行将创设新工具，便利境外央行、主权财富基金和国际货币当局获取人民币流动性，并稳步进入自贸区离岸债券等离岸金融产品；此次安排并不等同于资本账户完全开放，而是面向金砖国家和“一带一路”伙伴、推进人民币国际化的渐进一步。 [8]</w:t>
      </w:r>
    </w:p>
    <w:p/>
    <w:p>
      <w:r>
        <w:rPr>
          <w:rFonts w:ascii="FangSong_GB2312" w:hAnsi="FangSong_GB2312" w:eastAsia="FangSong_GB2312"/>
          <w:b/>
          <w:sz w:val="24"/>
        </w:rPr>
        <w:t>9.中国制裁美国防务与稀土企业，反制五角大楼涉军名单</w:t>
      </w:r>
    </w:p>
    <w:p>
      <w:r>
        <w:rPr>
          <w:rFonts w:ascii="FangSong_GB2312" w:hAnsi="FangSong_GB2312" w:eastAsia="FangSong_GB2312"/>
          <w:b w:val="0"/>
          <w:sz w:val="21"/>
        </w:rPr>
        <w:t>中国商务部6月23日将MP Materials、USA Rare Earth、Red Cat Holdings、Teal Drones和Ball Aerospace等10家美国实体列入出口管制清单，目标直指稀土与国防关联企业；中国财政部同步将46家美国国防承包商排除出政府采购，涉及洛克希德·马丁、雷神、通用动力和波音防务。这些措施被定性为对美国国防部行动的反制——6月8日五角大楼将其“中国军事企业”清单扩充至188家实体，新增了阿里巴巴、比亚迪和百度。被列管的MP Materials与USA Rare Earth是美国最大稀土生产商之列；出口管制意味着向这10家企业出口两用物项被禁止，任何国家或地区向其转移源自中国的两用物项也在禁止之列。中国动用的法律工具是2020年《出口管制法》和2021年《反外国制裁法》，背景之一是外资承压：2026年前五个月中国实际使用外资同比下降8.6%。 [9]</w:t>
      </w:r>
    </w:p>
    <w:p/>
    <w:p>
      <w:r>
        <w:rPr>
          <w:rFonts w:ascii="FangSong_GB2312" w:hAnsi="FangSong_GB2312" w:eastAsia="FangSong_GB2312"/>
          <w:b/>
          <w:sz w:val="24"/>
        </w:rPr>
        <w:t>10.华润新能源募资36亿美元，创深交所最大IPO纪录</w:t>
      </w:r>
    </w:p>
    <w:p>
      <w:r>
        <w:rPr>
          <w:rFonts w:ascii="FangSong_GB2312" w:hAnsi="FangSong_GB2312" w:eastAsia="FangSong_GB2312"/>
          <w:b w:val="0"/>
          <w:sz w:val="21"/>
        </w:rPr>
        <w:t>华润新能源控股有限公司（CR New Energy Holdings Co.）6月23日在深圳证券交易所完成首次公开发行，募资约245亿元人民币（36亿美元），成为深交所有史以来最大IPO。该公司从华润电力控股分拆而来，主营风电和太阳能发电，本次以每股10.11元人民币定价24.2亿股，零售认购部分超额认购达683倍，反映境内散户需求极为旺盛；按发行定价计算公司市值约1350亿元人民币，按装机容量计为中国第三大可再生能源生产商。这笔交易亦具结构意义：若发行顺利，华润新能源将成为首家在深交所上市、注册于境外但主营业务在中国大陆的“红筹”企业，募集资金将用于在全国推进7.18吉瓦的风电和太阳能项目，配合母公司将可再生能源业务在大陆单独上市的战略。 [10]</w:t>
      </w:r>
    </w:p>
    <w:p/>
    <w:p>
      <w:r>
        <w:rPr>
          <w:rFonts w:ascii="FangSong_GB2312" w:hAnsi="FangSong_GB2312" w:eastAsia="FangSong_GB2312"/>
          <w:b/>
          <w:sz w:val="24"/>
        </w:rPr>
        <w:t>11.日经225单日重挫约4%，AI半导体板块领跌</w:t>
      </w:r>
    </w:p>
    <w:p>
      <w:r>
        <w:rPr>
          <w:rFonts w:ascii="FangSong_GB2312" w:hAnsi="FangSong_GB2312" w:eastAsia="FangSong_GB2312"/>
          <w:b w:val="0"/>
          <w:sz w:val="21"/>
        </w:rPr>
        <w:t>日经225指数6月23日大幅下挫约4%，盘中跌破70,000点关口，为本轮AI行情启动以来最猛烈的一次回调，东证股价指数（Topix）同步下跌2.6%至3,990点——就在前一交易日6月22日，日经刚刷新历史最高纪录、逼近72,000点，等于24小时内几乎回吐了一周涨幅。领跌的正是此前最受追捧的AI与半导体板块：软银集团单日重挫约9%至10%，成为拖累指数的最大权重股；存储芯片厂商铠侠暴跌约13%至15%，半导体设备龙头东京电子下跌约7%。直接导火索来自海外——博通（Broadcom）令人失望的业绩展望浇灭了市场对AI投资的热情，叠加强于预期的美国就业报告，引发横扫亚洲的科技股抛售。这次急跌暴露出日本股市的结构性脆弱：年初至今逾三成的涨幅高度集中于少数AI龙头，使指数对全球AI情绪与半导体周期异常敏感，当软银等权重股集体回调便缺乏足够板块轮动来缓冲。 [11]</w:t>
      </w:r>
    </w:p>
    <w:p/>
    <w:p>
      <w:r>
        <w:rPr>
          <w:rFonts w:ascii="FangSong_GB2312" w:hAnsi="FangSong_GB2312" w:eastAsia="FangSong_GB2312"/>
          <w:b/>
          <w:sz w:val="24"/>
        </w:rPr>
        <w:t>12.日本出租车应用GO登东证，募资886亿日元成年度最大IPO</w:t>
      </w:r>
    </w:p>
    <w:p>
      <w:r>
        <w:rPr>
          <w:rFonts w:ascii="FangSong_GB2312" w:hAnsi="FangSong_GB2312" w:eastAsia="FangSong_GB2312"/>
          <w:b w:val="0"/>
          <w:sz w:val="21"/>
        </w:rPr>
        <w:t>日本最大的出租车叫车应用运营商GO公司6月在东京证券交易所挂牌上市，募资886亿日元（约5.53亿至5.80亿美元），成为2026年日本规模最大的IPO。发行定价为每股2,400日元、处于区间上限，认购倍数高达25倍，市值约1,860亿日元，上市首日股价一度飙升21%、收于约2,910日元，其中约70%发行份额面向国际投资者，贝莱德、惠灵顿管理、M&amp;G等担任基石投资者，高盛提供支持。GO在一个清淡的IPO大年（全年仅17宗、为2011年以来最少）中脱颖而出，更精准押中机器人出租车（robotaxi）这一炙手可热的主题：GO掌控日本约70%的应用叫车市场份额，计划投入80亿日元用于机器人出租车扩张与并购整合，Waymo在东京的叫车订单也将通过GO平台导流；在日本出租车司机因人口老龄化而严重短缺的背景下，GO把自动驾驶出行包装成解决方案，赢得全球资金追捧。 [12]</w:t>
      </w:r>
    </w:p>
    <w:p/>
    <w:p>
      <w:r>
        <w:rPr>
          <w:rFonts w:ascii="FangSong_GB2312" w:hAnsi="FangSong_GB2312" w:eastAsia="FangSong_GB2312"/>
          <w:b/>
          <w:sz w:val="24"/>
        </w:rPr>
        <w:t>13.KOSPI暴跌近一成触发熔断，三星海力士领跌</w:t>
      </w:r>
    </w:p>
    <w:p>
      <w:r>
        <w:rPr>
          <w:rFonts w:ascii="FangSong_GB2312" w:hAnsi="FangSong_GB2312" w:eastAsia="FangSong_GB2312"/>
          <w:b w:val="0"/>
          <w:sz w:val="21"/>
        </w:rPr>
        <w:t>韩国综合股价指数（KOSPI）6月23日收盘暴跌910.71点、跌幅9.99%、报8,203.84点，创下今年最大单日跌幅；下午2时33分指数跌幅超过8%触发熔断机制——这是今年第四次、有记录以来第十次熔断，上一次密集触发要追溯到2024年8月。卖压来自外资与机构集中抛售：外国投资者净卖出4.13万亿韩元，机构净卖出4.55万亿韩元，散户则逆势净买入8.58万亿韩元；当日下跌个股856只、上涨仅46只。抛压集中在半导体与权重股：三星电子跌12.31%至31万韩元，SK海力士跌12.47%至255万韩元，现代汽车跌12.05%至51.1万韩元，LG新能源跌6.1%；韩元兑美元贬至1,539.1。此次暴跌跟随隔夜美国科技股下挫，未来资产证券分析师徐相英（Seo Sang-young）称：“在屡创新高之后，韩国主要半导体股的估值担忧已经升温。” [13]</w:t>
      </w:r>
    </w:p>
    <w:p/>
    <w:p>
      <w:r>
        <w:rPr>
          <w:rFonts w:ascii="FangSong_GB2312" w:hAnsi="FangSong_GB2312" w:eastAsia="FangSong_GB2312"/>
          <w:b/>
          <w:sz w:val="24"/>
        </w:rPr>
        <w:t>14.金正恩重申核武国家立场，下令向前线部署新装备</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朝鲜领导人金正恩（Kim Jong-un）从上周六起连续三天主持朝鲜劳动党第九届中央委员会第二次全体会议，会议得出结论称“彻底行使核武国家地位是最正确、最独特的道路”，延续了朝鲜2022年9月立法宣布自身为不可逆转核武国家、拒绝任何无核化谈判的路线。金正恩下令在年底前向前线部署新型自行火炮，提出“赶超世界”的目标，军备清单包括今年4月获批的万吨级战略导弹巡洋舰、陆基和潜射洲际弹道导弹、AI化无人攻击平台以及反卫星能力，会议再次将韩国定性为“最敌对的国家”；人事上赵勇元（Jo Yong-won）升任党中央委员会书记。北朝鲜大学院大学教授梁茂进（Yang Moo-jin）分析认为，这些举动标志着朝鲜拒绝无核化，并试图将任何未来谈判从“弃核”重新框定为“军备控制”。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https://www.cnbc.com/2026/06/23/us-iran-oil-sanction-relief-strait-of-hormuz-peace-deal-.html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https://www.cnbc.com/2026/06/23/tech-stocks-sell-off-mag7-samsung-sk-hynix.html</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https://news.abbvie.com/2026-06-22-AbbVie-to-Acquire-Apogee-Therapeutics,-Deepening-Immunology-Portfolio</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https://www.npr.org/2026/06/22/nx-s1-5866231/keir-starmer-resigns</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https://www.bloomberg.com/news/articles/2026-06-23/uk-economy-shrinks-for-second-straight-month-flash-pmi-shows</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https://www.ecb.europa.eu/press/key/date/2026/html/ecb.sp260623~c112a749e2.en.html</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https://www.cnbc.com/2026/06/23/tech-stocks-sell-off-mag7-samsung-sk-hynix.html</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https://www.bloomberg.com/news/articles/2026-06-23/china-links-offshore-onshore-yuan-in-tweak-toward-broader-use</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https://asiatimes.com/2026/06/china-sanctions-us-defense-rare-earth-firms-in-retaliation/</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https://www.scmp.com/business/china-business/article/3356694/china-resources-new-energys-us36-billion-ipo-smashes-records-shenzhen-exchange</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https://tradingeconomics.com/japan/stock-market</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https://techcrunch.com/2026/06/19/go-eyes-robotaxis-and-acquisitions-after-japans-biggest-ipo-of-2026-heres-why-it-matters/</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https://www.koreaherald.com/article/10785553</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https://www.koreaherald.com/article/10785395</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