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94ece26c968a2836e8902e320917214b8501cf"/>
    <w:p>
      <w:pPr>
        <w:pStyle w:val="Heading1"/>
      </w:pPr>
      <w:r>
        <w:t xml:space="preserve">China Daily News Intelligence — July 3, 2026</w:t>
      </w:r>
    </w:p>
    <w:bookmarkStart w:id="12" w:name="economy-markets"/>
    <w:p>
      <w:pPr>
        <w:pStyle w:val="Heading2"/>
      </w:pPr>
      <w:r>
        <w:t xml:space="preserve">1. Economy &amp; Markets</w:t>
      </w:r>
    </w:p>
    <w:bookmarkStart w:id="9" w:name="Xa0cd7c385eaadf3177f64ab9d6439d1b73e586f"/>
    <w:p>
      <w:pPr>
        <w:pStyle w:val="Heading3"/>
      </w:pPr>
      <w:r>
        <w:t xml:space="preserve">China and Hong Kong Stocks Fall on Tech Selloff as Renewed Middle East Tensions Weigh</w:t>
      </w:r>
    </w:p>
    <w:p>
      <w:pPr>
        <w:pStyle w:val="FirstParagraph"/>
      </w:pPr>
      <w:r>
        <w:t xml:space="preserve">Chinese and Hong Kong equities ended lower on Thursday, July 3, as a sharp retreat in technology names met a fresh geopolitical shock. The benchmark Shanghai Composite index declined 0.2 percent and the blue-chip CSI300 index dropped 0.6 percent, while the Hang Seng Index fell 0.7 percent — a seventh straight losing session, its longest streak since October. Shenzhen’s startup board ChiNext slid 1.1 percent, and Hong Kong’s tech sector shed 1.5 percent. Knowledge Atlas Technology, the Hong Kong-listed entity behind Chinese AI model developer Zhipu, plunged more than 17 percent, and chip firm Shanghai Iluvatar CoreX Semiconductor was down nearly 18 percent.</w:t>
      </w:r>
    </w:p>
    <w:p>
      <w:pPr>
        <w:pStyle w:val="BodyText"/>
      </w:pPr>
      <w:r>
        <w:t xml:space="preserve">The selling deepened a valuation slump that has left China’s biggest tech names looking cheap without drawing buyers back. Tencent Holdings, down 28 percent year-to-date, traded at a price-earnings ratio of 11 times, an all-time low, while Alibaba tumbled more than 20 percent in June alone. Sentiment soured further after the United States launched overnight strikes on Iran, with President Donald Trump vowing further attacks. In currency markets the USD/CNY exchange rate stood at 6.7814 on July 3, down 0.11 percent on the day but up 5.33 percent over the previous 12 months.</w:t>
      </w:r>
    </w:p>
    <w:p>
      <w:pPr>
        <w:pStyle w:val="BodyText"/>
      </w:pPr>
      <w:r>
        <w:rPr>
          <w:b/>
          <w:bCs/>
        </w:rPr>
        <w:t xml:space="preserve">References</w:t>
      </w:r>
      <w:r>
        <w:t xml:space="preserve"> </w:t>
      </w:r>
      <w:r>
        <w:t xml:space="preserve">[1] Reuters. (2026, July 3). China and Hong Kong stocks fall on tech selloff, renewed Mideast tensions. TradingView. https://www.tradingview.com/news/reuters.com,2026:newsml_L1N42J08N:0-china-and-hong-kong-stocks-fall-on-tech-selloff-renewed-mideast-tensions/</w:t>
      </w:r>
      <w:r>
        <w:t xml:space="preserve"> </w:t>
      </w:r>
      <w:r>
        <w:t xml:space="preserve">[2] Bloomberg. (2026, July 3). China tech’s deepening valuation slump fails to win back buyers. https://www.bloomberg.com/news/articles/2026-07-03/china-tech-s-deepening-valuation-slump-fails-to-win-back-buyers</w:t>
      </w:r>
    </w:p>
    <w:p>
      <w:r>
        <w:pict>
          <v:rect style="width:0;height:1.5pt" o:hralign="center" o:hrstd="t" o:hr="t"/>
        </w:pict>
      </w:r>
    </w:p>
    <w:bookmarkEnd w:id="9"/>
    <w:bookmarkStart w:id="10" w:name="X8a0577ce314791412e4f4f64a1dd99668563b2f"/>
    <w:p>
      <w:pPr>
        <w:pStyle w:val="Heading3"/>
      </w:pPr>
      <w:r>
        <w:t xml:space="preserve">China June Services Activity Grows More Than Expected, Private PMI Shows</w:t>
      </w:r>
    </w:p>
    <w:p>
      <w:pPr>
        <w:pStyle w:val="FirstParagraph"/>
      </w:pPr>
      <w:r>
        <w:t xml:space="preserve">The RatingDog China General Services Purchasing Managers’ Index, compiled by S&amp;P Global, fell to 54.1 in June from 54.4 in May, staying well above the 50 mark that separates expansion from contraction and beating the median analyst expectation of 53.0. The Composite Output Index eased to 53.6 from 54.0. Overseas demand did the heavy lifting: new export business rose at the fastest rate in 20 months, reaching its highest level since October 2024. Input costs climbed amid Middle East supply disruptions, prompting firms to raise selling prices for the first time in four months.</w:t>
      </w:r>
    </w:p>
    <w:p>
      <w:pPr>
        <w:pStyle w:val="BodyText"/>
      </w:pPr>
      <w:r>
        <w:t xml:space="preserve">The private gauge, which covers smaller export-oriented firms, ran ahead of official data drawn from larger state enterprises. China’s official non-manufacturing PMI edged up to 50.2 from 50.1 in May, with the services sub-index at 50.4. To support liquidity, the People’s Bank of China injected CNY 157.5 billion through seven-day reverse repos while keeping the benchmark rate at a record-low 1.4 percent.</w:t>
      </w:r>
    </w:p>
    <w:p>
      <w:pPr>
        <w:pStyle w:val="BodyText"/>
      </w:pPr>
      <w:r>
        <w:rPr>
          <w:b/>
          <w:bCs/>
        </w:rPr>
        <w:t xml:space="preserve">References</w:t>
      </w:r>
      <w:r>
        <w:t xml:space="preserve"> </w:t>
      </w:r>
      <w:r>
        <w:t xml:space="preserve">[3] Investing.com. (2026, July 3). China’s June services activity slows slightly, private PMI shows. https://www.investing.com/news/economy-news/chinas-june-services-activity-slows-slightly-private-pmi-shows-4774962</w:t>
      </w:r>
      <w:r>
        <w:t xml:space="preserve"> </w:t>
      </w:r>
      <w:r>
        <w:t xml:space="preserve">[4] Bloomberg. (2026, July 3). China’s services gauge expands faster than forecast despite dip. https://www.bloomberg.com/news/articles/2026-07-03/china-s-services-gauge-expands-faster-than-forecast-despite-dip</w:t>
      </w:r>
      <w:r>
        <w:t xml:space="preserve"> </w:t>
      </w:r>
      <w:r>
        <w:t xml:space="preserve">[5] S&amp;P Global. (2026, July 3). RatingDog China General Services PMI press release. https://www.pmi.spglobal.com/Public/Home/PressRelease/c152f9fec9d047efa8cba4fd03fb7769</w:t>
      </w:r>
    </w:p>
    <w:p>
      <w:r>
        <w:pict>
          <v:rect style="width:0;height:1.5pt" o:hralign="center" o:hrstd="t" o:hr="t"/>
        </w:pict>
      </w:r>
    </w:p>
    <w:bookmarkEnd w:id="10"/>
    <w:bookmarkStart w:id="11" w:name="Xb96d26e3ebb873c821d64cb6ab43001c8ca6760"/>
    <w:p>
      <w:pPr>
        <w:pStyle w:val="Heading3"/>
      </w:pPr>
      <w:r>
        <w:t xml:space="preserve">Gold Slump Tests Chinese Luxury Brand Laopu’s Resilience as Upstart Loses 60 Percent of Value</w:t>
      </w:r>
    </w:p>
    <w:p>
      <w:pPr>
        <w:pStyle w:val="FirstParagraph"/>
      </w:pPr>
      <w:r>
        <w:t xml:space="preserve">Shares of Chinese luxury jeweler Laopu Gold have fallen approximately 60 percent from their all-time high, erasing roughly HK$120 billion (approximately $15.3 billion) in market value as global bullion retreats from record levels, Nikkei Asia reported on July 3, 2026. The stock’s slide has outpaced both its peers and the metal itself: while Laopu shares have shed some 60 percent, the gold price has fallen only around 20 percent. The pressure is showing up in sales. Monthly revenue at the brand’s physical stores declined by mid-double digits year-on-year between March and May, and its flagship store on Alibaba’s Tmall platform recorded sales drops of 71 percent and 66 percent in April and May respectively — a sign that when gold prices fall, Chinese consumers gravitate toward weight-based products rather than Laopu’s fixed-price designs.</w:t>
      </w:r>
    </w:p>
    <w:p>
      <w:pPr>
        <w:pStyle w:val="BodyText"/>
      </w:pPr>
      <w:r>
        <w:t xml:space="preserve">The reversal is stark against the company’s rise. Laopu Gold reported full-year 2025 revenue of 27.3 billion yuan ($3.95 billion), up 221 percent year-on-year, and net profit of RMB 4.87 billion ($708 million), up 230 percent. Founded in 2009 and headquartered in Beijing, the jeweler had been cast as a national champion; HSBC previously described it as capable of becoming</w:t>
      </w:r>
      <w:r>
        <w:t xml:space="preserve"> </w:t>
      </w:r>
      <w:r>
        <w:t xml:space="preserve">“China’s first homegrown, high-end brand to compete with the likes of Tiffany and Richemont.”</w:t>
      </w:r>
      <w:r>
        <w:t xml:space="preserve"> </w:t>
      </w:r>
      <w:r>
        <w:t xml:space="preserve">Not all analysts have turned bearish — JPMorgan Chase remains among the banks bullish on the stock, arguing investors undervalue Laopu’s brand strength and affluent customer base.</w:t>
      </w:r>
    </w:p>
    <w:p>
      <w:pPr>
        <w:pStyle w:val="BodyText"/>
      </w:pPr>
      <w:r>
        <w:rPr>
          <w:b/>
          <w:bCs/>
        </w:rPr>
        <w:t xml:space="preserve">References</w:t>
      </w:r>
      <w:r>
        <w:t xml:space="preserve"> </w:t>
      </w:r>
      <w:r>
        <w:t xml:space="preserve">[6] Nikkei Asia. (2026, July 3). Gold slump tests Chinese brand Laopu’s resilience as luxury upstart. https://asia.nikkei.com/business/companies/gold-slump-tests-chinese-brand-laopu-s-resilience-as-luxury-upstart</w:t>
      </w:r>
      <w:r>
        <w:t xml:space="preserve"> </w:t>
      </w:r>
      <w:r>
        <w:t xml:space="preserve">[7] Caixin Global. (2026, July 2). Gold’s slide sends China’s luxury jewelers tumbling. https://www.caixinglobal.com/2026-07-02/golds-slide-sends-chinas-luxury-jewelers-tumbling-102459844.html</w:t>
      </w:r>
    </w:p>
    <w:p>
      <w:r>
        <w:pict>
          <v:rect style="width:0;height:1.5pt" o:hralign="center" o:hrstd="t" o:hr="t"/>
        </w:pict>
      </w:r>
    </w:p>
    <w:bookmarkEnd w:id="11"/>
    <w:bookmarkEnd w:id="12"/>
    <w:bookmarkStart w:id="15" w:name="politics-diplomacy"/>
    <w:p>
      <w:pPr>
        <w:pStyle w:val="Heading2"/>
      </w:pPr>
      <w:r>
        <w:t xml:space="preserve">2. Politics &amp; Diplomacy</w:t>
      </w:r>
    </w:p>
    <w:bookmarkStart w:id="13" w:name="Xea95599bdf337748b50831f8b50e41fe7a55467"/>
    <w:p>
      <w:pPr>
        <w:pStyle w:val="Heading3"/>
      </w:pPr>
      <w:r>
        <w:t xml:space="preserve">Taiwan Premier Cho Jung-tai Announces Cross-Agency Transnational-Repression Platform to Counter China’s Ethnic Unity Law</w:t>
      </w:r>
    </w:p>
    <w:p>
      <w:pPr>
        <w:pStyle w:val="FirstParagraph"/>
      </w:pPr>
      <w:r>
        <w:t xml:space="preserve">Taiwan Premier Cho Jung-tai on Friday, July 3, 2026 announced the establishment of a Cabinet-level</w:t>
      </w:r>
      <w:r>
        <w:t xml:space="preserve"> </w:t>
      </w:r>
      <w:r>
        <w:t xml:space="preserve">“Interagency Coordination Platform for Transnational Repression,”</w:t>
      </w:r>
      <w:r>
        <w:t xml:space="preserve"> </w:t>
      </w:r>
      <w:r>
        <w:t xml:space="preserve">a direct response to China’s Law on Promoting Ethnic Unity and Progress, which took effect on July 1. Acting on President Lai Ching-te’s directive, the Executive Yuan will coordinate across three tracks — prevention, protection and countermeasures — and Cho directed the Ministry of Foreign Affairs to expand cooperation with democratic nations. Taiwan’s Mainland Affairs Council characterized the measure as</w:t>
      </w:r>
      <w:r>
        <w:t xml:space="preserve"> </w:t>
      </w:r>
      <w:r>
        <w:t xml:space="preserve">“a</w:t>
      </w:r>
      <w:r>
        <w:t xml:space="preserve"> </w:t>
      </w:r>
      <w:r>
        <w:t xml:space="preserve">‘unification law’</w:t>
      </w:r>
      <w:r>
        <w:t xml:space="preserve"> </w:t>
      </w:r>
      <w:r>
        <w:t xml:space="preserve">disguised under the banner of</w:t>
      </w:r>
      <w:r>
        <w:t xml:space="preserve"> </w:t>
      </w:r>
      <w:r>
        <w:t xml:space="preserve">‘ethnic unity,’</w:t>
      </w:r>
      <w:r>
        <w:t xml:space="preserve">”</w:t>
      </w:r>
      <w:r>
        <w:t xml:space="preserve"> </w:t>
      </w:r>
      <w:r>
        <w:t xml:space="preserve">and warned it</w:t>
      </w:r>
      <w:r>
        <w:t xml:space="preserve"> </w:t>
      </w:r>
      <w:r>
        <w:t xml:space="preserve">“poses a threat to our citizens and the dignity of our sovereignty.”</w:t>
      </w:r>
    </w:p>
    <w:p>
      <w:pPr>
        <w:pStyle w:val="BodyText"/>
      </w:pPr>
      <w:r>
        <w:t xml:space="preserve">Officials framed the law as the latest in a series of Chinese legal instruments with extraterritorial reach, alongside the Anti-Secession Law, Counter-Espionage Law, Data Security Law and Anti-Foreign Sanctions Law. DPP caucus chief executive Chuang Jui-hsiung said the law could endanger people worldwide, particularly Taiwanese. A U.S. Department of State spokesperson said the law imposes broad obligations on entities outside China.</w:t>
      </w:r>
    </w:p>
    <w:p>
      <w:pPr>
        <w:pStyle w:val="BodyText"/>
      </w:pPr>
      <w:r>
        <w:rPr>
          <w:b/>
          <w:bCs/>
        </w:rPr>
        <w:t xml:space="preserve">References</w:t>
      </w:r>
      <w:r>
        <w:t xml:space="preserve"> </w:t>
      </w:r>
      <w:r>
        <w:t xml:space="preserve">[8] Taipei Times. (2026, July 3). Cabinet unveils platform to counter China’s transnational repression. https://www.taipeitimes.com/News/front/archives/2026/07/03/2003860150</w:t>
      </w:r>
      <w:r>
        <w:t xml:space="preserve"> </w:t>
      </w:r>
      <w:r>
        <w:t xml:space="preserve">[9] American Enterprise Institute. (2026, July 2). China-Taiwan update, July 2, 2026. https://www.aei.org/articles/china-taiwan-update-july-2-2026/</w:t>
      </w:r>
    </w:p>
    <w:p>
      <w:r>
        <w:pict>
          <v:rect style="width:0;height:1.5pt" o:hralign="center" o:hrstd="t" o:hr="t"/>
        </w:pict>
      </w:r>
    </w:p>
    <w:bookmarkEnd w:id="13"/>
    <w:bookmarkStart w:id="14" w:name="X7a746ab28c9b15c79af0e73137895fc93f7cda1"/>
    <w:p>
      <w:pPr>
        <w:pStyle w:val="Heading3"/>
      </w:pPr>
      <w:r>
        <w:t xml:space="preserve">Taiwan Legislative Yuan KMT, TPP Block DPP Proposal to Condemn China’s Ethnic Unity Law</w:t>
      </w:r>
    </w:p>
    <w:p>
      <w:pPr>
        <w:pStyle w:val="FirstParagraph"/>
      </w:pPr>
      <w:r>
        <w:t xml:space="preserve">In Taiwan’s Legislative Yuan on Friday, July 3, 2026, the Chinese Nationalist Party (KMT) and Taiwan People’s Party (TPP) blocked a Democratic Progressive Party (DPP) caucus motion to formally condemn China’s Ethnic Unity law. All 60 KMT and TPP lawmakers voted against placing the motion on the agenda, while 48 DPP lawmakers voted in favour. The motion described China’s law — signed March 12, 2026 and effective July 1 — as</w:t>
      </w:r>
      <w:r>
        <w:t xml:space="preserve"> </w:t>
      </w:r>
      <w:r>
        <w:t xml:space="preserve">“an attempt to use domestic legislation to infringe on the sovereignty and human rights of other countries.”</w:t>
      </w:r>
    </w:p>
    <w:p>
      <w:pPr>
        <w:pStyle w:val="BodyText"/>
      </w:pPr>
      <w:r>
        <w:t xml:space="preserve">DPP caucus chief executive Chuang Jui-hsiung said the law could endanger people worldwide, particularly Taiwanese. The failed motion had noted criticism from the United Nations, the European Parliament, multiple governments and human rights organisations, and had called for revising domestic laws, imposing penalties on those who collaborate in enforcement, and improving travel risk warnings for citizens.</w:t>
      </w:r>
    </w:p>
    <w:p>
      <w:pPr>
        <w:pStyle w:val="BodyText"/>
      </w:pPr>
      <w:r>
        <w:rPr>
          <w:b/>
          <w:bCs/>
        </w:rPr>
        <w:t xml:space="preserve">References</w:t>
      </w:r>
      <w:r>
        <w:t xml:space="preserve"> </w:t>
      </w:r>
      <w:r>
        <w:t xml:space="preserve">[10] Taipei Times. (2026, July 3). KMT, TPP block DPP motion condemning China’s ethnic unity law. https://www.taipeitimes.com/News/taiwan/archives/2026/07/03/2003860184</w:t>
      </w:r>
    </w:p>
    <w:p>
      <w:r>
        <w:pict>
          <v:rect style="width:0;height:1.5pt" o:hralign="center" o:hrstd="t" o:hr="t"/>
        </w:pict>
      </w:r>
    </w:p>
    <w:p>
      <w:pPr>
        <w:pStyle w:val="FirstParagraph"/>
      </w:pPr>
      <w:r>
        <w:rPr>
          <w:i/>
          <w:iCs/>
        </w:rPr>
        <w:t xml:space="preserve">Note: only 2 stories met T1-T4 standards for this category today.</w:t>
      </w:r>
    </w:p>
    <w:bookmarkEnd w:id="14"/>
    <w:bookmarkEnd w:id="15"/>
    <w:bookmarkStart w:id="18" w:name="technology-industry"/>
    <w:p>
      <w:pPr>
        <w:pStyle w:val="Heading2"/>
      </w:pPr>
      <w:r>
        <w:t xml:space="preserve">3. Technology &amp; Industry</w:t>
      </w:r>
    </w:p>
    <w:bookmarkStart w:id="16" w:name="X0fa84dd6b37a16890d065ed975f39b4e827b2f9"/>
    <w:p>
      <w:pPr>
        <w:pStyle w:val="Heading3"/>
      </w:pPr>
      <w:r>
        <w:t xml:space="preserve">Kuaishou Shares Volatile as Tencent Joins Record $2.8 Billion Kling AI Funding Round Targeting IPO</w:t>
      </w:r>
    </w:p>
    <w:p>
      <w:pPr>
        <w:pStyle w:val="FirstParagraph"/>
      </w:pPr>
      <w:r>
        <w:t xml:space="preserve">Kuaishou Technology’s shares initially rose more than 5 percent at Friday’s open on July 3, then reversed to trade 0.1 percent lower after the company disclosed that its AI video subsidiary Kling AI had closed a funding round raising approximately 19 billion yuan ($2.79 billion) at a post-money valuation of approximately $18 billion — a global record for a video large-model company. The muted share reaction reflected investor questions about how far Kuaishou can monetise a fast-scaling AI unit while carving it out. Kling AI, launched in June 2024, generates videos and short films from text and image prompts, and its momentum is real: Q1 2026 revenue exceeded 650 million yuan (approximately $95.8 million), up more than 300 percent year-on-year, with an annualized revenue run rate reaching $500 million.</w:t>
      </w:r>
    </w:p>
    <w:p>
      <w:pPr>
        <w:pStyle w:val="BodyText"/>
      </w:pPr>
      <w:r>
        <w:t xml:space="preserve">The round underscored how far Chinese players have advanced in a category Western rivals retreated from. As The Next Web observed,</w:t>
      </w:r>
      <w:r>
        <w:t xml:space="preserve"> </w:t>
      </w:r>
      <w:r>
        <w:t xml:space="preserve">“Kling generates videos and short films from text prompts, a category that OpenAI effectively abandoned when it shut down Sora in March after the tool failed to retain users and burned through roughly one million dollars per day in compute costs.”</w:t>
      </w:r>
      <w:r>
        <w:t xml:space="preserve"> </w:t>
      </w:r>
      <w:r>
        <w:t xml:space="preserve">Notably, Tencent contributed $200 million to Kling despite operating Hunyuan, its own rival generative AI platform.</w:t>
      </w:r>
    </w:p>
    <w:p>
      <w:pPr>
        <w:pStyle w:val="BodyText"/>
      </w:pPr>
      <w:r>
        <w:rPr>
          <w:b/>
          <w:bCs/>
        </w:rPr>
        <w:t xml:space="preserve">References</w:t>
      </w:r>
      <w:r>
        <w:t xml:space="preserve"> </w:t>
      </w:r>
      <w:r>
        <w:t xml:space="preserve">[11] CNBC. (2026, July 3). Kuaishou shares fall after securing Tencent funding for Kling AI. https://www.cnbc.com/2026/07/03/kuaishou-shares-fall-after-securing-tencent-funding-for-kling-ai.html</w:t>
      </w:r>
      <w:r>
        <w:t xml:space="preserve"> </w:t>
      </w:r>
      <w:r>
        <w:t xml:space="preserve">[12] Bloomberg. (2026, July 2). China’s Kling AI raises $2 billion to expand AI video operations. https://www.bloomberg.com/news/articles/2026-07-02/china-s-kling-ai-raises-2-billion-to-expand-ai-video-operations</w:t>
      </w:r>
      <w:r>
        <w:t xml:space="preserve"> </w:t>
      </w:r>
      <w:r>
        <w:t xml:space="preserve">[13] The Next Web. (2026, July 2). Kling AI raises $2 billion in Kuaishou spinoff push. https://thenextweb.com/news/kling-ai-2-billion-kuaishou-spinoff-video</w:t>
      </w:r>
    </w:p>
    <w:p>
      <w:r>
        <w:pict>
          <v:rect style="width:0;height:1.5pt" o:hralign="center" o:hrstd="t" o:hr="t"/>
        </w:pict>
      </w:r>
    </w:p>
    <w:bookmarkEnd w:id="16"/>
    <w:bookmarkStart w:id="17" w:name="X2185d0615eb81236709988e2667ed83a7436f4e"/>
    <w:p>
      <w:pPr>
        <w:pStyle w:val="Heading3"/>
      </w:pPr>
      <w:r>
        <w:t xml:space="preserve">Tsinghua Chip Veteran Unveils $1.8 Billion 3D AI Chip Startup Targeting China’s GPU Gap</w:t>
      </w:r>
    </w:p>
    <w:p>
      <w:pPr>
        <w:pStyle w:val="FirstParagraph"/>
      </w:pPr>
      <w:r>
        <w:t xml:space="preserve">Veteran semiconductor figure Shaojun Wei on July 3, 2026 formally unveiled Shanghai Orient Computing Core Technology Co., a 3D AI compute chip startup valued at CNY 12.2 billion (approximately USD 1.8 billion). Wei, a Tsinghua University chip veteran who also serves as vice chairman of the China Semiconductor Industry Association, is betting that advanced 3D stacking can help close China’s GPU supply gap at a time when U.S. export controls limit access to Nvidia’s most powerful accelerators.</w:t>
      </w:r>
    </w:p>
    <w:p>
      <w:pPr>
        <w:pStyle w:val="BodyText"/>
      </w:pPr>
      <w:r>
        <w:t xml:space="preserve">Wei has argued that a</w:t>
      </w:r>
      <w:r>
        <w:t xml:space="preserve"> </w:t>
      </w:r>
      <w:r>
        <w:t xml:space="preserve">“fully controllable domestic solution”</w:t>
      </w:r>
      <w:r>
        <w:t xml:space="preserve"> </w:t>
      </w:r>
      <w:r>
        <w:t xml:space="preserve">could combine 14nm logic with 18nm DRAM using 3D hybrid bonding, and he has publicly sketched a design offering roughly 120 TFLOPS at about 60 watts — an efficiency of some 2 TFLOPS per watt. The approach mirrors the Huawei-style chip-stacking strategy increasingly seen as a path for China to rival Nvidia’s Blackwell-class GPUs without matching leading-edge lithography. Shanghai Orient’s launch places a well-known academic name and a substantial valuation behind that thesis.</w:t>
      </w:r>
    </w:p>
    <w:p>
      <w:pPr>
        <w:pStyle w:val="BodyText"/>
      </w:pPr>
      <w:r>
        <w:rPr>
          <w:b/>
          <w:bCs/>
        </w:rPr>
        <w:t xml:space="preserve">References</w:t>
      </w:r>
      <w:r>
        <w:t xml:space="preserve"> </w:t>
      </w:r>
      <w:r>
        <w:t xml:space="preserve">[14] DIGITIMES. (2026, July 3). Tsinghua chip veteran’s US$1.8bn 3D AI chip startup targets China’s GPU gap. https://www.digitimes.com/news/a20260703PD217/ai-chip-startup-3d-technology-shanghai.html</w:t>
      </w:r>
      <w:r>
        <w:t xml:space="preserve"> </w:t>
      </w:r>
      <w:r>
        <w:t xml:space="preserve">[15] Tom’s Hardware. (2025, November). China’s hybrid-bonded AI accelerators could rival Nvidia’s Blackwell GPUs. https://www.tomshardware.com/tech-industry/artificial-intelligence/chinas-hybrid-bonded-ai-accelerators-could-rival-nvidias-blackwell-gpus-top-semiconductor-expert-hints-at-fully-controllable-domestic-solution</w:t>
      </w:r>
    </w:p>
    <w:p>
      <w:r>
        <w:pict>
          <v:rect style="width:0;height:1.5pt" o:hralign="center" o:hrstd="t" o:hr="t"/>
        </w:pict>
      </w:r>
    </w:p>
    <w:p>
      <w:pPr>
        <w:pStyle w:val="FirstParagraph"/>
      </w:pPr>
      <w:r>
        <w:rPr>
          <w:i/>
          <w:iCs/>
        </w:rPr>
        <w:t xml:space="preserve">Note: only 2 stories met T1-T4 standards for this category today.</w:t>
      </w:r>
    </w:p>
    <w:bookmarkEnd w:id="17"/>
    <w:bookmarkEnd w:id="18"/>
    <w:bookmarkStart w:id="22" w:name="society-livelihood"/>
    <w:p>
      <w:pPr>
        <w:pStyle w:val="Heading2"/>
      </w:pPr>
      <w:r>
        <w:t xml:space="preserve">4. Society &amp; Livelihood</w:t>
      </w:r>
    </w:p>
    <w:bookmarkStart w:id="19" w:name="X3e2f32fd79b9538cf955e3ee93dcc319ffb4675"/>
    <w:p>
      <w:pPr>
        <w:pStyle w:val="Heading3"/>
      </w:pPr>
      <w:r>
        <w:t xml:space="preserve">Tibetan Activist Dies After Setting Himself on Fire Outside UN Headquarters in New York</w:t>
      </w:r>
    </w:p>
    <w:p>
      <w:pPr>
        <w:pStyle w:val="FirstParagraph"/>
      </w:pPr>
      <w:r>
        <w:t xml:space="preserve">A man identified as Logba Rangzen — also referred to as Lobsang Palden in some reports — died on July 3, 2026 after self-immolating outside United Nations headquarters in New York in protest of Chinese rule over Tibet. Law enforcement responded to a 911 call at approximately 6:30 p.m. local time and found a 52-year-old male with severe burns across his body; an Uber driver who had been in the United States for approximately two decades, he was transported to Bellevue Hospital, where he was pronounced dead. A sign reading</w:t>
      </w:r>
      <w:r>
        <w:t xml:space="preserve"> </w:t>
      </w:r>
      <w:r>
        <w:t xml:space="preserve">“China Out of Tibet”</w:t>
      </w:r>
      <w:r>
        <w:t xml:space="preserve"> </w:t>
      </w:r>
      <w:r>
        <w:t xml:space="preserve">was found at the scene.</w:t>
      </w:r>
    </w:p>
    <w:p>
      <w:pPr>
        <w:pStyle w:val="BodyText"/>
      </w:pPr>
      <w:r>
        <w:t xml:space="preserve">Lobsang Paljor, a fellow Uber driver, said the man</w:t>
      </w:r>
      <w:r>
        <w:t xml:space="preserve"> </w:t>
      </w:r>
      <w:r>
        <w:t xml:space="preserve">“was enraged by the restrictions the Chinese government had placed on his countrymen.”</w:t>
      </w:r>
      <w:r>
        <w:t xml:space="preserve"> </w:t>
      </w:r>
      <w:r>
        <w:t xml:space="preserve">Tencho Gyatso, president of the International Campaign for Tibet, called him</w:t>
      </w:r>
      <w:r>
        <w:t xml:space="preserve"> </w:t>
      </w:r>
      <w:r>
        <w:t xml:space="preserve">“a tireless advocate for Tibet.”</w:t>
      </w:r>
      <w:r>
        <w:t xml:space="preserve"> </w:t>
      </w:r>
      <w:r>
        <w:t xml:space="preserve">The death came two days after China’s new Ethnic Unity and Progress Promotion Law entered into force on July 1, 2026. Since March 2009, more than 150 individuals have been documented to have self-immolated within Tibet.</w:t>
      </w:r>
    </w:p>
    <w:p>
      <w:pPr>
        <w:pStyle w:val="BodyText"/>
      </w:pPr>
      <w:r>
        <w:rPr>
          <w:b/>
          <w:bCs/>
        </w:rPr>
        <w:t xml:space="preserve">References</w:t>
      </w:r>
      <w:r>
        <w:t xml:space="preserve"> </w:t>
      </w:r>
      <w:r>
        <w:t xml:space="preserve">[16] CNN. (2026, July 3). Man dies after self-immolating outside UN headquarters in protest over Tibet. https://www.cnn.com/2026/07/03/us/united-nations-self-immolation-tibet-intl-hnk</w:t>
      </w:r>
      <w:r>
        <w:t xml:space="preserve"> </w:t>
      </w:r>
      <w:r>
        <w:t xml:space="preserve">[17] The Jerusalem Post. (2026, July 3). Man self-immolates outside UN headquarters. https://www.jpost.com/international/article-901307</w:t>
      </w:r>
      <w:r>
        <w:t xml:space="preserve"> </w:t>
      </w:r>
      <w:r>
        <w:t xml:space="preserve">[18] International Business Times. (2026, July 3). Tibetan activist self-immolation at UN headquarters. https://www.ibtimes.co.uk/tibetan-activist-self-immolation-un-headquarters-1806586</w:t>
      </w:r>
      <w:r>
        <w:t xml:space="preserve"> </w:t>
      </w:r>
      <w:r>
        <w:t xml:space="preserve">[19] amNewYork. (2026, July 3). Man self-immolates at United Nations in protest of Tibetan occupation. https://www.amny.com/new-york/manhattan/nyc-neighborhoods/midtown-manhattan/man-self-immolates-united-nations-protest-tibetan-occupation/</w:t>
      </w:r>
    </w:p>
    <w:p>
      <w:r>
        <w:pict>
          <v:rect style="width:0;height:1.5pt" o:hralign="center" o:hrstd="t" o:hr="t"/>
        </w:pict>
      </w:r>
    </w:p>
    <w:bookmarkEnd w:id="19"/>
    <w:bookmarkStart w:id="20" w:name="X2d1121feac3e0c81be820ed90037fe0739e687f"/>
    <w:p>
      <w:pPr>
        <w:pStyle w:val="Heading3"/>
      </w:pPr>
      <w:r>
        <w:t xml:space="preserve">Hong Kong Dissident Bookseller Lam Wing-kee, Once Detained by China, Dies in Taiwan at Age 70</w:t>
      </w:r>
    </w:p>
    <w:p>
      <w:pPr>
        <w:pStyle w:val="FirstParagraph"/>
      </w:pPr>
      <w:r>
        <w:t xml:space="preserve">Lam Wing-kee, one of the five booksellers associated with Causeway Bay Books in Hong Kong who disappeared in late 2015, died on Thursday, July 3, 2026 at Mackay Memorial Hospital in Taipei after a battle with lung adenocarcinoma. He was 70 years old. Lam was detained in mainland China and interrogated for months, and was made to deliver a televised confession that he later recanted as coerced. He was released to Hong Kong in June 2016 on condition that he return to the mainland with a hard drive of customer names; instead, he broke bail and went public with his account.</w:t>
      </w:r>
    </w:p>
    <w:p>
      <w:pPr>
        <w:pStyle w:val="BodyText"/>
      </w:pPr>
      <w:r>
        <w:t xml:space="preserve">In April 2019, amid Hong Kong’s announcement of extradition legislation, Lam fled to Taiwan, and in 2020 he reopened Causeway Bay Books in Taipei. Former Hong Kong pro-democracy lawmaker Claudia Mo confirmed his death, writing,</w:t>
      </w:r>
      <w:r>
        <w:t xml:space="preserve"> </w:t>
      </w:r>
      <w:r>
        <w:t xml:space="preserve">“My friend Lam Wing Kee of #CausewayBayBooks died of lung cancer in Taipei today.”</w:t>
      </w:r>
      <w:r>
        <w:t xml:space="preserve"> </w:t>
      </w:r>
      <w:r>
        <w:t xml:space="preserve">Taiwan President Lai Ching-te said Lam’s life</w:t>
      </w:r>
      <w:r>
        <w:t xml:space="preserve"> </w:t>
      </w:r>
      <w:r>
        <w:t xml:space="preserve">“bore witness to the value of freedom of expression.”</w:t>
      </w:r>
    </w:p>
    <w:p>
      <w:pPr>
        <w:pStyle w:val="BodyText"/>
      </w:pPr>
      <w:r>
        <w:rPr>
          <w:b/>
          <w:bCs/>
        </w:rPr>
        <w:t xml:space="preserve">References</w:t>
      </w:r>
      <w:r>
        <w:t xml:space="preserve"> </w:t>
      </w:r>
      <w:r>
        <w:t xml:space="preserve">[20] Hong Kong Free Press. (2026, July 3). Hong Kong bookseller Lam Wing-kee, once held in China, dies in Taiwan. https://hongkongfp.com/2026/07/03/hong-kong-bookseller-lam-wing-kee-once-held-in-china-dies-in-taiwan/</w:t>
      </w:r>
      <w:r>
        <w:t xml:space="preserve"> </w:t>
      </w:r>
      <w:r>
        <w:t xml:space="preserve">[21] The Washington Post. (2026, July 3). Lam Wing-kee, Hong Kong bookseller detained by China, dies in Taiwan. https://www.washingtonpost.com/world/2026/07/03/lam-wingkee-hong-kong-bookseller-dies-taiwan/</w:t>
      </w:r>
      <w:r>
        <w:t xml:space="preserve"> </w:t>
      </w:r>
      <w:r>
        <w:t xml:space="preserve">[22] NPR. (2026, July 3). Ex-HK bookseller Lam Wing-kee, detained by China in 2015, dies in Taiwan at 70. https://www.npr.org/2026/07/03/g-s1-131904/ex-hk-bookseller-lam-wing-kee-detained-by-china-in-2015-dies-in-taiwan-at-70</w:t>
      </w:r>
    </w:p>
    <w:p>
      <w:r>
        <w:pict>
          <v:rect style="width:0;height:1.5pt" o:hralign="center" o:hrstd="t" o:hr="t"/>
        </w:pict>
      </w:r>
    </w:p>
    <w:bookmarkEnd w:id="20"/>
    <w:bookmarkStart w:id="21" w:name="X413c09ea1c1d795fc1b2a6e773bbcffc3f06454"/>
    <w:p>
      <w:pPr>
        <w:pStyle w:val="Heading3"/>
      </w:pPr>
      <w:r>
        <w:t xml:space="preserve">Typhoon Maysak Makes Landfall on Hainan, China Activates Level-IV Flood and Typhoon Emergency Response</w:t>
      </w:r>
    </w:p>
    <w:p>
      <w:pPr>
        <w:pStyle w:val="FirstParagraph"/>
      </w:pPr>
      <w:r>
        <w:t xml:space="preserve">Tropical Storm Maysak (No. 2610, Chinese name </w:t>
      </w:r>
      <w:r>
        <w:rPr>
          <w:rFonts w:hint="eastAsia"/>
        </w:rPr>
        <w:t xml:space="preserve">美莎克)</w:t>
      </w:r>
      <w:r>
        <w:t xml:space="preserve"> made landfall on Hainan Island on July 3, 2026. It strengthened early that day to a tropical storm carrying Force 8 winds (18 m/s maximum) while positioned approximately 140 km south-southeast of Lingshui County, and forecasters expected it to reach Force 9-10 winds (23-25 m/s) before coming ashore along the Sanya-to-Qionghai coastline. The Central Meteorological Observatory forecast extremely heavy rainfall of 250-300 mm in southern Hainan for the 24-hour period from 08:00 July 3 to 08:00 July 4, with broader accumulations of 200-400 mm through July 6.</w:t>
      </w:r>
    </w:p>
    <w:p>
      <w:pPr>
        <w:pStyle w:val="BodyText"/>
      </w:pPr>
      <w:r>
        <w:t xml:space="preserve">Transport was locked down ahead of the storm. All three Haikou ports — Xinhai, Xiuying and Railway Nangang — suspended Qiongzhou Strait ferry crossings through the night of July 4, and all island train services were suspended July 3-4. The State Flood Control and Drought Relief Headquarters activated a national Level-IV emergency response, and authorities in six provinces — Hainan, Guangdong, Guangxi, Guizhou, Hunan and Yunnan — were directed to strengthen monitoring. No casualty figures were reported at publication.</w:t>
      </w:r>
    </w:p>
    <w:p>
      <w:pPr>
        <w:pStyle w:val="BodyText"/>
      </w:pPr>
      <w:r>
        <w:rPr>
          <w:b/>
          <w:bCs/>
        </w:rPr>
        <w:t xml:space="preserve">References</w:t>
      </w:r>
      <w:r>
        <w:t xml:space="preserve"> </w:t>
      </w:r>
      <w:r>
        <w:t xml:space="preserve">[23] Tropical Hainan. (2026, July 3). Hainan typhoon advisory update: Maysak brings ferry suspensions, rail disruption and heavy rain. https://www.tropicalhainan.com/hainan-typhoon-advisory-update-maysak-brings-ferry-suspensions-rail-disruption-and-heavy-rain/</w:t>
      </w:r>
      <w:r>
        <w:t xml:space="preserve"> </w:t>
      </w:r>
      <w:r>
        <w:t xml:space="preserve">[24] The Nation. (2026, July 3). Typhoon Maysak lashes Hainan. https://www.nationthailand.com/news/world/40068199</w:t>
      </w:r>
    </w:p>
    <w:p>
      <w:r>
        <w:pict>
          <v:rect style="width:0;height:1.5pt" o:hralign="center" o:hrstd="t" o:hr="t"/>
        </w:pict>
      </w:r>
    </w:p>
    <w:bookmarkEnd w:id="21"/>
    <w:bookmarkEnd w:id="22"/>
    <w:bookmarkStart w:id="25" w:name="china-nexus-finance-investment"/>
    <w:p>
      <w:pPr>
        <w:pStyle w:val="Heading2"/>
      </w:pPr>
      <w:r>
        <w:t xml:space="preserve">5. China-Nexus Finance &amp; Investment</w:t>
      </w:r>
    </w:p>
    <w:bookmarkStart w:id="23" w:name="X235886728cceb723ffe7d63a87b27b4901a6333"/>
    <w:p>
      <w:pPr>
        <w:pStyle w:val="Heading3"/>
      </w:pPr>
      <w:r>
        <w:t xml:space="preserve">India and Japan Deepen Defense and Economic Ties to Reduce China Supply Chain Dependence</w:t>
      </w:r>
    </w:p>
    <w:p>
      <w:pPr>
        <w:pStyle w:val="FirstParagraph"/>
      </w:pPr>
      <w:r>
        <w:t xml:space="preserve">Prime Minister Narendra Modi and Japanese Prime Minister Sanae Takaichi concluded the 16th India-Japan Annual Summit in New Delhi on July 3, 2026 — Takaichi’s first visit to India since taking office — agreeing to deepen cooperation on defence, economic security, artificial intelligence, clean energy, high-speed rail and resilient supply chains. The two sides reaffirmed the ¥10 trillion Japanese investment target, with Modi urging that it be surpassed over the next decade. Japan pledged to more than double total investments to exceed $61 billion over the next decade; approximately 1,400 Japanese companies already operate in India, and two-way trade reached $27.5 billion in India’s 2025-26 fiscal year.</w:t>
      </w:r>
    </w:p>
    <w:p>
      <w:pPr>
        <w:pStyle w:val="BodyText"/>
      </w:pPr>
      <w:r>
        <w:t xml:space="preserve">The leaders signed a joint declaration on economic security, building on a strategic dialogue on semiconductors and critical minerals established in 2025 to reduce supply-chain dependence on China.</w:t>
      </w:r>
      <w:r>
        <w:t xml:space="preserve"> </w:t>
      </w:r>
      <w:r>
        <w:t xml:space="preserve">“India and Japan view economic security as a shared security interest,”</w:t>
      </w:r>
      <w:r>
        <w:t xml:space="preserve"> </w:t>
      </w:r>
      <w:r>
        <w:t xml:space="preserve">Modi said, while Takaichi stressed that</w:t>
      </w:r>
      <w:r>
        <w:t xml:space="preserve"> </w:t>
      </w:r>
      <w:r>
        <w:t xml:space="preserve">“expansion of maritime security cooperation is especially important for regional peace and stability.”</w:t>
      </w:r>
      <w:r>
        <w:t xml:space="preserve"> </w:t>
      </w:r>
      <w:r>
        <w:t xml:space="preserve">China’s Foreign Ministry spokesperson Guo Jiakun responded that</w:t>
      </w:r>
      <w:r>
        <w:t xml:space="preserve"> </w:t>
      </w:r>
      <w:r>
        <w:t xml:space="preserve">“Asia-Pacific needs stability, not turmoil.”</w:t>
      </w:r>
      <w:r>
        <w:t xml:space="preserve"> </w:t>
      </w:r>
      <w:r>
        <w:t xml:space="preserve">The Mumbai-Ahmedabad High Speed Rail project was confirmed with a 2027 operations launch target.</w:t>
      </w:r>
    </w:p>
    <w:p>
      <w:pPr>
        <w:pStyle w:val="BodyText"/>
      </w:pPr>
      <w:r>
        <w:rPr>
          <w:b/>
          <w:bCs/>
        </w:rPr>
        <w:t xml:space="preserve">References</w:t>
      </w:r>
      <w:r>
        <w:t xml:space="preserve"> </w:t>
      </w:r>
      <w:r>
        <w:t xml:space="preserve">[25] The Week. (2026, July 3). Modi, Takaichi set investment goal at India-Japan summit. https://www.theweek.in/news/biz-tech/2026/07/03/modi-takaichi-investment-goal.html</w:t>
      </w:r>
      <w:r>
        <w:t xml:space="preserve"> </w:t>
      </w:r>
      <w:r>
        <w:t xml:space="preserve">[26] Bloomberg. (2026, July 3). Modi, Takaichi look to strengthen ties as China concerns loom. https://www.bloomberg.com/news/newsletters/2026-07-03/modi-takaichi-look-to-strengthen-ties-as-china-concerns-loom</w:t>
      </w:r>
      <w:r>
        <w:t xml:space="preserve"> </w:t>
      </w:r>
      <w:r>
        <w:t xml:space="preserve">[27] ABC News. (2026, July 3). India’s Modi, Japan’s Takaichi expand defense, economic security ties. https://abcnews.com/Business/wireStory/indias-modi-japans-takaichi-expand-defense-economic-security-134401908</w:t>
      </w:r>
      <w:r>
        <w:t xml:space="preserve"> </w:t>
      </w:r>
      <w:r>
        <w:t xml:space="preserve">[28] The Japan Times. (2026, July 2). Japan-India summit meeting. https://www.japantimes.co.jp/news/2026/07/02/japan/politics/japan-india-summit-meeting/</w:t>
      </w:r>
    </w:p>
    <w:p>
      <w:r>
        <w:pict>
          <v:rect style="width:0;height:1.5pt" o:hralign="center" o:hrstd="t" o:hr="t"/>
        </w:pict>
      </w:r>
    </w:p>
    <w:bookmarkEnd w:id="23"/>
    <w:bookmarkStart w:id="24" w:name="X38688a371e65a768b2064477b6f83412c64ecd6"/>
    <w:p>
      <w:pPr>
        <w:pStyle w:val="Heading3"/>
      </w:pPr>
      <w:r>
        <w:t xml:space="preserve">China’s Trade Surplus Near Record Highs While Household Consumption Contracts, Westpac Warns</w:t>
      </w:r>
    </w:p>
    <w:p>
      <w:pPr>
        <w:pStyle w:val="FirstParagraph"/>
      </w:pPr>
      <w:r>
        <w:t xml:space="preserve">In a July 3, 2026 weekly economic note titled</w:t>
      </w:r>
      <w:r>
        <w:t xml:space="preserve"> </w:t>
      </w:r>
      <w:r>
        <w:t xml:space="preserve">“China’s greatest opportunity and biggest threat,”</w:t>
      </w:r>
      <w:r>
        <w:t xml:space="preserve"> </w:t>
      </w:r>
      <w:r>
        <w:t xml:space="preserve">Westpac Head of International Economics Elliot Clarke analysed the widening gap between China’s export strength and its weak domestic demand. The monthly trade surplus rebounded from USD 51 billion in March 2026 to USD 85 billion in April and USD 105 billion in May, lifting the year-to-date average to USD 91 billion — close to 2025’s record USD 99 billion average and roughly triple 2019’s USD 35 billion average. May export growth reached 19 percent year-on-year.</w:t>
      </w:r>
    </w:p>
    <w:p>
      <w:pPr>
        <w:pStyle w:val="BodyText"/>
      </w:pPr>
      <w:r>
        <w:t xml:space="preserve">Domestic demand tells the opposite story. Annual nominal retail sales contracted by -0.6 percent, and fixed asset investment fell 4.1 percent year-to-date through May. Clarke projected two paths for 2026 GDP: 4.5 percent or above if a consumer recovery materialises, or a slowdown toward 4.0 percent if authorities only limit downside risks. If a consumer recovery succeeds through 2028, he argued, the renminbi could appreciate toward USD 6.30. Clarke framed the tension bluntly:</w:t>
      </w:r>
      <w:r>
        <w:t xml:space="preserve"> </w:t>
      </w:r>
      <w:r>
        <w:t xml:space="preserve">“China’s greatest opportunity is also its biggest threat – a recovery in the Chinese consumer.”</w:t>
      </w:r>
    </w:p>
    <w:p>
      <w:pPr>
        <w:pStyle w:val="BodyText"/>
      </w:pPr>
      <w:r>
        <w:rPr>
          <w:b/>
          <w:bCs/>
        </w:rPr>
        <w:t xml:space="preserve">References</w:t>
      </w:r>
      <w:r>
        <w:t xml:space="preserve"> </w:t>
      </w:r>
      <w:r>
        <w:t xml:space="preserve">[29] Westpac IQ. (2026, July 3). Weekly note — Elliot Clarke, 3 July 2026. https://www.westpaciq.com.au/economics/2026/07/weekly-note-elliot-3-july-2026</w:t>
      </w:r>
      <w:r>
        <w:t xml:space="preserve"> </w:t>
      </w:r>
      <w:r>
        <w:t xml:space="preserve">[30] Editorji. (2026, June). Geopolitical risks loom on China’s exports, AI-fuelled boom powers trade surplus to USD 105 billion in May. https://www.editorji.com/amp/business-news/chinas-may-2026-export-surge-driven-by-ai-1781159273796</w:t>
      </w:r>
    </w:p>
    <w:p>
      <w:r>
        <w:pict>
          <v:rect style="width:0;height:1.5pt" o:hralign="center" o:hrstd="t" o:hr="t"/>
        </w:pict>
      </w:r>
    </w:p>
    <w:p>
      <w:pPr>
        <w:pStyle w:val="FirstParagraph"/>
      </w:pPr>
      <w:r>
        <w:rPr>
          <w:i/>
          <w:iCs/>
        </w:rPr>
        <w:t xml:space="preserve">Note: only 2 stories met T1-T4 standards for this category today.</w:t>
      </w:r>
    </w:p>
    <w:bookmarkEnd w:id="24"/>
    <w:bookmarkEnd w:id="25"/>
    <w:bookmarkStart w:id="27" w:name="corporate-ipo-ma"/>
    <w:p>
      <w:pPr>
        <w:pStyle w:val="Heading2"/>
      </w:pPr>
      <w:r>
        <w:t xml:space="preserve">6. Corporate IPO &amp; M&amp;A</w:t>
      </w:r>
    </w:p>
    <w:bookmarkStart w:id="26" w:name="X746d81cedf0e6ce79d9ffbc75d03ad0a72c2356"/>
    <w:p>
      <w:pPr>
        <w:pStyle w:val="Heading3"/>
      </w:pPr>
      <w:r>
        <w:t xml:space="preserve">Kuaishou Files $2.8 Billion Kling AI Funding Round to HKEX, Targets Hong Kong IPO Within 12 Months</w:t>
      </w:r>
    </w:p>
    <w:p>
      <w:pPr>
        <w:pStyle w:val="FirstParagraph"/>
      </w:pPr>
      <w:r>
        <w:t xml:space="preserve">Kuaishou Technology filed disclosure with the Hong Kong Stock Exchange on July 3, 2026 confirming that its AI video generation subsidiary Kling AI had closed a funding round raising approximately 19 billion yuan ($2.79 billion) at a post-money valuation of approximately $18 billion — a global record for a video large-model company. The round was co-led by CPE, Guofang Venture Capital, BlueFive, Tencent, CITIC Securities and the Zhongguancun Science City Fund alongside CAS Investment, with at least 38 investors participating in total. Tencent contributed $200 million, and Alibaba Cloud, Baidu and Huace Film &amp; TV also joined. Kuaishou retains a 68.33 percent controlling stake in Kling AI post-transaction.</w:t>
      </w:r>
    </w:p>
    <w:p>
      <w:pPr>
        <w:pStyle w:val="BodyText"/>
      </w:pPr>
      <w:r>
        <w:t xml:space="preserve">The financing sets up a carve-out. Kuaishou said it expects to initiate the Hong Kong listing process for Kling AI within the next 12 months, with proceeds earmarked for computing infrastructure, data centre construction and talent. The unit’s economics support the ambition: Kling AI’s Q1 2026 revenue exceeded 650 million yuan ($95.8 million), up more than 300 percent year-on-year, with an annualized run rate of $500 million.</w:t>
      </w:r>
    </w:p>
    <w:p>
      <w:pPr>
        <w:pStyle w:val="BodyText"/>
      </w:pPr>
      <w:r>
        <w:rPr>
          <w:b/>
          <w:bCs/>
        </w:rPr>
        <w:t xml:space="preserve">References</w:t>
      </w:r>
      <w:r>
        <w:t xml:space="preserve"> </w:t>
      </w:r>
      <w:r>
        <w:t xml:space="preserve">[31] CNBC. (2026, July 3). Kuaishou shares fall after securing Tencent funding for Kling AI. https://www.cnbc.com/2026/07/03/kuaishou-shares-fall-after-securing-tencent-funding-for-kling-ai.html</w:t>
      </w:r>
      <w:r>
        <w:t xml:space="preserve"> </w:t>
      </w:r>
      <w:r>
        <w:t xml:space="preserve">[32] Bloomberg. (2026, July 2). China’s Kling AI raises $2 billion to expand AI video operations. https://www.bloomberg.com/news/articles/2026-07-02/china-s-kling-ai-raises-2-billion-to-expand-ai-video-operations</w:t>
      </w:r>
    </w:p>
    <w:p>
      <w:r>
        <w:pict>
          <v:rect style="width:0;height:1.5pt" o:hralign="center" o:hrstd="t" o:hr="t"/>
        </w:pict>
      </w:r>
    </w:p>
    <w:p>
      <w:pPr>
        <w:pStyle w:val="FirstParagraph"/>
      </w:pPr>
      <w:r>
        <w:rPr>
          <w:i/>
          <w:iCs/>
        </w:rPr>
        <w:t xml:space="preserve">Note: only 1 story met T1-T4 standards for this category today.</w:t>
      </w:r>
    </w:p>
    <w:bookmarkEnd w:id="26"/>
    <w:bookmarkEnd w:id="27"/>
    <w:bookmarkStart w:id="29" w:name="other-notable-events"/>
    <w:p>
      <w:pPr>
        <w:pStyle w:val="Heading2"/>
      </w:pPr>
      <w:r>
        <w:t xml:space="preserve">7. Other Notable Events</w:t>
      </w:r>
    </w:p>
    <w:bookmarkStart w:id="28" w:name="X7959649cf1876f5bb792404cbed0b7d5247f9ef"/>
    <w:p>
      <w:pPr>
        <w:pStyle w:val="Heading3"/>
      </w:pPr>
      <w:r>
        <w:t xml:space="preserve">Beijing Plane Crash Grounds China’s Flying Taxi Ambitions as Safety Gaps Emerge</w:t>
      </w:r>
    </w:p>
    <w:p>
      <w:pPr>
        <w:pStyle w:val="FirstParagraph"/>
      </w:pPr>
      <w:r>
        <w:t xml:space="preserve">A Bloomberg newsletter published July 3, 2026 examined how a light aircraft crash into the 109-story CITIC Tower (China Zun) in Beijing on June 26 has clouded China’s</w:t>
      </w:r>
      <w:r>
        <w:t xml:space="preserve"> </w:t>
      </w:r>
      <w:r>
        <w:t xml:space="preserve">“low-altitude economy”</w:t>
      </w:r>
      <w:r>
        <w:t xml:space="preserve"> </w:t>
      </w:r>
      <w:r>
        <w:t xml:space="preserve">ambitions, including commercial flying taxis and eVTOLs. The single-engine light aircraft — reported to be a Sunward SA 60L Aurora light-sport plane owned by a local aviation company — was piloted by a 66-year-old man surnamed Liu, who authorities said had long suffered from insomnia and anxiety. Liu deviated from his approved flight area, lost contact with the airport and flew into the skyscraper during Friday evening rush hour, causing his death and injuring 13 people. Flying any light aircraft in Beijing requires approval from both the Civil Aviation Administration of China and the People’s Liberation Army Air Force, and references to the crash were quickly scrubbed from Chinese social media.</w:t>
      </w:r>
    </w:p>
    <w:p>
      <w:pPr>
        <w:pStyle w:val="BodyText"/>
      </w:pPr>
      <w:r>
        <w:t xml:space="preserve">The incident lands at a delicate moment. China commenced implementation of revised aviation rules in July 2026 requiring drone design, manufacturing and operations to obtain CAAC certification, and the low-altitude aviation sector has been designated a strategic priority in China’s 15th Five-Year Plan (2026-2030). The crash has exposed safety gaps in a corner of aviation Beijing wants to turn into a growth engine.</w:t>
      </w:r>
    </w:p>
    <w:p>
      <w:pPr>
        <w:pStyle w:val="BodyText"/>
      </w:pPr>
      <w:r>
        <w:rPr>
          <w:b/>
          <w:bCs/>
        </w:rPr>
        <w:t xml:space="preserve">References</w:t>
      </w:r>
      <w:r>
        <w:t xml:space="preserve"> </w:t>
      </w:r>
      <w:r>
        <w:t xml:space="preserve">[33] Bloomberg. (2026, July 3). Plane crash in Beijing grounds China’s flying taxi dream. https://www.bloomberg.com/news/newsletters/2026-07-03/plane-crash-in-beijing-grounds-china-s-flying-taxi-dream</w:t>
      </w:r>
      <w:r>
        <w:t xml:space="preserve"> </w:t>
      </w:r>
      <w:r>
        <w:t xml:space="preserve">[34] U.S. News &amp; World Report. (2026, July 1). Beijing plane crash clouds China’s low-altitude flights, uncovers safety gaps. https://www.usnews.com/news/world/articles/2026-07-01/beijing-plane-crash-clouds-chinas-low-altitude-flights-uncovers-safety-gaps</w:t>
      </w:r>
      <w:r>
        <w:t xml:space="preserve"> </w:t>
      </w:r>
      <w:r>
        <w:t xml:space="preserve">[35] Quartz. (2026, June). eVTOL first crash: reputational risk for the air-taxi industry. https://qz.com/evtol-first-crash-reputational-risk-air-taxi-industry-062226</w:t>
      </w:r>
    </w:p>
    <w:p>
      <w:r>
        <w:pict>
          <v:rect style="width:0;height:1.5pt" o:hralign="center" o:hrstd="t" o:hr="t"/>
        </w:pict>
      </w:r>
    </w:p>
    <w:p>
      <w:pPr>
        <w:pStyle w:val="FirstParagraph"/>
      </w:pPr>
      <w:r>
        <w:rPr>
          <w:i/>
          <w:iCs/>
        </w:rPr>
        <w:t xml:space="preserve">Note: only 1 story met T1-T4 standards for this category today.</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2026-07-03T09:15:18Z</dcterms:created>
  <dcterms:modified xsi:type="dcterms:W3CDTF">2026-07-03T09:15:18Z</dcterms:modified>
</cp:coreProperties>
</file>

<file path=docProps/custom.xml><?xml version="1.0" encoding="utf-8"?>
<Properties xmlns="http://schemas.openxmlformats.org/officeDocument/2006/custom-properties" xmlns:vt="http://schemas.openxmlformats.org/officeDocument/2006/docPropsVTypes"/>
</file>