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英国每日热点新闻-2026年7月1日"/>
    <w:p>
      <w:pPr>
        <w:pStyle w:val="Heading1"/>
      </w:pPr>
      <w:r>
        <w:rPr>
          <w:rFonts w:hint="eastAsia"/>
        </w:rPr>
        <w:t xml:space="preserve">英国每日热点新闻</w:t>
      </w:r>
      <w:r>
        <w:t xml:space="preserve"> — </w:t>
      </w:r>
      <w:r>
        <w:rPr>
          <w:rFonts w:hint="eastAsia"/>
        </w:rPr>
        <w:t xml:space="preserve">2026年7月1日</w:t>
      </w:r>
    </w:p>
    <w:bookmarkStart w:id="12" w:name="一经济与市场"/>
    <w:p>
      <w:pPr>
        <w:pStyle w:val="Heading2"/>
      </w:pPr>
      <w:r>
        <w:rPr>
          <w:rFonts w:hint="eastAsia"/>
        </w:rPr>
        <w:t xml:space="preserve">一、经济与市场</w:t>
      </w:r>
    </w:p>
    <w:bookmarkStart w:id="9" w:name="英国6月制造业pmi连续第二个月站上荣枯线出口订单回落"/>
    <w:p>
      <w:pPr>
        <w:pStyle w:val="Heading3"/>
      </w:pPr>
      <w:r>
        <w:rPr>
          <w:rFonts w:hint="eastAsia"/>
        </w:rPr>
        <w:t xml:space="preserve">英国6月制造业PMI连续第二个月站上荣枯线，出口订单回落</w:t>
      </w:r>
    </w:p>
    <w:p>
      <w:pPr>
        <w:pStyle w:val="FirstParagraph"/>
      </w:pPr>
      <w:r>
        <w:t xml:space="preserve">S&amp;P Global </w:t>
      </w:r>
      <w:r>
        <w:rPr>
          <w:rFonts w:hint="eastAsia"/>
        </w:rPr>
        <w:t xml:space="preserve">编制的英国6月制造业采购经理人指数（PMI）7月1日公布，录得</w:t>
      </w:r>
      <w:r>
        <w:t xml:space="preserve"> </w:t>
      </w:r>
      <w:r>
        <w:rPr>
          <w:rFonts w:hint="eastAsia"/>
        </w:rPr>
        <w:t xml:space="preserve">52.5，连续第二个月高于</w:t>
      </w:r>
      <w:r>
        <w:t xml:space="preserve"> 50 </w:t>
      </w:r>
      <w:r>
        <w:rPr>
          <w:rFonts w:hint="eastAsia"/>
        </w:rPr>
        <w:t xml:space="preserve">的荣枯分界线，好于市场对增速大幅放缓的预期。产出分项升至四个月高位，抵消了出口订单的下滑。</w:t>
      </w:r>
    </w:p>
    <w:p>
      <w:pPr>
        <w:pStyle w:val="BodyText"/>
      </w:pPr>
      <w:r>
        <w:rPr>
          <w:rFonts w:hint="eastAsia"/>
        </w:rPr>
        <w:t xml:space="preserve">出口新订单受美国关税不确定性拖累而回落，但国内订单在企业赶在关税生效前提前采购的支撑下保持坚挺。这一读数略低于5月的</w:t>
      </w:r>
      <w:r>
        <w:t xml:space="preserve"> </w:t>
      </w:r>
      <w:r>
        <w:rPr>
          <w:rFonts w:hint="eastAsia"/>
        </w:rPr>
        <w:t xml:space="preserve">52.8。制造商将货币波动、能源成本和供应链重新定价列为主要成本压力。</w:t>
      </w:r>
    </w:p>
    <w:p>
      <w:pPr>
        <w:pStyle w:val="BodyText"/>
      </w:pPr>
      <w:r>
        <w:rPr>
          <w:rFonts w:hint="eastAsia"/>
        </w:rPr>
        <w:t xml:space="preserve">年初英国制造业曾陷入收缩，PMI</w:t>
      </w:r>
      <w:r>
        <w:t xml:space="preserve"> </w:t>
      </w:r>
      <w:r>
        <w:rPr>
          <w:rFonts w:hint="eastAsia"/>
        </w:rPr>
        <w:t xml:space="preserve">连续两个月站上荣枯线，意味着行业正在企稳。不过美国关税政策带来的出口逆风，为三季度埋下下行风险。</w:t>
      </w:r>
    </w:p>
    <w:p>
      <w:pPr>
        <w:pStyle w:val="BodyText"/>
      </w:pPr>
      <w:r>
        <w:rPr>
          <w:b/>
          <w:bCs/>
        </w:rPr>
        <w:t xml:space="preserve">References</w:t>
      </w:r>
    </w:p>
    <w:p>
      <w:pPr>
        <w:pStyle w:val="BodyText"/>
      </w:pPr>
      <w:r>
        <w:t xml:space="preserve">[1] Reuters. (2026, July 1). UK manufacturing activity cools despite output rise. Yahoo Finance. https://finance.yahoo.com/economy/articles/uk-manufacturing-activity-cools-despite-083730950.html</w:t>
      </w:r>
    </w:p>
    <w:p>
      <w:r>
        <w:pict>
          <v:rect style="width:0;height:1.5pt" o:hralign="center" o:hrstd="t" o:hr="t"/>
        </w:pict>
      </w:r>
    </w:p>
    <w:bookmarkEnd w:id="9"/>
    <w:bookmarkStart w:id="10" w:name="英国钢铁贸易措施7月1日生效免税配额削减60超额部分征50关税"/>
    <w:p>
      <w:pPr>
        <w:pStyle w:val="Heading3"/>
      </w:pPr>
      <w:r>
        <w:rPr>
          <w:rFonts w:hint="eastAsia"/>
        </w:rPr>
        <w:t xml:space="preserve">英国钢铁贸易措施7月1日生效，免税配额削减60%，超额部分征50%关税</w:t>
      </w:r>
    </w:p>
    <w:p>
      <w:pPr>
        <w:pStyle w:val="FirstParagraph"/>
      </w:pPr>
      <w:r>
        <w:rPr>
          <w:rFonts w:hint="eastAsia"/>
        </w:rPr>
        <w:t xml:space="preserve">英国7月1日起以新的钢铁贸易措施（Steel</w:t>
      </w:r>
      <w:r>
        <w:t xml:space="preserve"> Trade </w:t>
      </w:r>
      <w:r>
        <w:rPr>
          <w:rFonts w:hint="eastAsia"/>
        </w:rPr>
        <w:t xml:space="preserve">Measure）取代原有的钢铁保障措施（Steel</w:t>
      </w:r>
      <w:r>
        <w:t xml:space="preserve"> Safeguard </w:t>
      </w:r>
      <w:r>
        <w:rPr>
          <w:rFonts w:hint="eastAsia"/>
        </w:rPr>
        <w:t xml:space="preserve">Measure），将整体免税进口配额较此前削减</w:t>
      </w:r>
      <w:r>
        <w:t xml:space="preserve"> </w:t>
      </w:r>
      <w:r>
        <w:rPr>
          <w:rFonts w:hint="eastAsia"/>
        </w:rPr>
        <w:t xml:space="preserve">60%，超出配额的进口将面临</w:t>
      </w:r>
      <w:r>
        <w:t xml:space="preserve"> 50% </w:t>
      </w:r>
      <w:r>
        <w:rPr>
          <w:rFonts w:hint="eastAsia"/>
        </w:rPr>
        <w:t xml:space="preserve">的额外关税。新措施覆盖</w:t>
      </w:r>
      <w:r>
        <w:t xml:space="preserve"> 15 </w:t>
      </w:r>
      <w:r>
        <w:rPr>
          <w:rFonts w:hint="eastAsia"/>
        </w:rPr>
        <w:t xml:space="preserve">个钢铁产品类别，由</w:t>
      </w:r>
      <w:r>
        <w:t xml:space="preserve"> UK Department for Business and Trade </w:t>
      </w:r>
      <w:r>
        <w:rPr>
          <w:rFonts w:hint="eastAsia"/>
        </w:rPr>
        <w:t xml:space="preserve">于7月1日在</w:t>
      </w:r>
      <w:r>
        <w:t xml:space="preserve"> gov.uk </w:t>
      </w:r>
      <w:r>
        <w:rPr>
          <w:rFonts w:hint="eastAsia"/>
        </w:rPr>
        <w:t xml:space="preserve">发布并同日生效。</w:t>
      </w:r>
    </w:p>
    <w:p>
      <w:pPr>
        <w:pStyle w:val="BodyText"/>
      </w:pPr>
      <w:r>
        <w:rPr>
          <w:rFonts w:hint="eastAsia"/>
        </w:rPr>
        <w:t xml:space="preserve">此前的保障措施对超额进口征收</w:t>
      </w:r>
      <w:r>
        <w:t xml:space="preserve"> 25% </w:t>
      </w:r>
      <w:r>
        <w:rPr>
          <w:rFonts w:hint="eastAsia"/>
        </w:rPr>
        <w:t xml:space="preserve">关税，将于6月30日到期且依规则不能再延长。新措施把超额税率翻倍至</w:t>
      </w:r>
      <w:r>
        <w:t xml:space="preserve"> </w:t>
      </w:r>
      <w:r>
        <w:rPr>
          <w:rFonts w:hint="eastAsia"/>
        </w:rPr>
        <w:t xml:space="preserve">50%，配额收紧幅度显著。历年来旧措施的配额被逐年放宽，保护力度不断削弱；行业组织</w:t>
      </w:r>
      <w:r>
        <w:t xml:space="preserve"> UK Steel </w:t>
      </w:r>
      <w:r>
        <w:rPr>
          <w:rFonts w:hint="eastAsia"/>
        </w:rPr>
        <w:t xml:space="preserve">一直呼吁重建更严格的机制，以支持闲置产能重启、把国内市场份额推向</w:t>
      </w:r>
      <w:r>
        <w:t xml:space="preserve"> 60%。</w:t>
      </w:r>
    </w:p>
    <w:p>
      <w:pPr>
        <w:pStyle w:val="BodyText"/>
      </w:pPr>
      <w:r>
        <w:rPr>
          <w:rFonts w:hint="eastAsia"/>
        </w:rPr>
        <w:t xml:space="preserve">新措施的出台正值全球钢铁产能过剩与美国关税环境叠加之际，构成对英国国内钢铁业进口保护的一次结构性收紧。</w:t>
      </w:r>
    </w:p>
    <w:p>
      <w:pPr>
        <w:pStyle w:val="BodyText"/>
      </w:pPr>
      <w:r>
        <w:rPr>
          <w:b/>
          <w:bCs/>
        </w:rPr>
        <w:t xml:space="preserve">References</w:t>
      </w:r>
    </w:p>
    <w:p>
      <w:pPr>
        <w:pStyle w:val="BodyText"/>
      </w:pPr>
      <w:r>
        <w:t xml:space="preserve">[2] UK Department for Business and Trade. (2026, July 1). UK’s steel trade measure from 1 July 2026. GOV.UK. https://www.gov.uk/government/publications/uks-steel-trade-measure-from-1-july-2026/uks-steel-trade-measure-from-1-july-2026</w:t>
      </w:r>
      <w:r>
        <w:t xml:space="preserve"> </w:t>
      </w:r>
      <w:r>
        <w:t xml:space="preserve">[3] House of Commons Library. (2026, June). UK steel safeguards. House of Commons Library. https://commonslibrary.parliament.uk/research-briefings/cbp-9596/</w:t>
      </w:r>
      <w:r>
        <w:t xml:space="preserve"> </w:t>
      </w:r>
      <w:r>
        <w:t xml:space="preserve">[4] UK Steel. (2026, June). Steel trade beyond 2026. UK Steel. https://www.uksteel.org/steel-trade</w:t>
      </w:r>
    </w:p>
    <w:p>
      <w:r>
        <w:pict>
          <v:rect style="width:0;height:1.5pt" o:hralign="center" o:hrstd="t" o:hr="t"/>
        </w:pict>
      </w:r>
    </w:p>
    <w:bookmarkEnd w:id="10"/>
    <w:bookmarkStart w:id="11" w:name="nationwide房价指数英国6月房价同比涨幅回升至2.2"/>
    <w:p>
      <w:pPr>
        <w:pStyle w:val="Heading3"/>
      </w:pPr>
      <w:r>
        <w:rPr>
          <w:rFonts w:hint="eastAsia"/>
        </w:rPr>
        <w:t xml:space="preserve">Nationwide房价指数：英国6月房价同比涨幅回升至2.2%</w:t>
      </w:r>
    </w:p>
    <w:p>
      <w:pPr>
        <w:pStyle w:val="FirstParagraph"/>
      </w:pPr>
      <w:r>
        <w:t xml:space="preserve">Nationwide </w:t>
      </w:r>
      <w:r>
        <w:rPr>
          <w:rFonts w:hint="eastAsia"/>
        </w:rPr>
        <w:t xml:space="preserve">房价指数7月1日显示，英国6月房价同比涨幅回升至</w:t>
      </w:r>
      <w:r>
        <w:t xml:space="preserve"> </w:t>
      </w:r>
      <w:r>
        <w:rPr>
          <w:rFonts w:hint="eastAsia"/>
        </w:rPr>
        <w:t xml:space="preserve">2.2%，高于5月的</w:t>
      </w:r>
      <w:r>
        <w:t xml:space="preserve"> </w:t>
      </w:r>
      <w:r>
        <w:rPr>
          <w:rFonts w:hint="eastAsia"/>
        </w:rPr>
        <w:t xml:space="preserve">1.7%。6月英国平均房价为</w:t>
      </w:r>
      <w:r>
        <w:t xml:space="preserve"> </w:t>
      </w:r>
      <w:r>
        <w:rPr>
          <w:rFonts w:hint="eastAsia"/>
        </w:rPr>
        <w:t xml:space="preserve">£277,484，较前月的</w:t>
      </w:r>
      <w:r>
        <w:t xml:space="preserve"> £278,024 </w:t>
      </w:r>
      <w:r>
        <w:rPr>
          <w:rFonts w:hint="eastAsia"/>
        </w:rPr>
        <w:t xml:space="preserve">微幅回落，经季节调整后环比基本持平。</w:t>
      </w:r>
    </w:p>
    <w:p>
      <w:pPr>
        <w:pStyle w:val="BodyText"/>
      </w:pPr>
      <w:r>
        <w:t xml:space="preserve">Q2 </w:t>
      </w:r>
      <w:r>
        <w:rPr>
          <w:rFonts w:hint="eastAsia"/>
        </w:rPr>
        <w:t xml:space="preserve">全部</w:t>
      </w:r>
      <w:r>
        <w:t xml:space="preserve"> 13 </w:t>
      </w:r>
      <w:r>
        <w:rPr>
          <w:rFonts w:hint="eastAsia"/>
        </w:rPr>
        <w:t xml:space="preserve">个英国地区均录得正的年度涨幅。北爱尔兰以</w:t>
      </w:r>
      <w:r>
        <w:t xml:space="preserve"> 8.6% </w:t>
      </w:r>
      <w:r>
        <w:rPr>
          <w:rFonts w:hint="eastAsia"/>
        </w:rPr>
        <w:t xml:space="preserve">领跑；苏格兰和威尔士同为</w:t>
      </w:r>
      <w:r>
        <w:t xml:space="preserve"> </w:t>
      </w:r>
      <w:r>
        <w:rPr>
          <w:rFonts w:hint="eastAsia"/>
        </w:rPr>
        <w:t xml:space="preserve">3.5%；英格兰由</w:t>
      </w:r>
      <w:r>
        <w:t xml:space="preserve"> Q1 </w:t>
      </w:r>
      <w:r>
        <w:rPr>
          <w:rFonts w:hint="eastAsia"/>
        </w:rPr>
        <w:t xml:space="preserve">的</w:t>
      </w:r>
      <w:r>
        <w:t xml:space="preserve"> 0.9% </w:t>
      </w:r>
      <w:r>
        <w:rPr>
          <w:rFonts w:hint="eastAsia"/>
        </w:rPr>
        <w:t xml:space="preserve">提速至</w:t>
      </w:r>
      <w:r>
        <w:t xml:space="preserve"> </w:t>
      </w:r>
      <w:r>
        <w:rPr>
          <w:rFonts w:hint="eastAsia"/>
        </w:rPr>
        <w:t xml:space="preserve">1.5%，其中西北部以</w:t>
      </w:r>
      <w:r>
        <w:t xml:space="preserve"> 3.9% </w:t>
      </w:r>
      <w:r>
        <w:rPr>
          <w:rFonts w:hint="eastAsia"/>
        </w:rPr>
        <w:t xml:space="preserve">居英格兰各区之首，英格兰南部则以</w:t>
      </w:r>
      <w:r>
        <w:t xml:space="preserve"> 0.7% </w:t>
      </w:r>
      <w:r>
        <w:rPr>
          <w:rFonts w:hint="eastAsia"/>
        </w:rPr>
        <w:t xml:space="preserve">显著偏弱，伦敦为</w:t>
      </w:r>
      <w:r>
        <w:t xml:space="preserve"> 1.6%。</w:t>
      </w:r>
    </w:p>
    <w:p>
      <w:pPr>
        <w:pStyle w:val="BodyText"/>
      </w:pPr>
      <w:r>
        <w:t xml:space="preserve">Nationwide </w:t>
      </w:r>
      <w:r>
        <w:rPr>
          <w:rFonts w:hint="eastAsia"/>
        </w:rPr>
        <w:t xml:space="preserve">首席经济学家</w:t>
      </w:r>
      <w:r>
        <w:t xml:space="preserve"> Robert Gardner </w:t>
      </w:r>
      <w:r>
        <w:rPr>
          <w:rFonts w:hint="eastAsia"/>
        </w:rPr>
        <w:t xml:space="preserve">表示：“近几个月市场略有走软并不意外，中东局势的发展以及随之而来的能源价格和市场利率上升带来了不确定性。”他指出，消费者信心和购房意愿走弱，5月抵押贷款批准量下降。</w:t>
      </w:r>
    </w:p>
    <w:p>
      <w:pPr>
        <w:pStyle w:val="BodyText"/>
      </w:pPr>
      <w:r>
        <w:rPr>
          <w:b/>
          <w:bCs/>
        </w:rPr>
        <w:t xml:space="preserve">References</w:t>
      </w:r>
    </w:p>
    <w:p>
      <w:pPr>
        <w:pStyle w:val="BodyText"/>
      </w:pPr>
      <w:r>
        <w:t xml:space="preserve">[5] Gardner, R. (2026, July 1). Annual house price growth edges higher in June. Nationwide Building Society. https://www.nationwide.co.uk/media/hpi/reports/annual-house-price-growth-edges-higher-in-june</w:t>
      </w:r>
      <w:r>
        <w:t xml:space="preserve"> </w:t>
      </w:r>
      <w:r>
        <w:t xml:space="preserve">[6] Mortgage Finance Gazette. (2026, July 1). Annual house price growth rises in June to 2.2% – Nationwide. Mortgage Finance Gazette. https://www.mortgagefinancegazette.com/market-news/housing/annual-house-price-growth-rises-in-june-to-2-2-nationwide-01-07-2026/</w:t>
      </w:r>
      <w:r>
        <w:t xml:space="preserve"> </w:t>
      </w:r>
      <w:r>
        <w:t xml:space="preserve">[7] Financial Reporter. (2026, July 1). Annual house price growth accelerates to 2.2% in June – Nationwide. Financial Reporter. https://www.financialreporter.co.uk/annual-house-price-growth-accelerates-to-22-in-june-nationwide.html</w:t>
      </w:r>
    </w:p>
    <w:p>
      <w:r>
        <w:pict>
          <v:rect style="width:0;height:1.5pt" o:hralign="center" o:hrstd="t" o:hr="t"/>
        </w:pict>
      </w:r>
    </w:p>
    <w:bookmarkEnd w:id="11"/>
    <w:bookmarkEnd w:id="12"/>
    <w:bookmarkStart w:id="15" w:name="二政治与外交"/>
    <w:p>
      <w:pPr>
        <w:pStyle w:val="Heading2"/>
      </w:pPr>
      <w:r>
        <w:rPr>
          <w:rFonts w:hint="eastAsia"/>
        </w:rPr>
        <w:t xml:space="preserve">二、政治与外交</w:t>
      </w:r>
    </w:p>
    <w:bookmarkStart w:id="13" w:name="英国下议院通过税收能源与车辆法案发电商征费上调至55"/>
    <w:p>
      <w:pPr>
        <w:pStyle w:val="Heading3"/>
      </w:pPr>
      <w:r>
        <w:rPr>
          <w:rFonts w:hint="eastAsia"/>
        </w:rPr>
        <w:t xml:space="preserve">英国下议院通过《税收（能源与车辆）法案》，发电商征费上调至55%</w:t>
      </w:r>
    </w:p>
    <w:p>
      <w:pPr>
        <w:pStyle w:val="FirstParagraph"/>
      </w:pPr>
      <w:r>
        <w:rPr>
          <w:rFonts w:hint="eastAsia"/>
        </w:rPr>
        <w:t xml:space="preserve">英国下议院7月1日在一次会议中完成《税收（能源与车辆）法案》的全部剩余审议阶段，走完下议院立法程序。该法案6月24日提出，落实同日经财政动议（Ways</w:t>
      </w:r>
      <w:r>
        <w:t xml:space="preserve"> and Means </w:t>
      </w:r>
      <w:r>
        <w:rPr>
          <w:rFonts w:hint="eastAsia"/>
        </w:rPr>
        <w:t xml:space="preserve">resolutions）批准的三项措施：将电力发电商征费（Electricity</w:t>
      </w:r>
      <w:r>
        <w:t xml:space="preserve"> Generator Levy, </w:t>
      </w:r>
      <w:r>
        <w:rPr>
          <w:rFonts w:hint="eastAsia"/>
        </w:rPr>
        <w:t xml:space="preserve">EGL）由</w:t>
      </w:r>
      <w:r>
        <w:t xml:space="preserve"> 45% </w:t>
      </w:r>
      <w:r>
        <w:rPr>
          <w:rFonts w:hint="eastAsia"/>
        </w:rPr>
        <w:t xml:space="preserve">上调至</w:t>
      </w:r>
      <w:r>
        <w:t xml:space="preserve"> </w:t>
      </w:r>
      <w:r>
        <w:rPr>
          <w:rFonts w:hint="eastAsia"/>
        </w:rPr>
        <w:t xml:space="preserve">55%，自7月1日生效；将免税的核准里程津贴（Approved</w:t>
      </w:r>
      <w:r>
        <w:t xml:space="preserve"> Mileage Allowance </w:t>
      </w:r>
      <w:r>
        <w:rPr>
          <w:rFonts w:hint="eastAsia"/>
        </w:rPr>
        <w:t xml:space="preserve">Payments）由每英里</w:t>
      </w:r>
      <w:r>
        <w:t xml:space="preserve"> 45p </w:t>
      </w:r>
      <w:r>
        <w:rPr>
          <w:rFonts w:hint="eastAsia"/>
        </w:rPr>
        <w:t xml:space="preserve">提高至</w:t>
      </w:r>
      <w:r>
        <w:t xml:space="preserve"> </w:t>
      </w:r>
      <w:r>
        <w:rPr>
          <w:rFonts w:hint="eastAsia"/>
        </w:rPr>
        <w:t xml:space="preserve">55p，追溯至</w:t>
      </w:r>
      <w:r>
        <w:t xml:space="preserve"> 2026-27 </w:t>
      </w:r>
      <w:r>
        <w:rPr>
          <w:rFonts w:hint="eastAsia"/>
        </w:rPr>
        <w:t xml:space="preserve">纳税年度起始；以及对特定重型货车提供为期</w:t>
      </w:r>
      <w:r>
        <w:t xml:space="preserve"> 12 </w:t>
      </w:r>
      <w:r>
        <w:rPr>
          <w:rFonts w:hint="eastAsia"/>
        </w:rPr>
        <w:t xml:space="preserve">个月、每辆</w:t>
      </w:r>
      <w:r>
        <w:t xml:space="preserve"> £1 </w:t>
      </w:r>
      <w:r>
        <w:rPr>
          <w:rFonts w:hint="eastAsia"/>
        </w:rPr>
        <w:t xml:space="preserve">的临时性优惠车辆消费税（VED）税率，适用于</w:t>
      </w:r>
      <w:r>
        <w:t xml:space="preserve"> </w:t>
      </w:r>
      <w:r>
        <w:rPr>
          <w:rFonts w:hint="eastAsia"/>
        </w:rPr>
        <w:t xml:space="preserve">2026年7月1日至2027年6月30日期间领取的牌照。</w:t>
      </w:r>
    </w:p>
    <w:p>
      <w:pPr>
        <w:pStyle w:val="BodyText"/>
      </w:pPr>
      <w:r>
        <w:t xml:space="preserve">EGL </w:t>
      </w:r>
      <w:r>
        <w:rPr>
          <w:rFonts w:hint="eastAsia"/>
        </w:rPr>
        <w:t xml:space="preserve">是对发电商超过基准价格的超额收入征税，2023年1月引入，原定于2028年3月前逐步退出。政府称此次上调是应对中东冲突推动的持续能源价格上涨。同日走完全部立法阶段的还有《供应与拨款（主预算）法案》，为</w:t>
      </w:r>
      <w:r>
        <w:t xml:space="preserve"> 2026-27 </w:t>
      </w:r>
      <w:r>
        <w:rPr>
          <w:rFonts w:hint="eastAsia"/>
        </w:rPr>
        <w:t xml:space="preserve">财年授权</w:t>
      </w:r>
      <w:r>
        <w:t xml:space="preserve"> £1.15 </w:t>
      </w:r>
      <w:r>
        <w:rPr>
          <w:rFonts w:hint="eastAsia"/>
        </w:rPr>
        <w:t xml:space="preserve">万亿的部门支出。</w:t>
      </w:r>
    </w:p>
    <w:p>
      <w:pPr>
        <w:pStyle w:val="BodyText"/>
      </w:pPr>
      <w:r>
        <w:rPr>
          <w:b/>
          <w:bCs/>
        </w:rPr>
        <w:t xml:space="preserve">References</w:t>
      </w:r>
    </w:p>
    <w:p>
      <w:pPr>
        <w:pStyle w:val="BodyText"/>
      </w:pPr>
      <w:r>
        <w:t xml:space="preserve">[8] UK Parliament. (2026, July 1). Taxation (Energy and Vehicles) Bill. UK Parliament. https://bills.parliament.uk/bills/4207</w:t>
      </w:r>
      <w:r>
        <w:t xml:space="preserve"> </w:t>
      </w:r>
      <w:r>
        <w:t xml:space="preserve">[9] Hansard Society. (2026, June 29). Parliament Matters Bulletin — 29 June 2026. Hansard Society. https://www.hansardsociety.org.uk/news/parliament-matters-bulletin-29-june-2026</w:t>
      </w:r>
      <w:r>
        <w:t xml:space="preserve"> </w:t>
      </w:r>
      <w:r>
        <w:t xml:space="preserve">[10] House of Commons Library. (2026, July 1). Taxation (Energy and Vehicles) Bill 2026. House of Commons Library. https://commonslibrary.parliament.uk/research-briefings/cbp-10913/</w:t>
      </w:r>
    </w:p>
    <w:p>
      <w:r>
        <w:pict>
          <v:rect style="width:0;height:1.5pt" o:hralign="center" o:hrstd="t" o:hr="t"/>
        </w:pict>
      </w:r>
    </w:p>
    <w:bookmarkEnd w:id="13"/>
    <w:bookmarkStart w:id="14" w:name="上议院进入钢铁国有化法案委员会审议第二日"/>
    <w:p>
      <w:pPr>
        <w:pStyle w:val="Heading3"/>
      </w:pPr>
      <w:r>
        <w:rPr>
          <w:rFonts w:hint="eastAsia"/>
        </w:rPr>
        <w:t xml:space="preserve">上议院进入钢铁国有化法案委员会审议第二日</w:t>
      </w:r>
    </w:p>
    <w:p>
      <w:pPr>
        <w:pStyle w:val="FirstParagraph"/>
      </w:pPr>
      <w:r>
        <w:rPr>
          <w:rFonts w:hint="eastAsia"/>
        </w:rPr>
        <w:t xml:space="preserve">英国上议院7月1日进入《钢铁工业（国有化）法案》委员会审议的第二日。该法案5月14日提交下议院，6月9日前已在下议院走完全部快速立法程序，赋予国务大臣以公共利益为由将钢铁企业的股份或财产收归公有的权力。主要目标是由中国敬业集团（Jingye</w:t>
      </w:r>
      <w:r>
        <w:t xml:space="preserve"> </w:t>
      </w:r>
      <w:r>
        <w:rPr>
          <w:rFonts w:hint="eastAsia"/>
        </w:rPr>
        <w:t xml:space="preserve">Group）拥有的</w:t>
      </w:r>
      <w:r>
        <w:t xml:space="preserve"> British Steel Limited。</w:t>
      </w:r>
    </w:p>
    <w:p>
      <w:pPr>
        <w:pStyle w:val="BodyText"/>
      </w:pPr>
      <w:r>
        <w:rPr>
          <w:rFonts w:hint="eastAsia"/>
        </w:rPr>
        <w:t xml:space="preserve">上议院议员7月1日提出多项修正案，要求设立由工人、社区和行业代表组成的利益相关方咨询委员会，要求在任何国有化命令下达前至少</w:t>
      </w:r>
      <w:r>
        <w:t xml:space="preserve"> 90 </w:t>
      </w:r>
      <w:r>
        <w:rPr>
          <w:rFonts w:hint="eastAsia"/>
        </w:rPr>
        <w:t xml:space="preserve">天发布就业保障与产业转型战略报告，并加入补偿与监督保障条款。上议院二读为6月16日，委员会审议6月25日开始。</w:t>
      </w:r>
    </w:p>
    <w:p>
      <w:pPr>
        <w:pStyle w:val="BodyText"/>
      </w:pPr>
      <w:r>
        <w:rPr>
          <w:rFonts w:hint="eastAsia"/>
        </w:rPr>
        <w:t xml:space="preserve">法案的立法背景可追溯至2025年4月：敬业集团拒绝为斯肯索普（Scunthorpe）钢厂两座高炉继续采购原料，威胁关闭这处全英仅存的初级炼钢产能，议会在一个周六罕见加班当日通过《钢铁工业（特别措施）法》授权政府接管。政府已表示“强烈倾向于将</w:t>
      </w:r>
      <w:r>
        <w:t xml:space="preserve"> British Steel </w:t>
      </w:r>
      <w:r>
        <w:rPr>
          <w:rFonts w:hint="eastAsia"/>
        </w:rPr>
        <w:t xml:space="preserve">国有化”，以保住就业并保留斯肯索普的初级炼钢能力。</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[11] UK Parliament. (2026, July 1). Steel Industry Bill: committee stage. UK Parliament. https://www.parliament.uk/business/news/2026/june-2026/steel-industry-bill-committee-stage/</w:t>
      </w:r>
      <w:r>
        <w:t xml:space="preserve"> </w:t>
      </w:r>
      <w:r>
        <w:t xml:space="preserve">[12] Hansard Society. (2026, June 29). Parliament Matters Bulletin — 29 June 2026. Hansard Society. https://www.hansardsociety.org.uk/news/parliament-matters-bulletin-29-june-2026</w:t>
      </w:r>
      <w:r>
        <w:t xml:space="preserve"> </w:t>
      </w:r>
      <w:r>
        <w:t xml:space="preserve">[13] House of Lords Library. (2026, June 26). Steel Industry (Nationalisation) Bill: HL Bill 22 of 2026–27. House of Lords Library. https://lordslibrary.parliament.uk/research-briefings/lln-2026-0029/</w:t>
      </w:r>
    </w:p>
    <w:p>
      <w:r>
        <w:pict>
          <v:rect style="width:0;height:1.5pt" o:hralign="center" o:hrstd="t" o:hr="t"/>
        </w:pict>
      </w:r>
    </w:p>
    <w:bookmarkEnd w:id="14"/>
    <w:bookmarkEnd w:id="15"/>
    <w:bookmarkStart w:id="18" w:name="三科技与产业"/>
    <w:p>
      <w:pPr>
        <w:pStyle w:val="Heading2"/>
      </w:pPr>
      <w:r>
        <w:rPr>
          <w:rFonts w:hint="eastAsia"/>
        </w:rPr>
        <w:t xml:space="preserve">三、科技与产业</w:t>
      </w:r>
    </w:p>
    <w:bookmarkStart w:id="16" w:name="ofcom将自残与网络裸露信息列为在线安全法优先违法内容"/>
    <w:p>
      <w:pPr>
        <w:pStyle w:val="Heading3"/>
      </w:pPr>
      <w:r>
        <w:rPr>
          <w:rFonts w:hint="eastAsia"/>
        </w:rPr>
        <w:t xml:space="preserve">Ofcom将自残与网络裸露信息列为《在线安全法》优先违法内容</w:t>
      </w:r>
    </w:p>
    <w:p>
      <w:pPr>
        <w:pStyle w:val="FirstParagraph"/>
      </w:pPr>
      <w:r>
        <w:rPr>
          <w:rFonts w:hint="eastAsia"/>
        </w:rPr>
        <w:t xml:space="preserve">英国通信监管机构</w:t>
      </w:r>
      <w:r>
        <w:t xml:space="preserve"> Ofcom </w:t>
      </w:r>
      <w:r>
        <w:rPr>
          <w:rFonts w:hint="eastAsia"/>
        </w:rPr>
        <w:t xml:space="preserve">7月1日发布了《在线安全法》（Online</w:t>
      </w:r>
      <w:r>
        <w:t xml:space="preserve"> Safety Act </w:t>
      </w:r>
      <w:r>
        <w:rPr>
          <w:rFonts w:hint="eastAsia"/>
        </w:rPr>
        <w:t xml:space="preserve">2023）下更新的非法内容行为守则和指南，新增两类由政府于2025年12月指定的优先违法内容：一是鼓励或协助严重自残，与自杀相关内容合并为“自杀与自残”类别；二是网络裸露（cyberflashing，即未经索取发送露骨图像），作为独立新类别。此举将</w:t>
      </w:r>
      <w:r>
        <w:t xml:space="preserve"> Ofcom </w:t>
      </w:r>
      <w:r>
        <w:rPr>
          <w:rFonts w:hint="eastAsia"/>
        </w:rPr>
        <w:t xml:space="preserve">的非法内容框架由</w:t>
      </w:r>
      <w:r>
        <w:t xml:space="preserve"> 17 </w:t>
      </w:r>
      <w:r>
        <w:rPr>
          <w:rFonts w:hint="eastAsia"/>
        </w:rPr>
        <w:t xml:space="preserve">类扩展至</w:t>
      </w:r>
      <w:r>
        <w:t xml:space="preserve"> 18 </w:t>
      </w:r>
      <w:r>
        <w:rPr>
          <w:rFonts w:hint="eastAsia"/>
        </w:rPr>
        <w:t xml:space="preserve">类。</w:t>
      </w:r>
    </w:p>
    <w:p>
      <w:pPr>
        <w:pStyle w:val="BodyText"/>
      </w:pPr>
      <w:r>
        <w:rPr>
          <w:rFonts w:hint="eastAsia"/>
        </w:rPr>
        <w:t xml:space="preserve">英国在线服务提供商须相应更新风险评估、追踪和内容审核政策。守则修订需经议会批准，预计2026年秋季实施。相关公众咨询于2026年3月至4月进行，采纳了包括</w:t>
      </w:r>
      <w:r>
        <w:t xml:space="preserve"> Microsoft </w:t>
      </w:r>
      <w:r>
        <w:rPr>
          <w:rFonts w:hint="eastAsia"/>
        </w:rPr>
        <w:t xml:space="preserve">及倡导组织在内的意见。</w:t>
      </w:r>
    </w:p>
    <w:p>
      <w:pPr>
        <w:pStyle w:val="BodyText"/>
      </w:pPr>
      <w:r>
        <w:rPr>
          <w:rFonts w:hint="eastAsia"/>
        </w:rPr>
        <w:t xml:space="preserve">《在线安全法》2023年10月获御准，Ofcom</w:t>
      </w:r>
      <w:r>
        <w:t xml:space="preserve"> </w:t>
      </w:r>
      <w:r>
        <w:rPr>
          <w:rFonts w:hint="eastAsia"/>
        </w:rPr>
        <w:t xml:space="preserve">分三阶段推进。非法内容义务已于2025年3月17日生效，平台须迅速移除非法内容并降低优先犯罪内容出现的风险；Ofcom</w:t>
      </w:r>
      <w:r>
        <w:t xml:space="preserve"> </w:t>
      </w:r>
      <w:r>
        <w:rPr>
          <w:rFonts w:hint="eastAsia"/>
        </w:rPr>
        <w:t xml:space="preserve">可处以最高相当于全球营业额</w:t>
      </w:r>
      <w:r>
        <w:t xml:space="preserve"> 10% </w:t>
      </w:r>
      <w:r>
        <w:rPr>
          <w:rFonts w:hint="eastAsia"/>
        </w:rPr>
        <w:t xml:space="preserve">或</w:t>
      </w:r>
      <w:r>
        <w:t xml:space="preserve"> £1800 </w:t>
      </w:r>
      <w:r>
        <w:rPr>
          <w:rFonts w:hint="eastAsia"/>
        </w:rPr>
        <w:t xml:space="preserve">万（取高者）的罚款。此次扩容把此前分类不足的两类危害纳入平台义务范围。</w:t>
      </w:r>
    </w:p>
    <w:p>
      <w:pPr>
        <w:pStyle w:val="BodyText"/>
      </w:pPr>
      <w:r>
        <w:rPr>
          <w:b/>
          <w:bCs/>
        </w:rPr>
        <w:t xml:space="preserve">References</w:t>
      </w:r>
    </w:p>
    <w:p>
      <w:pPr>
        <w:pStyle w:val="BodyText"/>
      </w:pPr>
      <w:r>
        <w:t xml:space="preserve">[14] Steel, L. (2026, July 1). Self-harm and cyberflashing added to online safety offences list. Computer Weekly. https://www.computerweekly.com/news/366645166/Self-harm-and-cyberflashing-added-to-online-safety-offences-list</w:t>
      </w:r>
      <w:r>
        <w:t xml:space="preserve"> </w:t>
      </w:r>
      <w:r>
        <w:t xml:space="preserve">[15] Ofcom. (2026, July 1). New priority offences: serious self-harm and cyberflashing. Ofcom. https://www.ofcom.org.uk/online-safety/illegal-and-harmful-content/new-priority-offences-serious-self-harm-and-cyberflashing</w:t>
      </w:r>
      <w:r>
        <w:t xml:space="preserve"> </w:t>
      </w:r>
      <w:r>
        <w:t xml:space="preserve">[16] MLex. (2026, July 1). Cyberflashing made priority offense in update to UK online safety regime. MLex. https://www.mlex.com/mlex/data-privacy-security/articles/2427399/cyberflashing-made-priority-offense-in-update-to-uk-online-safety-regime</w:t>
      </w:r>
    </w:p>
    <w:p>
      <w:r>
        <w:pict>
          <v:rect style="width:0;height:1.5pt" o:hralign="center" o:hrstd="t" o:hr="t"/>
        </w:pict>
      </w:r>
    </w:p>
    <w:bookmarkEnd w:id="16"/>
    <w:bookmarkStart w:id="17" w:name="英格兰银行警告自主ai或引发市场崩盘提议设断路开关"/>
    <w:p>
      <w:pPr>
        <w:pStyle w:val="Heading3"/>
      </w:pPr>
      <w:r>
        <w:rPr>
          <w:rFonts w:hint="eastAsia"/>
        </w:rPr>
        <w:t xml:space="preserve">英格兰银行警告自主AI或引发市场崩盘，提议设“断路开关”</w:t>
      </w:r>
    </w:p>
    <w:p>
      <w:pPr>
        <w:pStyle w:val="FirstParagraph"/>
      </w:pPr>
      <w:r>
        <w:rPr>
          <w:rFonts w:hint="eastAsia"/>
        </w:rPr>
        <w:t xml:space="preserve">英格兰银行负责金融稳定的副行长</w:t>
      </w:r>
      <w:r>
        <w:t xml:space="preserve"> Sarah Breeden </w:t>
      </w:r>
      <w:r>
        <w:rPr>
          <w:rFonts w:hint="eastAsia"/>
        </w:rPr>
        <w:t xml:space="preserve">于6月30日在葡萄牙辛特拉（Sintra）举行的</w:t>
      </w:r>
      <w:r>
        <w:t xml:space="preserve"> ECB Forum on Central Banking </w:t>
      </w:r>
      <w:r>
        <w:rPr>
          <w:rFonts w:hint="eastAsia"/>
        </w:rPr>
        <w:t xml:space="preserve">上警告，金融市场中的自主</w:t>
      </w:r>
      <w:r>
        <w:t xml:space="preserve"> AI </w:t>
      </w:r>
      <w:r>
        <w:rPr>
          <w:rFonts w:hint="eastAsia"/>
        </w:rPr>
        <w:t xml:space="preserve">智能体可能放大波动，足以触发市场崩盘，而现有监管框架不足以应对。Reuters</w:t>
      </w:r>
      <w:r>
        <w:t xml:space="preserve"> </w:t>
      </w:r>
      <w:r>
        <w:rPr>
          <w:rFonts w:hint="eastAsia"/>
        </w:rPr>
        <w:t xml:space="preserve">7月1日报道了这一表态。</w:t>
      </w:r>
    </w:p>
    <w:p>
      <w:pPr>
        <w:pStyle w:val="BodyText"/>
      </w:pPr>
      <w:r>
        <w:rPr>
          <w:rFonts w:hint="eastAsia"/>
        </w:rPr>
        <w:t xml:space="preserve">英格兰银行正在权衡两类新工具：一是全市场的“断路开关”（kill</w:t>
      </w:r>
      <w:r>
        <w:t xml:space="preserve"> </w:t>
      </w:r>
      <w:r>
        <w:rPr>
          <w:rFonts w:hint="eastAsia"/>
        </w:rPr>
        <w:t xml:space="preserve">switch），在检测到出错或目标失准的</w:t>
      </w:r>
      <w:r>
        <w:t xml:space="preserve"> AI </w:t>
      </w:r>
      <w:r>
        <w:rPr>
          <w:rFonts w:hint="eastAsia"/>
        </w:rPr>
        <w:t xml:space="preserve">模型引发系统性扰动时中止自动化交易；二是“增强恢复”安排，在一家银行因</w:t>
      </w:r>
      <w:r>
        <w:t xml:space="preserve"> AI </w:t>
      </w:r>
      <w:r>
        <w:rPr>
          <w:rFonts w:hint="eastAsia"/>
        </w:rPr>
        <w:t xml:space="preserve">故障瘫痪后，允许另一家银行临时接管其核心职能。核心担忧在于</w:t>
      </w:r>
      <w:r>
        <w:t xml:space="preserve"> AI </w:t>
      </w:r>
      <w:r>
        <w:rPr>
          <w:rFonts w:hint="eastAsia"/>
        </w:rPr>
        <w:t xml:space="preserve">行为的相关性——众多机构运行训练方式相似的智能体，可能同时做出相同动作。</w:t>
      </w:r>
    </w:p>
    <w:p>
      <w:pPr>
        <w:pStyle w:val="BodyText"/>
      </w:pPr>
      <w:r>
        <w:t xml:space="preserve">Breeden </w:t>
      </w:r>
      <w:r>
        <w:rPr>
          <w:rFonts w:hint="eastAsia"/>
        </w:rPr>
        <w:t xml:space="preserve">表示：“我们的框架并非为应对自主智能体而设计，而对所有智能体行为都依赖人类在环节中把关，恐怕并不现实。”她援引剑桥的一项调查称，52%</w:t>
      </w:r>
      <w:r>
        <w:t xml:space="preserve"> </w:t>
      </w:r>
      <w:r>
        <w:rPr>
          <w:rFonts w:hint="eastAsia"/>
        </w:rPr>
        <w:t xml:space="preserve">的金融机构已在部署自主</w:t>
      </w:r>
      <w:r>
        <w:t xml:space="preserve"> </w:t>
      </w:r>
      <w:r>
        <w:rPr>
          <w:rFonts w:hint="eastAsia"/>
        </w:rPr>
        <w:t xml:space="preserve">AI。金融稳定委员会（Financial</w:t>
      </w:r>
      <w:r>
        <w:t xml:space="preserve"> Stability </w:t>
      </w:r>
      <w:r>
        <w:rPr>
          <w:rFonts w:hint="eastAsia"/>
        </w:rPr>
        <w:t xml:space="preserve">Board）6月也呼吁建立防护机制。</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[17] Reuters. (2026, July 1). Agentic AI may require more sophisticated regulation, BoE’s Breeden says. TradingView. https://www.tradingview.com/news/reuters.com,2026:newsml_L6N4320ND:0-agentic-ai-may-require-more-sophisticated-regulation-boe-s-breeden-says/</w:t>
      </w:r>
      <w:r>
        <w:t xml:space="preserve"> </w:t>
      </w:r>
      <w:r>
        <w:t xml:space="preserve">[18] Bank of England. (2026, June 30). Sarah Breeden — panel at the European Central Bank Forum on Central Banking 2026. Bank of England. https://www.bankofengland.co.uk/speech/2026/june/sarah-breeden-panel-at-the-european-central-bank-forum-on-central-banking-2026</w:t>
      </w:r>
      <w:r>
        <w:t xml:space="preserve"> </w:t>
      </w:r>
      <w:r>
        <w:t xml:space="preserve">[19] The Next Web. (2026, July 1). BoE’s Breeden warns AI agents pose market risk. The Next Web. https://thenextweb.com/news/boe-breeden-ai-agents-market-risk</w:t>
      </w:r>
    </w:p>
    <w:p>
      <w:r>
        <w:pict>
          <v:rect style="width:0;height:1.5pt" o:hralign="center" o:hrstd="t" o:hr="t"/>
        </w:pict>
      </w:r>
    </w:p>
    <w:bookmarkEnd w:id="17"/>
    <w:bookmarkEnd w:id="18"/>
    <w:bookmarkStart w:id="22" w:name="四社会与民生"/>
    <w:p>
      <w:pPr>
        <w:pStyle w:val="Heading2"/>
      </w:pPr>
      <w:r>
        <w:rPr>
          <w:rFonts w:hint="eastAsia"/>
        </w:rPr>
        <w:t xml:space="preserve">四、社会与民生</w:t>
      </w:r>
    </w:p>
    <w:bookmarkStart w:id="19" w:name="英国碳排放交易体系7月1日扩展至航运业国内航运纳入监管"/>
    <w:p>
      <w:pPr>
        <w:pStyle w:val="Heading3"/>
      </w:pPr>
      <w:r>
        <w:rPr>
          <w:rFonts w:hint="eastAsia"/>
        </w:rPr>
        <w:t xml:space="preserve">英国碳排放交易体系7月1日扩展至航运业，国内航运纳入监管</w:t>
      </w:r>
    </w:p>
    <w:p>
      <w:pPr>
        <w:pStyle w:val="FirstParagraph"/>
      </w:pPr>
      <w:r>
        <w:rPr>
          <w:rFonts w:hint="eastAsia"/>
        </w:rPr>
        <w:t xml:space="preserve">英国排放交易体系（UK</w:t>
      </w:r>
      <w:r>
        <w:t xml:space="preserve"> </w:t>
      </w:r>
      <w:r>
        <w:rPr>
          <w:rFonts w:hint="eastAsia"/>
        </w:rPr>
        <w:t xml:space="preserve">ETS）7月1日起扩展至航运业，覆盖在英国国内航线（英国港口至英国港口）航行的</w:t>
      </w:r>
      <w:r>
        <w:t xml:space="preserve"> 5,000 </w:t>
      </w:r>
      <w:r>
        <w:rPr>
          <w:rFonts w:hint="eastAsia"/>
        </w:rPr>
        <w:t xml:space="preserve">总吨及以上货运和客运船舶，以及国内与国际航运船舶在港期间的排放。纳入的温室气体为</w:t>
      </w:r>
      <w:r>
        <w:t xml:space="preserve"> CO2、CH4 </w:t>
      </w:r>
      <w:r>
        <w:rPr>
          <w:rFonts w:hint="eastAsia"/>
        </w:rPr>
        <w:t xml:space="preserve">和</w:t>
      </w:r>
      <w:r>
        <w:t xml:space="preserve"> </w:t>
      </w:r>
      <w:r>
        <w:rPr>
          <w:rFonts w:hint="eastAsia"/>
        </w:rPr>
        <w:t xml:space="preserve">N2O，海上作业船舶的纳入推迟至2027年1月1日。</w:t>
      </w:r>
    </w:p>
    <w:p>
      <w:pPr>
        <w:pStyle w:val="BodyText"/>
      </w:pPr>
      <w:r>
        <w:rPr>
          <w:rFonts w:hint="eastAsia"/>
        </w:rPr>
        <w:t xml:space="preserve">运营商须向经</w:t>
      </w:r>
      <w:r>
        <w:t xml:space="preserve"> UKAS </w:t>
      </w:r>
      <w:r>
        <w:rPr>
          <w:rFonts w:hint="eastAsia"/>
        </w:rPr>
        <w:t xml:space="preserve">认可的核查机构提交排放监测计划，并在每年3月31日前提交年度排放报告，首次配额清缴期限为2028年4月30日，合规通过</w:t>
      </w:r>
      <w:r>
        <w:t xml:space="preserve"> METS </w:t>
      </w:r>
      <w:r>
        <w:rPr>
          <w:rFonts w:hint="eastAsia"/>
        </w:rPr>
        <w:t xml:space="preserve">数字平台进行。该措施由</w:t>
      </w:r>
      <w:r>
        <w:t xml:space="preserve"> UK Department for Energy Security and Net Zero </w:t>
      </w:r>
      <w:r>
        <w:rPr>
          <w:rFonts w:hint="eastAsia"/>
        </w:rPr>
        <w:t xml:space="preserve">推动。</w:t>
      </w:r>
    </w:p>
    <w:p>
      <w:pPr>
        <w:pStyle w:val="BodyText"/>
      </w:pPr>
      <w:r>
        <w:t xml:space="preserve">UK Chamber of Shipping </w:t>
      </w:r>
      <w:r>
        <w:rPr>
          <w:rFonts w:hint="eastAsia"/>
        </w:rPr>
        <w:t xml:space="preserve">曾于2026年2月提出“影响广泛的担忧”，涉及行业竞争力以及岛屿社区的成本负担。这是当日最具体的结构性气候政策事件——碳定价机制正式延伸至国内航运。</w:t>
      </w:r>
    </w:p>
    <w:p>
      <w:pPr>
        <w:pStyle w:val="BodyText"/>
      </w:pPr>
      <w:r>
        <w:rPr>
          <w:b/>
          <w:bCs/>
        </w:rPr>
        <w:t xml:space="preserve">References</w:t>
      </w:r>
    </w:p>
    <w:p>
      <w:pPr>
        <w:pStyle w:val="BodyText"/>
      </w:pPr>
      <w:r>
        <w:t xml:space="preserve">[20] UK Department for Energy Security and Net Zero. (2026, July 1). UK ETS: scope expansion — maritime sector. GOV.UK. https://www.gov.uk/government/consultations/uk-ets-scope-expansion-maritime-sector</w:t>
      </w:r>
      <w:r>
        <w:t xml:space="preserve"> </w:t>
      </w:r>
      <w:r>
        <w:t xml:space="preserve">[21] DNV. (2026, July 1). The UK ETS expands to maritime from 1 July 2026. DNV. https://www.dnv.com/news/2026/the-uk-ets-expands-to-maritime-from-1-july-2026/</w:t>
      </w:r>
      <w:r>
        <w:t xml:space="preserve"> </w:t>
      </w:r>
      <w:r>
        <w:t xml:space="preserve">[22] Riviera Maritime Media. (2026, July 1). Emissions trading begins for UK domestic shipping. Riviera Maritime Media. https://www.rivieramm.com/news-content-hub/emissions-trading-begins-for-uk-domestic-shipping-89250</w:t>
      </w:r>
    </w:p>
    <w:p>
      <w:r>
        <w:pict>
          <v:rect style="width:0;height:1.5pt" o:hralign="center" o:hrstd="t" o:hr="t"/>
        </w:pict>
      </w:r>
    </w:p>
    <w:bookmarkEnd w:id="19"/>
    <w:bookmarkStart w:id="20" w:name="英国发布女性研究者宪章60余家机构承诺产假与弹性工作"/>
    <w:p>
      <w:pPr>
        <w:pStyle w:val="Heading3"/>
      </w:pPr>
      <w:r>
        <w:rPr>
          <w:rFonts w:hint="eastAsia"/>
        </w:rPr>
        <w:t xml:space="preserve">英国发布《女性研究者宪章》，60余家机构承诺产假与弹性工作</w:t>
      </w:r>
    </w:p>
    <w:p>
      <w:pPr>
        <w:pStyle w:val="FirstParagraph"/>
      </w:pPr>
      <w:r>
        <w:rPr>
          <w:rFonts w:hint="eastAsia"/>
        </w:rPr>
        <w:t xml:space="preserve">英国科学大臣</w:t>
      </w:r>
      <w:r>
        <w:t xml:space="preserve"> Liz Kendall MP </w:t>
      </w:r>
      <w:r>
        <w:rPr>
          <w:rFonts w:hint="eastAsia"/>
        </w:rPr>
        <w:t xml:space="preserve">7月1日发布《女性研究者宪章》（Women</w:t>
      </w:r>
      <w:r>
        <w:t xml:space="preserve"> in Research </w:t>
      </w:r>
      <w:r>
        <w:rPr>
          <w:rFonts w:hint="eastAsia"/>
        </w:rPr>
        <w:t xml:space="preserve">Charter），这是一套供英国研究机构改善性别公平的自愿性框架。启动时已有超过</w:t>
      </w:r>
      <w:r>
        <w:t xml:space="preserve"> 60 </w:t>
      </w:r>
      <w:r>
        <w:rPr>
          <w:rFonts w:hint="eastAsia"/>
        </w:rPr>
        <w:t xml:space="preserve">家机构签署，包括牛津、剑桥、爱丁堡、伦敦国王学院（King’s</w:t>
      </w:r>
      <w:r>
        <w:t xml:space="preserve"> College </w:t>
      </w:r>
      <w:r>
        <w:rPr>
          <w:rFonts w:hint="eastAsia"/>
        </w:rPr>
        <w:t xml:space="preserve">London），以及皇家学会（Royal</w:t>
      </w:r>
      <w:r>
        <w:t xml:space="preserve"> </w:t>
      </w:r>
      <w:r>
        <w:rPr>
          <w:rFonts w:hint="eastAsia"/>
        </w:rPr>
        <w:t xml:space="preserve">Society）、英国学术院（British</w:t>
      </w:r>
      <w:r>
        <w:t xml:space="preserve"> </w:t>
      </w:r>
      <w:r>
        <w:rPr>
          <w:rFonts w:hint="eastAsia"/>
        </w:rPr>
        <w:t xml:space="preserve">Academy）和惠康基金会（Wellcome</w:t>
      </w:r>
      <w:r>
        <w:t xml:space="preserve"> </w:t>
      </w:r>
      <w:r>
        <w:rPr>
          <w:rFonts w:hint="eastAsia"/>
        </w:rPr>
        <w:t xml:space="preserve">Trust）。</w:t>
      </w:r>
    </w:p>
    <w:p>
      <w:pPr>
        <w:pStyle w:val="BodyText"/>
      </w:pPr>
      <w:r>
        <w:rPr>
          <w:rFonts w:hint="eastAsia"/>
        </w:rPr>
        <w:t xml:space="preserve">签署方承诺提供至少</w:t>
      </w:r>
      <w:r>
        <w:t xml:space="preserve"> 52 </w:t>
      </w:r>
      <w:r>
        <w:rPr>
          <w:rFonts w:hint="eastAsia"/>
        </w:rPr>
        <w:t xml:space="preserve">周产假（其中</w:t>
      </w:r>
      <w:r>
        <w:t xml:space="preserve"> 26 </w:t>
      </w:r>
      <w:r>
        <w:rPr>
          <w:rFonts w:hint="eastAsia"/>
        </w:rPr>
        <w:t xml:space="preserve">周全额津贴）、至少</w:t>
      </w:r>
      <w:r>
        <w:t xml:space="preserve"> 2 </w:t>
      </w:r>
      <w:r>
        <w:rPr>
          <w:rFonts w:hint="eastAsia"/>
        </w:rPr>
        <w:t xml:space="preserve">周带薪伴侣假，以及涵盖孕期疾病、领养和新生儿护理的假期；提供弹性的非全时经费并调整评估时间线；对欺凌、骚扰和性行为不端建立清晰的报告机制；采用能兼顾职业中断和非全时工作的评估方法；并每年公布按性别拆分的经费成功率与人员数据。</w:t>
      </w:r>
    </w:p>
    <w:p>
      <w:pPr>
        <w:pStyle w:val="BodyText"/>
      </w:pPr>
      <w:r>
        <w:t xml:space="preserve">Kendall </w:t>
      </w:r>
      <w:r>
        <w:rPr>
          <w:rFonts w:hint="eastAsia"/>
        </w:rPr>
        <w:t xml:space="preserve">表示：“任何女性都不应被剥夺公平实现自身潜能的机会。”</w:t>
      </w:r>
    </w:p>
    <w:p>
      <w:pPr>
        <w:pStyle w:val="BodyText"/>
      </w:pPr>
      <w:r>
        <w:rPr>
          <w:b/>
          <w:bCs/>
        </w:rPr>
        <w:t xml:space="preserve">References</w:t>
      </w:r>
    </w:p>
    <w:p>
      <w:pPr>
        <w:pStyle w:val="BodyText"/>
      </w:pPr>
      <w:r>
        <w:t xml:space="preserve">[23] Department for Science, Innovation and Technology. (2026, July 1). Improved family leave and flexible working to signal step change in support for women researchers. GOV.UK. https://www.gov.uk/government/news/improved-family-leave-and-flexible-working-to-signal-step-change-in-support-for-women-researchers</w:t>
      </w:r>
    </w:p>
    <w:p>
      <w:r>
        <w:pict>
          <v:rect style="width:0;height:1.5pt" o:hralign="center" o:hrstd="t" o:hr="t"/>
        </w:pict>
      </w:r>
    </w:p>
    <w:bookmarkEnd w:id="20"/>
    <w:bookmarkStart w:id="21" w:name="英国全球人才签证设计通道7月1日开放面向国际设计专业人士"/>
    <w:p>
      <w:pPr>
        <w:pStyle w:val="Heading3"/>
      </w:pPr>
      <w:r>
        <w:rPr>
          <w:rFonts w:hint="eastAsia"/>
        </w:rPr>
        <w:t xml:space="preserve">英国全球人才签证设计通道7月1日开放，面向国际设计专业人士</w:t>
      </w:r>
    </w:p>
    <w:p>
      <w:pPr>
        <w:pStyle w:val="FirstParagraph"/>
      </w:pPr>
      <w:r>
        <w:rPr>
          <w:rFonts w:hint="eastAsia"/>
        </w:rPr>
        <w:t xml:space="preserve">英国全球人才签证（Global</w:t>
      </w:r>
      <w:r>
        <w:t xml:space="preserve"> Talent </w:t>
      </w:r>
      <w:r>
        <w:rPr>
          <w:rFonts w:hint="eastAsia"/>
        </w:rPr>
        <w:t xml:space="preserve">visa）7月1日起新增专门的设计（Design）通道，允许国际设计专业人士通过</w:t>
      </w:r>
      <w:r>
        <w:t xml:space="preserve"> Arts Council England </w:t>
      </w:r>
      <w:r>
        <w:rPr>
          <w:rFonts w:hint="eastAsia"/>
        </w:rPr>
        <w:t xml:space="preserve">申请认可（endorsement）。适用于在产品、时尚、平面以及数字技术设计领域展现杰出才能（exceptional</w:t>
      </w:r>
      <w:r>
        <w:t xml:space="preserve"> </w:t>
      </w:r>
      <w:r>
        <w:rPr>
          <w:rFonts w:hint="eastAsia"/>
        </w:rPr>
        <w:t xml:space="preserve">talent）或杰出潜力（exceptional</w:t>
      </w:r>
      <w:r>
        <w:t xml:space="preserve"> </w:t>
      </w:r>
      <w:r>
        <w:rPr>
          <w:rFonts w:hint="eastAsia"/>
        </w:rPr>
        <w:t xml:space="preserve">promise）的人士。</w:t>
      </w:r>
    </w:p>
    <w:p>
      <w:pPr>
        <w:pStyle w:val="BodyText"/>
      </w:pPr>
      <w:r>
        <w:rPr>
          <w:rFonts w:hint="eastAsia"/>
        </w:rPr>
        <w:t xml:space="preserve">此举将全球人才签证的适用范围由原有的科学、工程、人文、医学、艺术、文化和数字技术等类别进一步扩展。获设计类认可的申请人可享加速定居——杰出才能类满</w:t>
      </w:r>
      <w:r>
        <w:t xml:space="preserve"> 3 </w:t>
      </w:r>
      <w:r>
        <w:rPr>
          <w:rFonts w:hint="eastAsia"/>
        </w:rPr>
        <w:t xml:space="preserve">年、杰出潜力类满</w:t>
      </w:r>
      <w:r>
        <w:t xml:space="preserve"> 5 </w:t>
      </w:r>
      <w:r>
        <w:rPr>
          <w:rFonts w:hint="eastAsia"/>
        </w:rPr>
        <w:t xml:space="preserve">年即可申请。生效日期2026年7月1日已在《移民规则》全球人才附录中确认，由</w:t>
      </w:r>
      <w:r>
        <w:t xml:space="preserve"> UK Home Office </w:t>
      </w:r>
      <w:r>
        <w:rPr>
          <w:rFonts w:hint="eastAsia"/>
        </w:rPr>
        <w:t xml:space="preserve">发布。</w:t>
      </w:r>
    </w:p>
    <w:p>
      <w:pPr>
        <w:pStyle w:val="BodyText"/>
      </w:pPr>
      <w:r>
        <w:rPr>
          <w:b/>
          <w:bCs/>
        </w:rPr>
        <w:t xml:space="preserve">References</w:t>
      </w:r>
    </w:p>
    <w:p>
      <w:pPr>
        <w:pStyle w:val="BodyText"/>
      </w:pPr>
      <w:r>
        <w:t xml:space="preserve">[24] UK Home Office. (2026, July 1). Immigration Rules Appendix Global Talent. GOV.UK. https://www.gov.uk/government/publications/immigration-rules/immigration-rules-appendix-global-talent-innovator-visa</w:t>
      </w:r>
    </w:p>
    <w:p>
      <w:r>
        <w:pict>
          <v:rect style="width:0;height:1.5pt" o:hralign="center" o:hrstd="t" o:hr="t"/>
        </w:pict>
      </w:r>
    </w:p>
    <w:bookmarkEnd w:id="21"/>
    <w:bookmarkEnd w:id="22"/>
    <w:bookmarkStart w:id="25" w:name="五企业ipo与并购"/>
    <w:p>
      <w:pPr>
        <w:pStyle w:val="Heading2"/>
      </w:pPr>
      <w:r>
        <w:rPr>
          <w:rFonts w:hint="eastAsia"/>
        </w:rPr>
        <w:t xml:space="preserve">五、企业IPO与并购</w:t>
      </w:r>
    </w:p>
    <w:bookmarkStart w:id="23" w:name="natwest完成27亿英镑收购evelyn-partners财富管理业务"/>
    <w:p>
      <w:pPr>
        <w:pStyle w:val="Heading3"/>
      </w:pPr>
      <w:r>
        <w:rPr>
          <w:rFonts w:hint="eastAsia"/>
        </w:rPr>
        <w:t xml:space="preserve">NatWest完成27亿英镑收购Evelyn</w:t>
      </w:r>
      <w:r>
        <w:t xml:space="preserve"> </w:t>
      </w:r>
      <w:r>
        <w:rPr>
          <w:rFonts w:hint="eastAsia"/>
        </w:rPr>
        <w:t xml:space="preserve">Partners财富管理业务</w:t>
      </w:r>
    </w:p>
    <w:p>
      <w:pPr>
        <w:pStyle w:val="FirstParagraph"/>
      </w:pPr>
      <w:r>
        <w:t xml:space="preserve">NatWest Group plc </w:t>
      </w:r>
      <w:r>
        <w:rPr>
          <w:rFonts w:hint="eastAsia"/>
        </w:rPr>
        <w:t xml:space="preserve">7月1日宣布完成对英国财富管理机构</w:t>
      </w:r>
      <w:r>
        <w:t xml:space="preserve"> Evelyn Partners </w:t>
      </w:r>
      <w:r>
        <w:rPr>
          <w:rFonts w:hint="eastAsia"/>
        </w:rPr>
        <w:t xml:space="preserve">的收购，总对价约</w:t>
      </w:r>
      <w:r>
        <w:t xml:space="preserve"> £2.7 </w:t>
      </w:r>
      <w:r>
        <w:rPr>
          <w:rFonts w:hint="eastAsia"/>
        </w:rPr>
        <w:t xml:space="preserve">billion（约</w:t>
      </w:r>
      <w:r>
        <w:t xml:space="preserve"> USD 3.4 </w:t>
      </w:r>
      <w:r>
        <w:rPr>
          <w:rFonts w:hint="eastAsia"/>
        </w:rPr>
        <w:t xml:space="preserve">billion）。交易已获得所有必需的监管批准，于6月30日完成交割，7月1日正式对外公告。Evelyn</w:t>
      </w:r>
      <w:r>
        <w:t xml:space="preserve"> Partners </w:t>
      </w:r>
      <w:r>
        <w:rPr>
          <w:rFonts w:hint="eastAsia"/>
        </w:rPr>
        <w:t xml:space="preserve">管理约</w:t>
      </w:r>
      <w:r>
        <w:t xml:space="preserve"> £62 billion </w:t>
      </w:r>
      <w:r>
        <w:rPr>
          <w:rFonts w:hint="eastAsia"/>
        </w:rPr>
        <w:t xml:space="preserve">的客户资产。</w:t>
      </w:r>
    </w:p>
    <w:p>
      <w:pPr>
        <w:pStyle w:val="BodyText"/>
      </w:pPr>
      <w:r>
        <w:rPr>
          <w:rFonts w:hint="eastAsia"/>
        </w:rPr>
        <w:t xml:space="preserve">此次收购使</w:t>
      </w:r>
      <w:r>
        <w:t xml:space="preserve"> NatWest </w:t>
      </w:r>
      <w:r>
        <w:rPr>
          <w:rFonts w:hint="eastAsia"/>
        </w:rPr>
        <w:t xml:space="preserve">跻身英国最大的财富管理机构之列，将其零售与私人银行客群同</w:t>
      </w:r>
      <w:r>
        <w:t xml:space="preserve"> Evelyn </w:t>
      </w:r>
      <w:r>
        <w:rPr>
          <w:rFonts w:hint="eastAsia"/>
        </w:rPr>
        <w:t xml:space="preserve">的投资管理和财务规划能力相结合。交易由</w:t>
      </w:r>
      <w:r>
        <w:t xml:space="preserve"> Permira </w:t>
      </w:r>
      <w:r>
        <w:rPr>
          <w:rFonts w:hint="eastAsia"/>
        </w:rPr>
        <w:t xml:space="preserve">和</w:t>
      </w:r>
      <w:r>
        <w:t xml:space="preserve"> Warburg Pincus </w:t>
      </w:r>
      <w:r>
        <w:rPr>
          <w:rFonts w:hint="eastAsia"/>
        </w:rPr>
        <w:t xml:space="preserve">旗下基金出售股权，2026年2月达成协议时</w:t>
      </w:r>
      <w:r>
        <w:t xml:space="preserve"> NatWest </w:t>
      </w:r>
      <w:r>
        <w:rPr>
          <w:rFonts w:hint="eastAsia"/>
        </w:rPr>
        <w:t xml:space="preserve">同步宣布了一项</w:t>
      </w:r>
      <w:r>
        <w:t xml:space="preserve"> £750m </w:t>
      </w:r>
      <w:r>
        <w:rPr>
          <w:rFonts w:hint="eastAsia"/>
        </w:rPr>
        <w:t xml:space="preserve">的股份回购。NatWest</w:t>
      </w:r>
      <w:r>
        <w:t xml:space="preserve"> </w:t>
      </w:r>
      <w:r>
        <w:rPr>
          <w:rFonts w:hint="eastAsia"/>
        </w:rPr>
        <w:t xml:space="preserve">首席执行官称该交易是集团发展财富管理战略的“重要里程碑”。</w:t>
      </w:r>
    </w:p>
    <w:p>
      <w:pPr>
        <w:pStyle w:val="BodyText"/>
      </w:pPr>
      <w:r>
        <w:rPr>
          <w:b/>
          <w:bCs/>
        </w:rPr>
        <w:t xml:space="preserve">References</w:t>
      </w:r>
    </w:p>
    <w:p>
      <w:pPr>
        <w:pStyle w:val="BodyText"/>
      </w:pPr>
      <w:r>
        <w:t xml:space="preserve">[25] NatWest Group. (2026, July 1). NatWest Group announces the completion of the acquisition of Evelyn Partners. NatWest Group. https://www.natwestgroup.com/news-and-insights/news-room/press-releases/financial-reporting/2026/jul/natwest-group-announces-the-completion-of-the-acquisition-of-eve.html</w:t>
      </w:r>
    </w:p>
    <w:p>
      <w:r>
        <w:pict>
          <v:rect style="width:0;height:1.5pt" o:hralign="center" o:hrstd="t" o:hr="t"/>
        </w:pict>
      </w:r>
    </w:p>
    <w:bookmarkEnd w:id="23"/>
    <w:bookmarkStart w:id="24" w:name="英国政府倾向于干预1100亿美元派拉蒙与华纳兄弟探索合并理由为媒体多元化"/>
    <w:p>
      <w:pPr>
        <w:pStyle w:val="Heading3"/>
      </w:pPr>
      <w:r>
        <w:rPr>
          <w:rFonts w:hint="eastAsia"/>
        </w:rPr>
        <w:t xml:space="preserve">英国政府“倾向于干预”1100亿美元派拉蒙与华纳兄弟探索合并，理由为媒体多元化</w:t>
      </w:r>
    </w:p>
    <w:p>
      <w:pPr>
        <w:pStyle w:val="FirstParagraph"/>
      </w:pPr>
      <w:r>
        <w:rPr>
          <w:rFonts w:hint="eastAsia"/>
        </w:rPr>
        <w:t xml:space="preserve">英国文化、媒体与体育大臣</w:t>
      </w:r>
      <w:r>
        <w:t xml:space="preserve"> Lisa Nandy </w:t>
      </w:r>
      <w:r>
        <w:rPr>
          <w:rFonts w:hint="eastAsia"/>
        </w:rPr>
        <w:t xml:space="preserve">7月1日通知</w:t>
      </w:r>
      <w:r>
        <w:t xml:space="preserve"> Paramount Skydance </w:t>
      </w:r>
      <w:r>
        <w:rPr>
          <w:rFonts w:hint="eastAsia"/>
        </w:rPr>
        <w:t xml:space="preserve">以</w:t>
      </w:r>
      <w:r>
        <w:t xml:space="preserve"> $110 billion </w:t>
      </w:r>
      <w:r>
        <w:rPr>
          <w:rFonts w:hint="eastAsia"/>
        </w:rPr>
        <w:t xml:space="preserve">收购</w:t>
      </w:r>
      <w:r>
        <w:t xml:space="preserve"> Warner Bros. Discovery </w:t>
      </w:r>
      <w:r>
        <w:rPr>
          <w:rFonts w:hint="eastAsia"/>
        </w:rPr>
        <w:t xml:space="preserve">的交易双方，称她“倾向于干预”（minded</w:t>
      </w:r>
      <w:r>
        <w:t xml:space="preserve"> to </w:t>
      </w:r>
      <w:r>
        <w:rPr>
          <w:rFonts w:hint="eastAsia"/>
        </w:rPr>
        <w:t xml:space="preserve">intervene），依据《2002年企业法》（Enterprise</w:t>
      </w:r>
      <w:r>
        <w:t xml:space="preserve"> Act </w:t>
      </w:r>
      <w:r>
        <w:rPr>
          <w:rFonts w:hint="eastAsia"/>
        </w:rPr>
        <w:t xml:space="preserve">2002）第</w:t>
      </w:r>
      <w:r>
        <w:t xml:space="preserve"> 42 </w:t>
      </w:r>
      <w:r>
        <w:rPr>
          <w:rFonts w:hint="eastAsia"/>
        </w:rPr>
        <w:t xml:space="preserve">条，以媒体多元化的公共利益为由——即新闻媒体观点的“充分多元”以及控制媒体企业者的多元。纳入审查范围的英国资产包括</w:t>
      </w:r>
      <w:r>
        <w:t xml:space="preserve"> Channel 5、TNT Sports、Cartoon Network、Nickelodeon、CNN International、Paramount+ </w:t>
      </w:r>
      <w:r>
        <w:rPr>
          <w:rFonts w:hint="eastAsia"/>
        </w:rPr>
        <w:t xml:space="preserve">和</w:t>
      </w:r>
      <w:r>
        <w:t xml:space="preserve"> HBO Max。</w:t>
      </w:r>
    </w:p>
    <w:p>
      <w:pPr>
        <w:pStyle w:val="BodyText"/>
      </w:pPr>
      <w:r>
        <w:t xml:space="preserve">Nandy </w:t>
      </w:r>
      <w:r>
        <w:rPr>
          <w:rFonts w:hint="eastAsia"/>
        </w:rPr>
        <w:t xml:space="preserve">还表示正考虑将公共利益审查依据扩展至流媒体/点播（VOD）服务，指出现行法律“未涵盖合并对流媒体或视频点播服务的影响”。双方须在7月6日前提交书面陈述。CMA</w:t>
      </w:r>
      <w:r>
        <w:t xml:space="preserve"> </w:t>
      </w:r>
      <w:r>
        <w:rPr>
          <w:rFonts w:hint="eastAsia"/>
        </w:rPr>
        <w:t xml:space="preserve">启动了一期定于8月7日前结束的第一阶段合并调查。截至7月1日，美国</w:t>
      </w:r>
      <w:r>
        <w:t xml:space="preserve"> US DOJ </w:t>
      </w:r>
      <w:r>
        <w:rPr>
          <w:rFonts w:hint="eastAsia"/>
        </w:rPr>
        <w:t xml:space="preserve">已放行该交易，澳大利亚</w:t>
      </w:r>
      <w:r>
        <w:t xml:space="preserve"> ACCC </w:t>
      </w:r>
      <w:r>
        <w:rPr>
          <w:rFonts w:hint="eastAsia"/>
        </w:rPr>
        <w:t xml:space="preserve">也已批准（为期</w:t>
      </w:r>
      <w:r>
        <w:t xml:space="preserve"> 14 </w:t>
      </w:r>
      <w:r>
        <w:rPr>
          <w:rFonts w:hint="eastAsia"/>
        </w:rPr>
        <w:t xml:space="preserve">天的审查于6月23日结束）。</w:t>
      </w:r>
    </w:p>
    <w:p>
      <w:pPr>
        <w:pStyle w:val="BodyText"/>
      </w:pPr>
      <w:r>
        <w:rPr>
          <w:rFonts w:hint="eastAsia"/>
        </w:rPr>
        <w:t xml:space="preserve">英国政府分析认为，合并后的公司将成为英国第三大线性广播机构，合计约</w:t>
      </w:r>
      <w:r>
        <w:t xml:space="preserve"> 12.1% </w:t>
      </w:r>
      <w:r>
        <w:rPr>
          <w:rFonts w:hint="eastAsia"/>
        </w:rPr>
        <w:t xml:space="preserve">的收视份额，仅次于</w:t>
      </w:r>
      <w:r>
        <w:t xml:space="preserve"> BBC </w:t>
      </w:r>
      <w:r>
        <w:rPr>
          <w:rFonts w:hint="eastAsia"/>
        </w:rPr>
        <w:t xml:space="preserve">和</w:t>
      </w:r>
      <w:r>
        <w:t xml:space="preserve"> </w:t>
      </w:r>
      <w:r>
        <w:rPr>
          <w:rFonts w:hint="eastAsia"/>
        </w:rPr>
        <w:t xml:space="preserve">ITV；儿童电视被列为特别关注领域。Nandy</w:t>
      </w:r>
      <w:r>
        <w:t xml:space="preserve"> </w:t>
      </w:r>
      <w:r>
        <w:rPr>
          <w:rFonts w:hint="eastAsia"/>
        </w:rPr>
        <w:t xml:space="preserve">表示：“我在现阶段尚未就是否干预作出最终决定。”</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[26] Baker, E. (2026, July 1). UK government</w:t>
      </w:r>
      <w:r>
        <w:t xml:space="preserve"> </w:t>
      </w:r>
      <w:r>
        <w:t xml:space="preserve">‘minded to intervene’</w:t>
      </w:r>
      <w:r>
        <w:t xml:space="preserve"> </w:t>
      </w:r>
      <w:r>
        <w:t xml:space="preserve">in $110bn Paramount–WBD merger. IBC. https://www.ibc.org/people-purpose/news/uk-government-minded-to-intervene-in-110bn-paramount-wbd-merger/22794</w:t>
      </w:r>
      <w:r>
        <w:t xml:space="preserve"> </w:t>
      </w:r>
      <w:r>
        <w:t xml:space="preserve">[27] Variety. (2026, July 1). British government eyes Paramount takeover of Warner Bros. Discovery. Variety. https://variety.com/2026/film/global/british-government-paramount-takeover-warner-bros-discovery-1236799135/</w:t>
      </w:r>
      <w:r>
        <w:t xml:space="preserve"> </w:t>
      </w:r>
      <w:r>
        <w:t xml:space="preserve">[28] CNN. (2026, June 30). UK government says it’s likely to challenge $110 billion Paramount-Warner Bros. merger. CNN. https://www.cnn.com/2026/06/30/media/uk-discovery-wbd-merger-intl</w:t>
      </w:r>
      <w:r>
        <w:t xml:space="preserve"> </w:t>
      </w:r>
      <w:r>
        <w:t xml:space="preserve">[29] Deadline. (2026, June 30). Paramount-Warner Bros investigated by UK competition authority. Deadline. https://deadline.com/2026/06/paramount-warner-bros-investigated-uk-competition-authority-1236951250/</w:t>
      </w:r>
    </w:p>
    <w:p>
      <w:r>
        <w:pict>
          <v:rect style="width:0;height:1.5pt" o:hralign="center" o:hrstd="t" o:hr="t"/>
        </w:pict>
      </w:r>
    </w:p>
    <w:bookmarkEnd w:id="24"/>
    <w:bookmarkEnd w:id="25"/>
    <w:bookmarkStart w:id="28" w:name="六其他重要事件"/>
    <w:p>
      <w:pPr>
        <w:pStyle w:val="Heading2"/>
      </w:pPr>
      <w:r>
        <w:rPr>
          <w:rFonts w:hint="eastAsia"/>
        </w:rPr>
        <w:t xml:space="preserve">六、其他重要事件</w:t>
      </w:r>
    </w:p>
    <w:bookmarkStart w:id="26" w:name="英国最高法院裁定hmrc胜诉对冲基金bluecrest面临近2亿英镑税负"/>
    <w:p>
      <w:pPr>
        <w:pStyle w:val="Heading3"/>
      </w:pPr>
      <w:r>
        <w:rPr>
          <w:rFonts w:hint="eastAsia"/>
        </w:rPr>
        <w:t xml:space="preserve">英国最高法院裁定HMRC胜诉，对冲基金BlueCrest面临近2亿英镑税负</w:t>
      </w:r>
    </w:p>
    <w:p>
      <w:pPr>
        <w:pStyle w:val="FirstParagraph"/>
      </w:pPr>
      <w:r>
        <w:rPr>
          <w:rFonts w:hint="eastAsia"/>
        </w:rPr>
        <w:t xml:space="preserve">英国最高法院7月1日一致驳回</w:t>
      </w:r>
      <w:r>
        <w:t xml:space="preserve"> BlueCrest Capital Management (UK) LLP </w:t>
      </w:r>
      <w:r>
        <w:rPr>
          <w:rFonts w:hint="eastAsia"/>
        </w:rPr>
        <w:t xml:space="preserve">对</w:t>
      </w:r>
      <w:r>
        <w:t xml:space="preserve"> HMRC </w:t>
      </w:r>
      <w:r>
        <w:rPr>
          <w:rFonts w:hint="eastAsia"/>
        </w:rPr>
        <w:t xml:space="preserve">的上诉，裁定该基金部分高级交易员应按受薪雇员而非利润分成的有限责任合伙（LLP）成员纳税。判决引用编号</w:t>
      </w:r>
      <w:r>
        <w:t xml:space="preserve"> [2026] UKSC </w:t>
      </w:r>
      <w:r>
        <w:rPr>
          <w:rFonts w:hint="eastAsia"/>
        </w:rPr>
        <w:t xml:space="preserve">18，案号</w:t>
      </w:r>
      <w:r>
        <w:t xml:space="preserve"> </w:t>
      </w:r>
      <w:r>
        <w:rPr>
          <w:rFonts w:hint="eastAsia"/>
        </w:rPr>
        <w:t xml:space="preserve">UKSC/2025/0028，由</w:t>
      </w:r>
      <w:r>
        <w:t xml:space="preserve"> Briggs、Hamblen、Burrows、Richards、Simler </w:t>
      </w:r>
      <w:r>
        <w:rPr>
          <w:rFonts w:hint="eastAsia"/>
        </w:rPr>
        <w:t xml:space="preserve">五位法官作出。</w:t>
      </w:r>
    </w:p>
    <w:p>
      <w:pPr>
        <w:pStyle w:val="BodyText"/>
      </w:pPr>
      <w:r>
        <w:rPr>
          <w:rFonts w:hint="eastAsia"/>
        </w:rPr>
        <w:t xml:space="preserve">争议围绕受薪成员规则（Salaried</w:t>
      </w:r>
      <w:r>
        <w:t xml:space="preserve"> Members </w:t>
      </w:r>
      <w:r>
        <w:rPr>
          <w:rFonts w:hint="eastAsia"/>
        </w:rPr>
        <w:t xml:space="preserve">Rules，源自</w:t>
      </w:r>
      <w:r>
        <w:t xml:space="preserve"> </w:t>
      </w:r>
      <w:r>
        <w:rPr>
          <w:rFonts w:hint="eastAsia"/>
        </w:rPr>
        <w:t xml:space="preserve">2005年《所得税（交易及其他收入）法》，2014年立法）及其三项条件（A、B、C）。HMRC</w:t>
      </w:r>
      <w:r>
        <w:t xml:space="preserve"> </w:t>
      </w:r>
      <w:r>
        <w:rPr>
          <w:rFonts w:hint="eastAsia"/>
        </w:rPr>
        <w:t xml:space="preserve">的立场——获得支持——是相关成员领取的是固定报酬、与利润无关，且缺乏足以通过测试的影响力。创始人</w:t>
      </w:r>
      <w:r>
        <w:t xml:space="preserve"> Michael </w:t>
      </w:r>
      <w:r>
        <w:rPr>
          <w:rFonts w:hint="eastAsia"/>
        </w:rPr>
        <w:t xml:space="preserve">Platt（2026年《星期日泰晤士报》富豪榜第</w:t>
      </w:r>
      <w:r>
        <w:t xml:space="preserve"> 12 </w:t>
      </w:r>
      <w:r>
        <w:rPr>
          <w:rFonts w:hint="eastAsia"/>
        </w:rPr>
        <w:t xml:space="preserve">位，约</w:t>
      </w:r>
      <w:r>
        <w:t xml:space="preserve"> </w:t>
      </w:r>
      <w:r>
        <w:rPr>
          <w:rFonts w:hint="eastAsia"/>
        </w:rPr>
        <w:t xml:space="preserve">£13bn）曾主张他们是真正的利润分成成员。</w:t>
      </w:r>
    </w:p>
    <w:p>
      <w:pPr>
        <w:pStyle w:val="BodyText"/>
      </w:pPr>
      <w:r>
        <w:rPr>
          <w:rFonts w:hint="eastAsia"/>
        </w:rPr>
        <w:t xml:space="preserve">裁决使</w:t>
      </w:r>
      <w:r>
        <w:t xml:space="preserve"> BlueCrest </w:t>
      </w:r>
      <w:r>
        <w:rPr>
          <w:rFonts w:hint="eastAsia"/>
        </w:rPr>
        <w:t xml:space="preserve">就</w:t>
      </w:r>
      <w:r>
        <w:t xml:space="preserve"> 2014/15 </w:t>
      </w:r>
      <w:r>
        <w:rPr>
          <w:rFonts w:hint="eastAsia"/>
        </w:rPr>
        <w:t xml:space="preserve">至</w:t>
      </w:r>
      <w:r>
        <w:t xml:space="preserve"> 2018/19 </w:t>
      </w:r>
      <w:r>
        <w:rPr>
          <w:rFonts w:hint="eastAsia"/>
        </w:rPr>
        <w:t xml:space="preserve">纳税年度面临合计近</w:t>
      </w:r>
      <w:r>
        <w:t xml:space="preserve"> £200 million </w:t>
      </w:r>
      <w:r>
        <w:rPr>
          <w:rFonts w:hint="eastAsia"/>
        </w:rPr>
        <w:t xml:space="preserve">的税负，并强化了</w:t>
      </w:r>
      <w:r>
        <w:t xml:space="preserve"> HMRC </w:t>
      </w:r>
      <w:r>
        <w:rPr>
          <w:rFonts w:hint="eastAsia"/>
        </w:rPr>
        <w:t xml:space="preserve">在类似</w:t>
      </w:r>
      <w:r>
        <w:t xml:space="preserve"> LLP </w:t>
      </w:r>
      <w:r>
        <w:rPr>
          <w:rFonts w:hint="eastAsia"/>
        </w:rPr>
        <w:t xml:space="preserve">受薪成员案件中的立场。此案自2021年3月首次在一级税务法庭审理，经上级法庭、上诉法院逐级审理至最高法院。介入方包括</w:t>
      </w:r>
      <w:r>
        <w:t xml:space="preserve"> AIMA </w:t>
      </w:r>
      <w:r>
        <w:rPr>
          <w:rFonts w:hint="eastAsia"/>
        </w:rPr>
        <w:t xml:space="preserve">和</w:t>
      </w:r>
      <w:r>
        <w:t xml:space="preserve"> Managed Funds Association。MFA </w:t>
      </w:r>
      <w:r>
        <w:rPr>
          <w:rFonts w:hint="eastAsia"/>
        </w:rPr>
        <w:t xml:space="preserve">的</w:t>
      </w:r>
      <w:r>
        <w:t xml:space="preserve"> Rob Hailey </w:t>
      </w:r>
      <w:r>
        <w:rPr>
          <w:rFonts w:hint="eastAsia"/>
        </w:rPr>
        <w:t xml:space="preserve">表示：“企业需要稳定且可预期的环境来作出长期投资决策。”</w:t>
      </w:r>
    </w:p>
    <w:p>
      <w:pPr>
        <w:pStyle w:val="BodyText"/>
      </w:pPr>
      <w:r>
        <w:rPr>
          <w:b/>
          <w:bCs/>
        </w:rPr>
        <w:t xml:space="preserve">References</w:t>
      </w:r>
    </w:p>
    <w:p>
      <w:pPr>
        <w:pStyle w:val="BodyText"/>
      </w:pPr>
      <w:r>
        <w:t xml:space="preserve">[30] UK Supreme Court. (2026, July 1). HMRC v BlueCrest Capital Management (UK) LLP. UK Supreme Court. https://www.supremecourt.uk/cases/uksc-2025-0028.html</w:t>
      </w:r>
      <w:r>
        <w:t xml:space="preserve"> </w:t>
      </w:r>
      <w:r>
        <w:t xml:space="preserve">[31] Bloomberg News. (2026, July 1). BlueCrest loses $200 million UK top court lawsuit over senior trader taxes. Bloomberg. https://www.bloomberg.com/news/articles/2026-07-01/bluecrest-loses-200-million-uk-top-court-lawsuit-over-senior-trader-taxes</w:t>
      </w:r>
      <w:r>
        <w:t xml:space="preserve"> </w:t>
      </w:r>
      <w:r>
        <w:t xml:space="preserve">[32] City AM. (2026, July 1). Hedge fund run by UK’s wealthiest financier loses £200m tax battle. City AM. https://www.cityam.com/hedge-fund-run-by-uks-wealthiest-financier-loses-200m-tax-battle/</w:t>
      </w:r>
    </w:p>
    <w:p>
      <w:r>
        <w:pict>
          <v:rect style="width:0;height:1.5pt" o:hralign="center" o:hrstd="t" o:hr="t"/>
        </w:pict>
      </w:r>
    </w:p>
    <w:bookmarkEnd w:id="26"/>
    <w:bookmarkStart w:id="27" w:name="英国最高法院就丹麦税务机关诉edf-man争点禁反言案作出判决"/>
    <w:p>
      <w:pPr>
        <w:pStyle w:val="Heading3"/>
      </w:pPr>
      <w:r>
        <w:rPr>
          <w:rFonts w:hint="eastAsia"/>
        </w:rPr>
        <w:t xml:space="preserve">英国最高法院就丹麦税务机关诉ED&amp;F</w:t>
      </w:r>
      <w:r>
        <w:t xml:space="preserve"> </w:t>
      </w:r>
      <w:r>
        <w:rPr>
          <w:rFonts w:hint="eastAsia"/>
        </w:rPr>
        <w:t xml:space="preserve">Man争点禁反言案作出判决</w:t>
      </w:r>
    </w:p>
    <w:p>
      <w:pPr>
        <w:pStyle w:val="FirstParagraph"/>
      </w:pPr>
      <w:r>
        <w:rPr>
          <w:rFonts w:hint="eastAsia"/>
        </w:rPr>
        <w:t xml:space="preserve">英国最高法院7月1日就</w:t>
      </w:r>
      <w:r>
        <w:t xml:space="preserve"> </w:t>
      </w:r>
      <w:r>
        <w:rPr>
          <w:rFonts w:hint="eastAsia"/>
        </w:rPr>
        <w:t xml:space="preserve">Skatteforvaltningen（丹麦海关与税务管理局，“SKAT”）诉</w:t>
      </w:r>
      <w:r>
        <w:t xml:space="preserve"> MCML </w:t>
      </w:r>
      <w:r>
        <w:rPr>
          <w:rFonts w:hint="eastAsia"/>
        </w:rPr>
        <w:t xml:space="preserve">Ltd（前身为</w:t>
      </w:r>
      <w:r>
        <w:t xml:space="preserve"> ED&amp;F Man Capital Markets </w:t>
      </w:r>
      <w:r>
        <w:rPr>
          <w:rFonts w:hint="eastAsia"/>
        </w:rPr>
        <w:t xml:space="preserve">Ltd）一案作出判决，引用编号</w:t>
      </w:r>
      <w:r>
        <w:t xml:space="preserve"> [2026] UKSC </w:t>
      </w:r>
      <w:r>
        <w:rPr>
          <w:rFonts w:hint="eastAsia"/>
        </w:rPr>
        <w:t xml:space="preserve">19，案号</w:t>
      </w:r>
      <w:r>
        <w:t xml:space="preserve"> </w:t>
      </w:r>
      <w:r>
        <w:rPr>
          <w:rFonts w:hint="eastAsia"/>
        </w:rPr>
        <w:t xml:space="preserve">UKSC/2025/0090，由</w:t>
      </w:r>
      <w:r>
        <w:t xml:space="preserve"> Sales、Lloyd-Jones、Rose、Simler、Doherty </w:t>
      </w:r>
      <w:r>
        <w:rPr>
          <w:rFonts w:hint="eastAsia"/>
        </w:rPr>
        <w:t xml:space="preserve">五位法官审理，2月11日至12日开庭。</w:t>
      </w:r>
    </w:p>
    <w:p>
      <w:pPr>
        <w:pStyle w:val="BodyText"/>
      </w:pPr>
      <w:r>
        <w:rPr>
          <w:rFonts w:hint="eastAsia"/>
        </w:rPr>
        <w:t xml:space="preserve">案件涉及争点禁反言（issue</w:t>
      </w:r>
      <w:r>
        <w:t xml:space="preserve"> </w:t>
      </w:r>
      <w:r>
        <w:rPr>
          <w:rFonts w:hint="eastAsia"/>
        </w:rPr>
        <w:t xml:space="preserve">estoppel）——SKAT</w:t>
      </w:r>
      <w:r>
        <w:t xml:space="preserve"> </w:t>
      </w:r>
      <w:r>
        <w:rPr>
          <w:rFonts w:hint="eastAsia"/>
        </w:rPr>
        <w:t xml:space="preserve">在2022年提出的欺诈性虚假陈述索赔，是否因2018年针对同一被告的过失索赔而被阻断。SKAT</w:t>
      </w:r>
      <w:r>
        <w:t xml:space="preserve"> </w:t>
      </w:r>
      <w:r>
        <w:rPr>
          <w:rFonts w:hint="eastAsia"/>
        </w:rPr>
        <w:t xml:space="preserve">指控</w:t>
      </w:r>
      <w:r>
        <w:t xml:space="preserve"> ED&amp;F Man </w:t>
      </w:r>
      <w:r>
        <w:rPr>
          <w:rFonts w:hint="eastAsia"/>
        </w:rPr>
        <w:t xml:space="preserve">作出虚假陈述，诱使其在“cum-ex”/股息套利安排下发放不当的股息税退款，令丹麦国库受骗。2018年的索赔曾依据“税收规则”（Revenue</w:t>
      </w:r>
      <w:r>
        <w:t xml:space="preserve"> </w:t>
      </w:r>
      <w:r>
        <w:rPr>
          <w:rFonts w:hint="eastAsia"/>
        </w:rPr>
        <w:t xml:space="preserve">Rule，即英格兰法院不得执行外国政府的税收主张）被驳回。MCML</w:t>
      </w:r>
      <w:r>
        <w:t xml:space="preserve"> </w:t>
      </w:r>
      <w:r>
        <w:rPr>
          <w:rFonts w:hint="eastAsia"/>
        </w:rPr>
        <w:t xml:space="preserve">主张</w:t>
      </w:r>
      <w:r>
        <w:t xml:space="preserve"> SKAT </w:t>
      </w:r>
      <w:r>
        <w:rPr>
          <w:rFonts w:hint="eastAsia"/>
        </w:rPr>
        <w:t xml:space="preserve">已就2018年已决或可决事项被争点禁反言阻断，上诉法院此前采纳了这一立场。</w:t>
      </w:r>
    </w:p>
    <w:p>
      <w:pPr>
        <w:pStyle w:val="BodyText"/>
      </w:pPr>
      <w:r>
        <w:rPr>
          <w:rFonts w:hint="eastAsia"/>
        </w:rPr>
        <w:t xml:space="preserve">最高法院审理的核心，是在先前索赔因管辖/程序理由而非实体理由败诉的情形下，争点禁反言的适用范围与界限——这对未来的跨境</w:t>
      </w:r>
      <w:r>
        <w:t xml:space="preserve"> cum-ex </w:t>
      </w:r>
      <w:r>
        <w:rPr>
          <w:rFonts w:hint="eastAsia"/>
        </w:rPr>
        <w:t xml:space="preserve">诉讼具有重要意义。cum-ex</w:t>
      </w:r>
      <w:r>
        <w:t xml:space="preserve"> </w:t>
      </w:r>
      <w:r>
        <w:rPr>
          <w:rFonts w:hint="eastAsia"/>
        </w:rPr>
        <w:t xml:space="preserve">交易通过在除息日前后快速倒手股份，就同一笔股息制造多重退税，SKAT</w:t>
      </w:r>
      <w:r>
        <w:t xml:space="preserve"> </w:t>
      </w:r>
      <w:r>
        <w:rPr>
          <w:rFonts w:hint="eastAsia"/>
        </w:rPr>
        <w:t xml:space="preserve">在英国追索的相关退款规模高达逾</w:t>
      </w:r>
      <w:r>
        <w:t xml:space="preserve"> £15 </w:t>
      </w:r>
      <w:r>
        <w:rPr>
          <w:rFonts w:hint="eastAsia"/>
        </w:rPr>
        <w:t xml:space="preserve">亿。</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[33] UK Supreme Court. (2026, July 1). Skatteforvaltningen v MCML Ltd (formerly ED&amp;F Man Capital Markets Ltd). UK Supreme Court. https://www.supremecourt.uk/cases/uksc-2025-0090.html</w:t>
      </w:r>
      <w:r>
        <w:t xml:space="preserve"> </w:t>
      </w:r>
      <w:r>
        <w:t xml:space="preserve">[34] Norton Rose Fulbright. (2025, October). Denmark’s £1.5 billion fraud claim dismissed for lack of jurisdiction under</w:t>
      </w:r>
      <w:r>
        <w:t xml:space="preserve"> </w:t>
      </w:r>
      <w:r>
        <w:t xml:space="preserve">‘Revenue Rule’</w:t>
      </w:r>
      <w:r>
        <w:t xml:space="preserve">. Norton Rose Fulbright. https://www.nortonrosefulbright.com/en/inside-disputes/blog/denmarks-1-5-billion-fraud-claim-dismissed-for-lack-of-jurisdiction-under-revenue-rule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2026-07-01T13:10:31Z</dcterms:created>
  <dcterms:modified xsi:type="dcterms:W3CDTF">2026-07-01T13:10:31Z</dcterms:modified>
</cp:coreProperties>
</file>

<file path=docProps/custom.xml><?xml version="1.0" encoding="utf-8"?>
<Properties xmlns="http://schemas.openxmlformats.org/officeDocument/2006/custom-properties" xmlns:vt="http://schemas.openxmlformats.org/officeDocument/2006/docPropsVTypes"/>
</file>