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a21640544647aaa3feb200106be68817504c9f"/>
    <w:p>
      <w:pPr>
        <w:pStyle w:val="Heading1"/>
      </w:pPr>
      <w:r>
        <w:t xml:space="preserve">United Kingdom Daily News Intelligence — July 1, 2026</w:t>
      </w:r>
    </w:p>
    <w:bookmarkStart w:id="12" w:name="economy-markets"/>
    <w:p>
      <w:pPr>
        <w:pStyle w:val="Heading2"/>
      </w:pPr>
      <w:r>
        <w:t xml:space="preserve">1. Economy &amp; Markets</w:t>
      </w:r>
    </w:p>
    <w:bookmarkStart w:id="9" w:name="X4a79b034108781448d7001e69284ec2860a5670"/>
    <w:p>
      <w:pPr>
        <w:pStyle w:val="Heading3"/>
      </w:pPr>
      <w:r>
        <w:t xml:space="preserve">UK manufacturing PMI holds at 52.5 in June as export orders slip on US tariff strain</w:t>
      </w:r>
    </w:p>
    <w:p>
      <w:pPr>
        <w:pStyle w:val="FirstParagraph"/>
      </w:pPr>
      <w:r>
        <w:t xml:space="preserve">S&amp;P Global’s UK Manufacturing PMI came in at 52.5 for June 2026, holding above the 50-point line that separates expansion from contraction for a second consecutive month and beating forecasts of a sharper slowdown. The reading, released 1 July 2026, cooled only marginally from May’s 52.8 print.</w:t>
      </w:r>
    </w:p>
    <w:p>
      <w:pPr>
        <w:pStyle w:val="BodyText"/>
      </w:pPr>
      <w:r>
        <w:t xml:space="preserve">The detail underneath the headline is where the strain shows. New export orders slipped as buyers hesitated amid uncertainty over US tariff policy, while domestic orders held firm — propped up in part by pre-tariff stockpiling as customers pulled purchases forward ahead of expected duties. The output sub-index climbed to a four-month high, suggesting factories are still clearing work even as forward-looking demand softens.</w:t>
      </w:r>
    </w:p>
    <w:p>
      <w:pPr>
        <w:pStyle w:val="BodyText"/>
      </w:pPr>
      <w:r>
        <w:t xml:space="preserve">Manufacturers pointed to currency swings, energy costs, and supply-chain repricing as the main pressures on margins. The stabilisation matters because UK factory activity spent the early part of the year in contraction; two months above 50 mark a tentative recovery. But the export weakness leaves a clear downside risk into the third quarter, when the pre-tariff order cushion runs out and US trade measures bite harder.</w:t>
      </w:r>
    </w:p>
    <w:p>
      <w:pPr>
        <w:pStyle w:val="BodyText"/>
      </w:pPr>
      <w:r>
        <w:rPr>
          <w:b/>
          <w:bCs/>
        </w:rPr>
        <w:t xml:space="preserve">References</w:t>
      </w:r>
    </w:p>
    <w:p>
      <w:pPr>
        <w:pStyle w:val="BodyText"/>
      </w:pPr>
      <w:r>
        <w:t xml:space="preserve">[1] Reuters. (2026, July 1). UK manufacturing activity cools despite output rise. Yahoo Finance. https://finance.yahoo.com/economy/articles/uk-manufacturing-activity-cools-despite-083730950.html</w:t>
      </w:r>
    </w:p>
    <w:p>
      <w:r>
        <w:pict>
          <v:rect style="width:0;height:1.5pt" o:hralign="center" o:hrstd="t" o:hr="t"/>
        </w:pict>
      </w:r>
    </w:p>
    <w:bookmarkEnd w:id="9"/>
    <w:bookmarkStart w:id="10" w:name="Xb6dbc3146f1bcf30b18a8d18a76dc2da1ce3262"/>
    <w:p>
      <w:pPr>
        <w:pStyle w:val="Heading3"/>
      </w:pPr>
      <w:r>
        <w:t xml:space="preserve">UK steel trade measure replaces safeguard from 1 July, cutting tariff-free quota 60%</w:t>
      </w:r>
    </w:p>
    <w:p>
      <w:pPr>
        <w:pStyle w:val="FirstParagraph"/>
      </w:pPr>
      <w:r>
        <w:t xml:space="preserve">The UK’s new Steel Trade Measure took effect 1 July 2026, replacing the Steel Safeguard Measure that Britain had carried over from its EU membership and that was due to expire the same day. It cuts overall tariff-free import quota volumes by 60% against the old safeguard and slaps a 50% additional tariff on any imports above the threshold, across 15 product categories.</w:t>
      </w:r>
    </w:p>
    <w:p>
      <w:pPr>
        <w:pStyle w:val="BodyText"/>
      </w:pPr>
      <w:r>
        <w:t xml:space="preserve">The Department for Business and Trade designed the tighter regime to shield domestic producers from an import surge as the old 25% safeguard duty lapsed. The backdrop is stark: UK crude steel production has more than halved over the past decade, hit by a wave of cheap imports tied to global overcapacity that is driven largely by Chinese output. The move brings Britain into line with defensive action already taken by the US, EU, and Canada.</w:t>
      </w:r>
    </w:p>
    <w:p>
      <w:pPr>
        <w:pStyle w:val="BodyText"/>
      </w:pPr>
      <w:r>
        <w:t xml:space="preserve">Quota access runs on a first-come, first-served basis administered by HMRC and is allocated quarterly through to 30 June 2027. Trade bodies have warned the tighter quotas could raise input costs and complicate logistics for smaller importers, who now face the 50% wall far sooner in the year than under the previous framework.</w:t>
      </w:r>
    </w:p>
    <w:p>
      <w:pPr>
        <w:pStyle w:val="BodyText"/>
      </w:pPr>
      <w:r>
        <w:rPr>
          <w:b/>
          <w:bCs/>
        </w:rPr>
        <w:t xml:space="preserve">References</w:t>
      </w:r>
    </w:p>
    <w:p>
      <w:pPr>
        <w:pStyle w:val="BodyText"/>
      </w:pPr>
      <w:r>
        <w:t xml:space="preserve">[2] UK Department for Business and Trade. (2026, July 1). UK’s steel trade measure from 1 July 2026. GOV.UK. https://www.gov.uk/government/publications/uks-steel-trade-measure-from-1-july-2026/uks-steel-trade-measure-from-1-july-2026</w:t>
      </w:r>
      <w:r>
        <w:t xml:space="preserve"> </w:t>
      </w:r>
      <w:r>
        <w:t xml:space="preserve">[3] House of Commons Library. (2026, June). UK steel safeguards. UK Parliament. https://commonslibrary.parliament.uk/research-briefings/cbp-9596/</w:t>
      </w:r>
    </w:p>
    <w:p>
      <w:r>
        <w:pict>
          <v:rect style="width:0;height:1.5pt" o:hralign="center" o:hrstd="t" o:hr="t"/>
        </w:pict>
      </w:r>
    </w:p>
    <w:bookmarkEnd w:id="10"/>
    <w:bookmarkStart w:id="11" w:name="Xafce2702b4cf76521513f976b09e0922f1c5ccf"/>
    <w:p>
      <w:pPr>
        <w:pStyle w:val="Heading3"/>
      </w:pPr>
      <w:r>
        <w:t xml:space="preserve">UK annual house price growth edges up to 2.2% in June as regions all turn positive</w:t>
      </w:r>
    </w:p>
    <w:p>
      <w:pPr>
        <w:pStyle w:val="FirstParagraph"/>
      </w:pPr>
      <w:r>
        <w:t xml:space="preserve">UK annual house price growth accelerated to 2.2% in June 2026, up from 1.7% in May, according to the Nationwide House Price Index released 1 July 2026. The average UK house price was £277,484, down marginally from £278,024 the month before — broadly flat month-on-month after seasonal adjustment, so the pickup is an annual-comparison effect rather than a fresh surge.</w:t>
      </w:r>
    </w:p>
    <w:p>
      <w:pPr>
        <w:pStyle w:val="BodyText"/>
      </w:pPr>
      <w:r>
        <w:t xml:space="preserve">Every one of the UK’s 13 regions recorded positive annual growth in the second quarter, the widest spread of gains in the report. Northern Ireland led at 8.6% year-on-year; Scotland and Wales each posted 3.5%. English growth accelerated to 1.5% from 0.9% in the first quarter, with the North West the strongest English region at 3.9%. The south stayed subdued — southern England at 0.7% and London at 1.6%.</w:t>
      </w:r>
    </w:p>
    <w:p>
      <w:pPr>
        <w:pStyle w:val="BodyText"/>
      </w:pPr>
      <w:r>
        <w:t xml:space="preserve">Robert Gardner, Nationwide’s chief economist, tied the recent softening to external shocks.</w:t>
      </w:r>
      <w:r>
        <w:t xml:space="preserve"> </w:t>
      </w:r>
      <w:r>
        <w:t xml:space="preserve">“It is not surprising that the market has softened a little in recent months, given the uncertainty caused by developments in the Middle East and the subsequent rise in energy prices and market interest rates,”</w:t>
      </w:r>
      <w:r>
        <w:t xml:space="preserve"> </w:t>
      </w:r>
      <w:r>
        <w:t xml:space="preserve">he said. He flagged that consumer confidence and housing sentiment had weakened and that mortgage approvals fell in May.</w:t>
      </w:r>
    </w:p>
    <w:p>
      <w:pPr>
        <w:pStyle w:val="BodyText"/>
      </w:pPr>
      <w:r>
        <w:rPr>
          <w:b/>
          <w:bCs/>
        </w:rPr>
        <w:t xml:space="preserve">References</w:t>
      </w:r>
    </w:p>
    <w:p>
      <w:pPr>
        <w:pStyle w:val="BodyText"/>
      </w:pPr>
      <w:r>
        <w:t xml:space="preserve">[4] Gardner, R. (2026, July 1). Annual house price growth edges higher in June. Nationwide Building Society. https://www.nationwide.co.uk/media/hpi/reports/annual-house-price-growth-edges-higher-in-june</w:t>
      </w:r>
      <w:r>
        <w:t xml:space="preserve"> </w:t>
      </w:r>
      <w:r>
        <w:t xml:space="preserve">[5] Mortgage Finance Gazette. (2026, July 1). Annual house price growth rises in June to 2.2% — Nationwide. Mortgage Finance Gazette. https://www.mortgagefinancegazette.com/market-news/housing/annual-house-price-growth-rises-in-june-to-2-2-nationwide-01-07-2026/</w:t>
      </w:r>
      <w:r>
        <w:t xml:space="preserve"> </w:t>
      </w:r>
      <w:r>
        <w:t xml:space="preserve">[6] Financial Reporter. (2026, July 1). Annual house price growth accelerates to 2.2% in June — Nationwide. Financial Reporter. https://www.financialreporter.co.uk/annual-house-price-growth-accelerates-to-22-in-june-nationwide.html</w:t>
      </w:r>
    </w:p>
    <w:p>
      <w:r>
        <w:pict>
          <v:rect style="width:0;height:1.5pt" o:hralign="center" o:hrstd="t" o:hr="t"/>
        </w:pict>
      </w:r>
    </w:p>
    <w:bookmarkEnd w:id="11"/>
    <w:bookmarkEnd w:id="12"/>
    <w:bookmarkStart w:id="15" w:name="politics-diplomacy"/>
    <w:p>
      <w:pPr>
        <w:pStyle w:val="Heading2"/>
      </w:pPr>
      <w:r>
        <w:t xml:space="preserve">2. Politics &amp; Diplomacy</w:t>
      </w:r>
    </w:p>
    <w:bookmarkStart w:id="13" w:name="X16f880822fa6430a7f5291d29b9a561b5ba8d04"/>
    <w:p>
      <w:pPr>
        <w:pStyle w:val="Heading3"/>
      </w:pPr>
      <w:r>
        <w:t xml:space="preserve">Commons passes Taxation (Energy and Vehicles) Bill, lifting Electricity Generator Levy to 55%</w:t>
      </w:r>
    </w:p>
    <w:p>
      <w:pPr>
        <w:pStyle w:val="FirstParagraph"/>
      </w:pPr>
      <w:r>
        <w:t xml:space="preserve">The House of Commons cleared all remaining stages of the Taxation (Energy and Vehicles) Bill in a single sitting on 1 July 2026, completing its passage just a week after the government introduced it on 24 June. The bill’s centrepiece raises the Electricity Generator Levy from 45% to 55%, effective 1 July 2026.</w:t>
      </w:r>
    </w:p>
    <w:p>
      <w:pPr>
        <w:pStyle w:val="BodyText"/>
      </w:pPr>
      <w:r>
        <w:t xml:space="preserve">The EGL is a windfall tax on generators’ exceptional receipts above a benchmark price, introduced in January 2023 to capture the surplus revenues low-carbon generators earned during the energy-price spike. It was due to wind down by March 2028; the government has now both raised the rate and signalled it will extend the levy beyond that date, citing sustained energy-price rises driven by the Middle East conflict.</w:t>
      </w:r>
    </w:p>
    <w:p>
      <w:pPr>
        <w:pStyle w:val="BodyText"/>
      </w:pPr>
      <w:r>
        <w:t xml:space="preserve">The bill carries two other measures approved via Ways and Means resolutions of 24 June: tax-free Approved Mileage Allowance Payments rise from 45p to 55p per mile, backdated to the start of the 2026-27 tax year, and a temporary 12-month £1 reduced Vehicle Excise Duty rate applies to specified HGVs for licences taken between 1 July 2026 and 30 June 2027. The same day, the Commons also passed the Supply and Appropriation (Main Estimates) Bill, authorising £1.15 trillion of departmental spending for 2026-27.</w:t>
      </w:r>
    </w:p>
    <w:p>
      <w:pPr>
        <w:pStyle w:val="BodyText"/>
      </w:pPr>
      <w:r>
        <w:rPr>
          <w:b/>
          <w:bCs/>
        </w:rPr>
        <w:t xml:space="preserve">References</w:t>
      </w:r>
    </w:p>
    <w:p>
      <w:pPr>
        <w:pStyle w:val="BodyText"/>
      </w:pPr>
      <w:r>
        <w:t xml:space="preserve">[7] UK Parliament. (2026, July 1). Taxation (Energy and Vehicles) Bill. bills.parliament.uk. https://bills.parliament.uk/bills/4207</w:t>
      </w:r>
      <w:r>
        <w:t xml:space="preserve"> </w:t>
      </w:r>
      <w:r>
        <w:t xml:space="preserve">[8] Hansard Society. (2026, June 29). Parliament Matters Bulletin — 29 June 2026. Hansard Society. https://www.hansardsociety.org.uk/news/parliament-matters-bulletin-29-june-2026</w:t>
      </w:r>
      <w:r>
        <w:t xml:space="preserve"> </w:t>
      </w:r>
      <w:r>
        <w:t xml:space="preserve">[9] House of Commons Library. (2026, June). Taxation (Energy and Vehicles) Bill research briefing. UK Parliament. https://commonslibrary.parliament.uk/research-briefings/cbp-10913/</w:t>
      </w:r>
    </w:p>
    <w:p>
      <w:r>
        <w:pict>
          <v:rect style="width:0;height:1.5pt" o:hralign="center" o:hrstd="t" o:hr="t"/>
        </w:pict>
      </w:r>
    </w:p>
    <w:bookmarkEnd w:id="13"/>
    <w:bookmarkStart w:id="14" w:name="X377cfe2b83ca01db023ed93005221b934bfa11b"/>
    <w:p>
      <w:pPr>
        <w:pStyle w:val="Heading3"/>
      </w:pPr>
      <w:r>
        <w:t xml:space="preserve">Lords press for jobs and oversight safeguards on British Steel nationalisation bill</w:t>
      </w:r>
    </w:p>
    <w:p>
      <w:pPr>
        <w:pStyle w:val="FirstParagraph"/>
      </w:pPr>
      <w:r>
        <w:t xml:space="preserve">Peers tabled a raft of new safeguards as the House of Lords continued committee-stage scrutiny of the Steel Industry (Nationalisation) Bill on its second committee day, 1 July 2026. The amendments would require a stakeholder advisory committee of workers, communities, and industry, publication of a jobs-security and industrial-transition strategy report at least 90 days before any nationalisation order, and added compensation and oversight guarantees.</w:t>
      </w:r>
    </w:p>
    <w:p>
      <w:pPr>
        <w:pStyle w:val="BodyText"/>
      </w:pPr>
      <w:r>
        <w:t xml:space="preserve">The bill hands the Secretary of State power to transfer a steel company’s shares or property into public ownership on public-interest grounds. Its principal target is British Steel Limited, owned by China’s Jingye Group. The government has said it is</w:t>
      </w:r>
      <w:r>
        <w:t xml:space="preserve"> </w:t>
      </w:r>
      <w:r>
        <w:t xml:space="preserve">“strongly minded to nationalise”</w:t>
      </w:r>
      <w:r>
        <w:t xml:space="preserve"> </w:t>
      </w:r>
      <w:r>
        <w:t xml:space="preserve">the company to protect jobs and preserve primary steelmaking at Scunthorpe. That threat has been building for over a year: Jingye moved in March 2025 to close the Scunthorpe blast furnaces over losses it put at £700,000 a day, prompting emergency intervention in April 2025 under which the Department for Business and Trade spent £377 million in nine months keeping the furnaces running.</w:t>
      </w:r>
    </w:p>
    <w:p>
      <w:pPr>
        <w:pStyle w:val="BodyText"/>
      </w:pPr>
      <w:r>
        <w:t xml:space="preserve">The current bill moves fast. Introduced to the Commons on 14 May 2026, it was fast-tracked through all Commons stages by 9 June, cleared its Lords second reading on 16 June, and entered committee stage on 25 June — a compressed timetable that has left peers pressing for the accountability provisions the emergency route skipped.</w:t>
      </w:r>
    </w:p>
    <w:p>
      <w:pPr>
        <w:pStyle w:val="BodyText"/>
      </w:pPr>
      <w:r>
        <w:rPr>
          <w:b/>
          <w:bCs/>
        </w:rPr>
        <w:t xml:space="preserve">References</w:t>
      </w:r>
    </w:p>
    <w:p>
      <w:pPr>
        <w:pStyle w:val="BodyText"/>
      </w:pPr>
      <w:r>
        <w:t xml:space="preserve">[10] UK Parliament. (2026, June). Steel Industry (Nationalisation) Bill committee stage. UK Parliament. https://www.parliament.uk/business/news/2026/june-2026/steel-industry-bill-committee-stage/</w:t>
      </w:r>
      <w:r>
        <w:t xml:space="preserve"> </w:t>
      </w:r>
      <w:r>
        <w:t xml:space="preserve">[11] Hansard Society. (2026, June 29). Parliament Matters Bulletin — 29 June 2026. Hansard Society. https://www.hansardsociety.org.uk/news/parliament-matters-bulletin-29-june-2026</w:t>
      </w:r>
      <w:r>
        <w:t xml:space="preserve"> </w:t>
      </w:r>
      <w:r>
        <w:t xml:space="preserve">[12] House of Lords Library. (2026, June). Steel Industry (Nationalisation) Bill research briefing. UK Parliament. https://lordslibrary.parliament.uk/research-briefings/lln-2026-0029/</w:t>
      </w:r>
      <w:r>
        <w:t xml:space="preserve"> </w:t>
      </w:r>
      <w:r>
        <w:t xml:space="preserve">[13] House of Commons Library. (2026, March). British Steel and government special measures. UK Parliament. https://commonslibrary.parliament.uk/research-briefings/cbp-10278/</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4"/>
    <w:bookmarkEnd w:id="15"/>
    <w:bookmarkStart w:id="18" w:name="technology-industry"/>
    <w:p>
      <w:pPr>
        <w:pStyle w:val="Heading2"/>
      </w:pPr>
      <w:r>
        <w:t xml:space="preserve">3. Technology &amp; Industry</w:t>
      </w:r>
    </w:p>
    <w:bookmarkStart w:id="16" w:name="X391ab0ed6b2f6bece3528a996873f662df469bf"/>
    <w:p>
      <w:pPr>
        <w:pStyle w:val="Heading3"/>
      </w:pPr>
      <w:r>
        <w:t xml:space="preserve">Ofcom adds self-harm and cyberflashing as priority offences under Online Safety Act</w:t>
      </w:r>
    </w:p>
    <w:p>
      <w:pPr>
        <w:pStyle w:val="FirstParagraph"/>
      </w:pPr>
      <w:r>
        <w:t xml:space="preserve">Ofcom published updated Illegal Harms Codes and guidance under the Online Safety Act 2023 on 1 July 2026, folding in two priority offences the government designated in December 2025: encouraging or assisting serious self-harm, and cyberflashing — the sending of unsolicited explicit images. The change expands the regulator’s illegal-harm framework from 17 to 18 groups.</w:t>
      </w:r>
    </w:p>
    <w:p>
      <w:pPr>
        <w:pStyle w:val="BodyText"/>
      </w:pPr>
      <w:r>
        <w:t xml:space="preserve">The two offences are handled differently in the codes. Serious self-harm is merged with suicide-related content into a single</w:t>
      </w:r>
      <w:r>
        <w:t xml:space="preserve"> </w:t>
      </w:r>
      <w:r>
        <w:t xml:space="preserve">“suicide and self-harm”</w:t>
      </w:r>
      <w:r>
        <w:t xml:space="preserve"> </w:t>
      </w:r>
      <w:r>
        <w:t xml:space="preserve">category that providers must risk assess, while cyberflashing becomes a new standalone category assessed on its own. The two now sit alongside the Act’s list of over 130 priority offences — terrorism, illegal drugs and weapons, child sexual abuse — against which platforms must take proactive measures rather than merely react to reports.</w:t>
      </w:r>
    </w:p>
    <w:p>
      <w:pPr>
        <w:pStyle w:val="BodyText"/>
      </w:pPr>
      <w:r>
        <w:t xml:space="preserve">For UK online service providers the practical burden is largely administrative: updating risk assessments, tracking and analysis systems, and moderation policies so the two categories are captured. The amended codes still need parliamentary approval and are expected to come into force in autumn 2026. Ofcom ran its consultation from March to April 2026 and incorporated inputs from Microsoft and advocacy organisations.</w:t>
      </w:r>
    </w:p>
    <w:p>
      <w:pPr>
        <w:pStyle w:val="BodyText"/>
      </w:pPr>
      <w:r>
        <w:rPr>
          <w:b/>
          <w:bCs/>
        </w:rPr>
        <w:t xml:space="preserve">References</w:t>
      </w:r>
    </w:p>
    <w:p>
      <w:pPr>
        <w:pStyle w:val="BodyText"/>
      </w:pPr>
      <w:r>
        <w:t xml:space="preserve">[14] Steel, L. (2026, July 1). Self-harm and cyberflashing added to online safety offences list. Computer Weekly. https://www.computerweekly.com/news/366645166/Self-harm-and-cyberflashing-added-to-online-safety-offences-list</w:t>
      </w:r>
      <w:r>
        <w:t xml:space="preserve"> </w:t>
      </w:r>
      <w:r>
        <w:t xml:space="preserve">[15] Ofcom. (2026, July 1). New priority offences: serious self-harm and cyberflashing. Ofcom. https://www.ofcom.org.uk/online-safety/illegal-and-harmful-content/new-priority-offences-serious-self-harm-and-cyberflashing</w:t>
      </w:r>
      <w:r>
        <w:t xml:space="preserve"> </w:t>
      </w:r>
      <w:r>
        <w:t xml:space="preserve">[16] MLex. (2026, July 1). Cyberflashing made priority offense in update to UK online safety regime. MLex. https://www.mlex.com/mlex/data-privacy-security/articles/2427399/cyberflashing-made-priority-offense-in-update-to-uk-online-safety-regime</w:t>
      </w:r>
    </w:p>
    <w:p>
      <w:r>
        <w:pict>
          <v:rect style="width:0;height:1.5pt" o:hralign="center" o:hrstd="t" o:hr="t"/>
        </w:pict>
      </w:r>
    </w:p>
    <w:bookmarkEnd w:id="16"/>
    <w:bookmarkStart w:id="17" w:name="X74ccf8145f4c39c2e914b725417cd1d65cfe7b4"/>
    <w:p>
      <w:pPr>
        <w:pStyle w:val="Heading3"/>
      </w:pPr>
      <w:r>
        <w:t xml:space="preserve">Bank of England’s Breeden warns autonomous AI could trigger market meltdowns, floats kill switches</w:t>
      </w:r>
    </w:p>
    <w:p>
      <w:pPr>
        <w:pStyle w:val="FirstParagraph"/>
      </w:pPr>
      <w:r>
        <w:t xml:space="preserve">Autonomous AI agents let loose in financial markets could amplify volatility enough to trigger market meltdowns, Bank of England Deputy Governor for Financial Stability Sarah Breeden warned at the ECB Forum on Central Banking in Sintra, Portugal, on 30 June 2026, arguing that existing supervisory frameworks are not built for the risk. Reuters carried the remarks on 1 July.</w:t>
      </w:r>
    </w:p>
    <w:p>
      <w:pPr>
        <w:pStyle w:val="BodyText"/>
      </w:pPr>
      <w:r>
        <w:t xml:space="preserve">The Bank is weighing two novel tools. The first is market-wide</w:t>
      </w:r>
      <w:r>
        <w:t xml:space="preserve"> </w:t>
      </w:r>
      <w:r>
        <w:t xml:space="preserve">“kill switches”</w:t>
      </w:r>
      <w:r>
        <w:t xml:space="preserve"> </w:t>
      </w:r>
      <w:r>
        <w:t xml:space="preserve">— circuit breakers that would halt automated trading when faulty or misaligned AI models are detected causing systemic disruption. The second is</w:t>
      </w:r>
      <w:r>
        <w:t xml:space="preserve"> </w:t>
      </w:r>
      <w:r>
        <w:t xml:space="preserve">“enhanced recovery”</w:t>
      </w:r>
      <w:r>
        <w:t xml:space="preserve"> </w:t>
      </w:r>
      <w:r>
        <w:t xml:space="preserve">arrangements that would let one bank temporarily assume another’s core functions after an AI failure. Breeden’s central worry is correlated behaviour: if many firms run similarly-trained agents, they could act identically and simultaneously, turning a localised glitch into a system-wide cascade.</w:t>
      </w:r>
    </w:p>
    <w:p>
      <w:pPr>
        <w:pStyle w:val="BodyText"/>
      </w:pPr>
      <w:r>
        <w:t xml:space="preserve">“Our frameworks were not built to contemplate autonomous agents, and relying on a human in the loop for all agent actions is unlikely to be realistic,”</w:t>
      </w:r>
      <w:r>
        <w:t xml:space="preserve"> </w:t>
      </w:r>
      <w:r>
        <w:t xml:space="preserve">Breeden said, signalling that supervisors cannot lean on manual override as a catch-all safeguard. She cited a Cambridge survey finding that 52% of financial firms already deploy agentic AI, underlining that this is a live exposure rather than a distant one. The Financial Stability Board in June 2026 had likewise called for safeguards.</w:t>
      </w:r>
    </w:p>
    <w:p>
      <w:pPr>
        <w:pStyle w:val="BodyText"/>
      </w:pPr>
      <w:r>
        <w:rPr>
          <w:b/>
          <w:bCs/>
        </w:rPr>
        <w:t xml:space="preserve">References</w:t>
      </w:r>
    </w:p>
    <w:p>
      <w:pPr>
        <w:pStyle w:val="BodyText"/>
      </w:pPr>
      <w:r>
        <w:t xml:space="preserve">[17] Reuters. (2026, July 1). Agentic AI may require more sophisticated regulation, BoE’s Breeden says. Reuters via TradingView. https://www.tradingview.com/news/reuters.com,2026:newsml_L6N4320ND:0-agentic-ai-may-require-more-sophisticated-regulation-boe-s-breeden-says/</w:t>
      </w:r>
      <w:r>
        <w:t xml:space="preserve"> </w:t>
      </w:r>
      <w:r>
        <w:t xml:space="preserve">[18] Bank of England. (2026, June 30). Sarah Breeden — panel at the European Central Bank Forum on Central Banking 2026. Bank of England. https://www.bankofengland.co.uk/speech/2026/june/sarah-breeden-panel-at-the-european-central-bank-forum-on-central-banking-2026</w:t>
      </w:r>
      <w:r>
        <w:t xml:space="preserve"> </w:t>
      </w:r>
      <w:r>
        <w:t xml:space="preserve">[19] The Next Web. (2026, July 1). BoE’s Breeden warns AI agents could pose market risk. The Next Web. https://thenextweb.com/news/boe-breeden-ai-agents-market-risk</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7"/>
    <w:bookmarkEnd w:id="18"/>
    <w:bookmarkStart w:id="22" w:name="society-livelihood"/>
    <w:p>
      <w:pPr>
        <w:pStyle w:val="Heading2"/>
      </w:pPr>
      <w:r>
        <w:t xml:space="preserve">4. Society &amp; Livelihood</w:t>
      </w:r>
    </w:p>
    <w:bookmarkStart w:id="19" w:name="X8e03cdf0c201f1c8fdace10a38b119122503ed0"/>
    <w:p>
      <w:pPr>
        <w:pStyle w:val="Heading3"/>
      </w:pPr>
      <w:r>
        <w:t xml:space="preserve">UK Emissions Trading Scheme extends to maritime from 1 July, pricing domestic shipping carbon</w:t>
      </w:r>
    </w:p>
    <w:p>
      <w:pPr>
        <w:pStyle w:val="FirstParagraph"/>
      </w:pPr>
      <w:r>
        <w:t xml:space="preserve">Domestic shipping entered the UK Emissions Trading Scheme on 1 July 2026, bringing carbon pricing to the sector for the first time. The scheme now covers cargo and passenger vessels of 5,000 gross tonnage and above on UK-port-to-UK-port voyages, plus in-port emissions from vessels in both domestic and international trades. It captures not only CO2 but also methane (CH4) and nitrous oxide (N2O).</w:t>
      </w:r>
    </w:p>
    <w:p>
      <w:pPr>
        <w:pStyle w:val="BodyText"/>
      </w:pPr>
      <w:r>
        <w:t xml:space="preserve">The UK approach differs sharply from the EU’s. Brussels prices 100% of intra-EU voyages and 50% of international voyages touching an EU port; the UK scheme, by contrast, covers 100% of domestic UK-to-UK voyages only, capturing an estimated 2.5 million tonnes — roughly 15% of the sector’s emissions — with international-voyage coverage not proposed until 2028. The two governments announced in May 2025 an intention to link their schemes, and the deferral of offshore ship inclusion to 1 January 2027 leaves the UK regime still building out.</w:t>
      </w:r>
    </w:p>
    <w:p>
      <w:pPr>
        <w:pStyle w:val="BodyText"/>
      </w:pPr>
      <w:r>
        <w:t xml:space="preserve">Operators must submit an Emissions Monitoring Plan to a UKAS-accredited verifier and file Annual Emissions Reports by 31 March each year, with the first allowance surrender due 30 April 2028; compliance runs through the METS digital platform. The UK Chamber of Shipping raised</w:t>
      </w:r>
      <w:r>
        <w:t xml:space="preserve"> </w:t>
      </w:r>
      <w:r>
        <w:t xml:space="preserve">“broad-reaching concerns”</w:t>
      </w:r>
      <w:r>
        <w:t xml:space="preserve"> </w:t>
      </w:r>
      <w:r>
        <w:t xml:space="preserve">in February 2026 over competitiveness and the cost burden on island communities dependent on domestic ferry routes.</w:t>
      </w:r>
    </w:p>
    <w:p>
      <w:pPr>
        <w:pStyle w:val="BodyText"/>
      </w:pPr>
      <w:r>
        <w:rPr>
          <w:b/>
          <w:bCs/>
        </w:rPr>
        <w:t xml:space="preserve">References</w:t>
      </w:r>
    </w:p>
    <w:p>
      <w:pPr>
        <w:pStyle w:val="BodyText"/>
      </w:pPr>
      <w:r>
        <w:t xml:space="preserve">[20] UK Department for Energy Security and Net Zero. (2026, July 1). UK ETS scope expansion: maritime sector. GOV.UK. https://www.gov.uk/government/consultations/uk-ets-scope-expansion-maritime-sector</w:t>
      </w:r>
      <w:r>
        <w:t xml:space="preserve"> </w:t>
      </w:r>
      <w:r>
        <w:t xml:space="preserve">[21] DNV. (2026, July 1). The UK ETS expands to maritime from 1 July 2026. DNV. https://www.dnv.com/news/2026/the-uk-ets-expands-to-maritime-from-1-july-2026/</w:t>
      </w:r>
      <w:r>
        <w:t xml:space="preserve"> </w:t>
      </w:r>
      <w:r>
        <w:t xml:space="preserve">[22] Riviera Maritime Media. (2026, July 1). Emissions trading begins for UK domestic shipping. Riviera Maritime Media. https://www.rivieramm.com/news-content-hub/emissions-trading-begins-for-uk-domestic-shipping-89250</w:t>
      </w:r>
    </w:p>
    <w:p>
      <w:r>
        <w:pict>
          <v:rect style="width:0;height:1.5pt" o:hralign="center" o:hrstd="t" o:hr="t"/>
        </w:pict>
      </w:r>
    </w:p>
    <w:bookmarkEnd w:id="19"/>
    <w:bookmarkStart w:id="20" w:name="X9f82da483df86adc527eaec9ec1cc9ef742dab8"/>
    <w:p>
      <w:pPr>
        <w:pStyle w:val="Heading3"/>
      </w:pPr>
      <w:r>
        <w:t xml:space="preserve">UK launches Women in Research Charter as 60-plus institutions commit to family-leave floors</w:t>
      </w:r>
    </w:p>
    <w:p>
      <w:pPr>
        <w:pStyle w:val="FirstParagraph"/>
      </w:pPr>
      <w:r>
        <w:t xml:space="preserve">Over 60 research institutions signed the new Women in Research Charter at its launch on 1 July 2026, a voluntary framework unveiled by Science Secretary Liz Kendall MP to lift gender equity across the UK research sector. Signatories include Oxford, Cambridge, Edinburgh, King’s College London, the Royal Society, the British Academy, and the Wellcome Trust.</w:t>
      </w:r>
    </w:p>
    <w:p>
      <w:pPr>
        <w:pStyle w:val="BodyText"/>
      </w:pPr>
      <w:r>
        <w:t xml:space="preserve">The charter sets concrete floors rather than aspirations. Signatories commit to at least 52 weeks’ maternity leave, with 26 weeks at full stipend; a minimum of two weeks’ paid partner leave; and cover for pregnancy-related sickness, adoption, and neonatal care. They also pledge flexible part-time funding with adjusted assessment timelines, clear reporting channels for bullying, harassment and sexual misconduct, evaluation methods that accommodate career breaks and part-time work, and annual publication of grant success rates and staffing data broken down by sex.</w:t>
      </w:r>
    </w:p>
    <w:p>
      <w:pPr>
        <w:pStyle w:val="BodyText"/>
      </w:pPr>
      <w:r>
        <w:t xml:space="preserve">“No woman should ever be held back from a fair shot at fulfilling their potential,”</w:t>
      </w:r>
      <w:r>
        <w:t xml:space="preserve"> </w:t>
      </w:r>
      <w:r>
        <w:t xml:space="preserve">Kendall said. The disaggregated-data requirement is the sharpest lever: by forcing institutions to publish grant success and staffing figures split by sex each year, the charter creates a running public record against which signatories can be measured.</w:t>
      </w:r>
    </w:p>
    <w:p>
      <w:pPr>
        <w:pStyle w:val="BodyText"/>
      </w:pPr>
      <w:r>
        <w:rPr>
          <w:b/>
          <w:bCs/>
        </w:rPr>
        <w:t xml:space="preserve">References</w:t>
      </w:r>
    </w:p>
    <w:p>
      <w:pPr>
        <w:pStyle w:val="BodyText"/>
      </w:pPr>
      <w:r>
        <w:t xml:space="preserve">[23] UK Department for Science, Innovation and Technology. (2026, July 1). Improved family leave and flexible working to signal step change in support for women researchers. GOV.UK. https://www.gov.uk/government/news/improved-family-leave-and-flexible-working-to-signal-step-change-in-support-for-women-researchers</w:t>
      </w:r>
    </w:p>
    <w:p>
      <w:r>
        <w:pict>
          <v:rect style="width:0;height:1.5pt" o:hralign="center" o:hrstd="t" o:hr="t"/>
        </w:pict>
      </w:r>
    </w:p>
    <w:bookmarkEnd w:id="20"/>
    <w:bookmarkStart w:id="21" w:name="X9aef243febdc5adde6de28e264eace9e8650f04"/>
    <w:p>
      <w:pPr>
        <w:pStyle w:val="Heading3"/>
      </w:pPr>
      <w:r>
        <w:t xml:space="preserve">UK Global Talent visa opens Design pathway for international design professionals</w:t>
      </w:r>
    </w:p>
    <w:p>
      <w:pPr>
        <w:pStyle w:val="FirstParagraph"/>
      </w:pPr>
      <w:r>
        <w:t xml:space="preserve">International design professionals gained a dedicated route into the UK’s Global Talent visa from 1 July 2026, with endorsement handled by Arts Council England. The pathway covers exceptional talent or exceptional promise in product, fashion, and graphic design, and design for digital technologies, broadening a visa that previously ran through Science, Engineering, Humanities, Medicine, Arts, Culture, and Digital Technology streams.</w:t>
      </w:r>
    </w:p>
    <w:p>
      <w:pPr>
        <w:pStyle w:val="BodyText"/>
      </w:pPr>
      <w:r>
        <w:t xml:space="preserve">The incentive sits in the settlement timeline. Design-endorsed applicants qualify for accelerated settlement after three years under the exceptional-talent track, or five years under exceptional promise — faster than standard work-visa routes. Confirmed in the Immigration Rules Appendix Global Talent by the Home Office, the change targets a specific gap in the UK’s high-skill immigration offer, aiming to draw designers into a creative sector that competes globally for the same talent.</w:t>
      </w:r>
    </w:p>
    <w:p>
      <w:pPr>
        <w:pStyle w:val="BodyText"/>
      </w:pPr>
      <w:r>
        <w:rPr>
          <w:b/>
          <w:bCs/>
        </w:rPr>
        <w:t xml:space="preserve">References</w:t>
      </w:r>
    </w:p>
    <w:p>
      <w:pPr>
        <w:pStyle w:val="BodyText"/>
      </w:pPr>
      <w:r>
        <w:t xml:space="preserve">[24] UK Home Office. (2026, July 1). Immigration Rules Appendix Global Talent. GOV.UK. https://www.gov.uk/government/publications/immigration-rules/immigration-rules-appendix-global-talent-innovator-visa</w:t>
      </w:r>
    </w:p>
    <w:p>
      <w:r>
        <w:pict>
          <v:rect style="width:0;height:1.5pt" o:hralign="center" o:hrstd="t" o:hr="t"/>
        </w:pict>
      </w:r>
    </w:p>
    <w:bookmarkEnd w:id="21"/>
    <w:bookmarkEnd w:id="22"/>
    <w:bookmarkStart w:id="25" w:name="corporate-ipo-ma"/>
    <w:p>
      <w:pPr>
        <w:pStyle w:val="Heading2"/>
      </w:pPr>
      <w:r>
        <w:t xml:space="preserve">5. Corporate IPO &amp; M&amp;A</w:t>
      </w:r>
    </w:p>
    <w:bookmarkStart w:id="23" w:name="Xe00d6c86696dccec2c7ec101f1e84dfc36f8a1b"/>
    <w:p>
      <w:pPr>
        <w:pStyle w:val="Heading3"/>
      </w:pPr>
      <w:r>
        <w:t xml:space="preserve">NatWest completes £2.7bn Evelyn Partners acquisition, becoming a top UK wealth manager</w:t>
      </w:r>
    </w:p>
    <w:p>
      <w:pPr>
        <w:pStyle w:val="FirstParagraph"/>
      </w:pPr>
      <w:r>
        <w:t xml:space="preserve">NatWest Group plc announced on 1 July 2026 that it had completed its acquisition of UK wealth manager Evelyn Partners for total consideration of approximately £2.7 billion (about USD 3.4 billion), with completion having occurred the previous day, 30 June, after all required regulatory approvals were secured.</w:t>
      </w:r>
    </w:p>
    <w:p>
      <w:pPr>
        <w:pStyle w:val="BodyText"/>
      </w:pPr>
      <w:r>
        <w:t xml:space="preserve">Evelyn Partners manages about £62 billion in client assets, and the deal vaults NatWest into the ranks of the UK’s largest wealth managers. The logic is margin: NatWest bolts Evelyn’s investment-management and financial-planning arm onto its own retail and private-banking base, deepening its presence in a high-fee business that is less capital-intensive than lending. NatWest’s chief executive framed the deal as a significant step in the group’s strategy to grow wealth management.</w:t>
      </w:r>
    </w:p>
    <w:p>
      <w:pPr>
        <w:pStyle w:val="BodyText"/>
      </w:pPr>
      <w:r>
        <w:rPr>
          <w:b/>
          <w:bCs/>
        </w:rPr>
        <w:t xml:space="preserve">References</w:t>
      </w:r>
    </w:p>
    <w:p>
      <w:pPr>
        <w:pStyle w:val="BodyText"/>
      </w:pPr>
      <w:r>
        <w:t xml:space="preserve">[25] NatWest Group. (2026, July 1). NatWest Group announces the completion of the acquisition of Evelyn Partners. NatWest Group. https://www.natwestgroup.com/news-and-insights/news-room/press-releases/financial-reporting/2026/jul/natwest-group-announces-the-completion-of-the-acquisition-of-eve.html</w:t>
      </w:r>
    </w:p>
    <w:p>
      <w:r>
        <w:pict>
          <v:rect style="width:0;height:1.5pt" o:hralign="center" o:hrstd="t" o:hr="t"/>
        </w:pict>
      </w:r>
    </w:p>
    <w:bookmarkEnd w:id="23"/>
    <w:bookmarkStart w:id="24" w:name="X8115179350ffb2fda3f7aacb12683d53655626e"/>
    <w:p>
      <w:pPr>
        <w:pStyle w:val="Heading3"/>
      </w:pPr>
      <w:r>
        <w:t xml:space="preserve">UK</w:t>
      </w:r>
      <w:r>
        <w:t xml:space="preserve"> </w:t>
      </w:r>
      <w:r>
        <w:t xml:space="preserve">“minded to intervene”</w:t>
      </w:r>
      <w:r>
        <w:t xml:space="preserve"> </w:t>
      </w:r>
      <w:r>
        <w:t xml:space="preserve">in $110bn Paramount–Warner Bros Discovery deal on media plurality</w:t>
      </w:r>
    </w:p>
    <w:p>
      <w:pPr>
        <w:pStyle w:val="FirstParagraph"/>
      </w:pPr>
      <w:r>
        <w:t xml:space="preserve">UK Culture, Media and Sport Secretary Lisa Nandy notified the parties to the $110 billion acquisition of Warner Bros. Discovery by Paramount Skydance on 1 July 2026 that she was</w:t>
      </w:r>
      <w:r>
        <w:t xml:space="preserve"> </w:t>
      </w:r>
      <w:r>
        <w:t xml:space="preserve">“minded to intervene”</w:t>
      </w:r>
      <w:r>
        <w:t xml:space="preserve"> </w:t>
      </w:r>
      <w:r>
        <w:t xml:space="preserve">under Section 42 of the Enterprise Act 2002, citing media-plurality public-interest concerns — whether the merger leaves sufficient plurality of views in news media and of the persons controlling media enterprises.</w:t>
      </w:r>
    </w:p>
    <w:p>
      <w:pPr>
        <w:pStyle w:val="BodyText"/>
      </w:pPr>
      <w:r>
        <w:t xml:space="preserve">The UK assets in scope are substantial: Channel 5, TNT Sports, Cartoon Network, Nickelodeon, CNN International, Paramount+, and HBO Max. Nandy said she was also weighing whether to extend the public-interest grounds to cover streaming and video-on-demand, noting current law</w:t>
      </w:r>
      <w:r>
        <w:t xml:space="preserve"> </w:t>
      </w:r>
      <w:r>
        <w:t xml:space="preserve">“does not cover the effect of a merger on streaming or video-on-demand services”</w:t>
      </w:r>
      <w:r>
        <w:t xml:space="preserve"> </w:t>
      </w:r>
      <w:r>
        <w:t xml:space="preserve">— a gap that has grown glaring as viewing shifts online.</w:t>
      </w:r>
    </w:p>
    <w:p>
      <w:pPr>
        <w:pStyle w:val="BodyText"/>
      </w:pPr>
      <w:r>
        <w:t xml:space="preserve">Both parties had until 6 July 2026 to make written representations. Separately, the Competition and Markets Authority opened a Phase 1 merger inquiry due to conclude by 7 August 2026. The UK scrutiny lands late in a process already clearing elsewhere: by 1 July the US Department of Justice had approved the deal — which values WBD at an enterprise value of $110 billion including debt, with Paramount paying $31.00 per share — and Australia’s ACCC had signed off after a 14-day review ending 23 June 2026.</w:t>
      </w:r>
      <w:r>
        <w:t xml:space="preserve"> </w:t>
      </w:r>
      <w:r>
        <w:t xml:space="preserve">“I have not made a final decision on intervention at this stage,”</w:t>
      </w:r>
      <w:r>
        <w:t xml:space="preserve"> </w:t>
      </w:r>
      <w:r>
        <w:t xml:space="preserve">Nandy said.</w:t>
      </w:r>
    </w:p>
    <w:p>
      <w:pPr>
        <w:pStyle w:val="BodyText"/>
      </w:pPr>
      <w:r>
        <w:rPr>
          <w:b/>
          <w:bCs/>
        </w:rPr>
        <w:t xml:space="preserve">References</w:t>
      </w:r>
    </w:p>
    <w:p>
      <w:pPr>
        <w:pStyle w:val="BodyText"/>
      </w:pPr>
      <w:r>
        <w:t xml:space="preserve">[26] Baker, E. (2026, July 1). UK government</w:t>
      </w:r>
      <w:r>
        <w:t xml:space="preserve"> </w:t>
      </w:r>
      <w:r>
        <w:t xml:space="preserve">“minded to intervene”</w:t>
      </w:r>
      <w:r>
        <w:t xml:space="preserve"> </w:t>
      </w:r>
      <w:r>
        <w:t xml:space="preserve">in $110bn Paramount–WBD merger. IBC. https://www.ibc.org/people-purpose/news/uk-government-minded-to-intervene-in-110bn-paramount-wbd-merger/22794</w:t>
      </w:r>
      <w:r>
        <w:t xml:space="preserve"> </w:t>
      </w:r>
      <w:r>
        <w:t xml:space="preserve">[27] Variety. (2026, July 1). British government eyes Paramount takeover of Warner Bros. Discovery. Variety. https://variety.com/2026/film/global/british-government-paramount-takeover-warner-bros-discovery-1236799135/</w:t>
      </w:r>
      <w:r>
        <w:t xml:space="preserve"> </w:t>
      </w:r>
      <w:r>
        <w:t xml:space="preserve">[28] CNN. (2026, June 30). UK weighs intervention in Warner Bros. Discovery merger. CNN. https://www.cnn.com/2026/06/30/media/uk-discovery-wbd-merger-intl</w:t>
      </w:r>
      <w:r>
        <w:t xml:space="preserve"> </w:t>
      </w:r>
      <w:r>
        <w:t xml:space="preserve">[29] Deadline. (2026, June 30). Paramount–Warner Bros investigated by UK competition authority. Deadline. https://deadline.com/2026/06/paramount-warner-bros-investigated-uk-competition-authority-1236951250/</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4"/>
    <w:bookmarkEnd w:id="25"/>
    <w:bookmarkStart w:id="28" w:name="other-notable-events"/>
    <w:p>
      <w:pPr>
        <w:pStyle w:val="Heading2"/>
      </w:pPr>
      <w:r>
        <w:t xml:space="preserve">6. Other Notable Events</w:t>
      </w:r>
    </w:p>
    <w:bookmarkStart w:id="26" w:name="X5c169cf79eb1f51fb8e32cb19c72e395651f712"/>
    <w:p>
      <w:pPr>
        <w:pStyle w:val="Heading3"/>
      </w:pPr>
      <w:r>
        <w:t xml:space="preserve">UK Supreme Court backs HMRC in £200m BlueCrest tax case, tightening LLP salaried-member rules</w:t>
      </w:r>
    </w:p>
    <w:p>
      <w:pPr>
        <w:pStyle w:val="FirstParagraph"/>
      </w:pPr>
      <w:r>
        <w:t xml:space="preserve">The UK Supreme Court unanimously dismissed BlueCrest Capital Management (UK) LLP’s appeal against HMRC on 1 July 2026, ruling that certain senior traders must be taxed as salaried employees rather than profit-sharing members of the partnership. The judgment, citation [2026] UKSC 18 in case UKSC/2025/0028, was delivered by five justices — Briggs, Hamblen, Burrows, Richards, and Simler.</w:t>
      </w:r>
    </w:p>
    <w:p>
      <w:pPr>
        <w:pStyle w:val="BodyText"/>
      </w:pPr>
      <w:r>
        <w:t xml:space="preserve">The dispute turned on the Salaried Members Rules, part of the Income Tax (Trading and Other Income) Act 2005 as amended in 2014, and their three-part test of conditions A, B, and C. HMRC’s position, upheld by the court, was that the members in question received fixed compensation without genuine reference to firm profits and lacked sufficient influence over the LLP to fall outside the rules. Founder Michael Platt — 12th on the 2026 Sunday Times Rich List at around £13 billion — had argued they were true profit-sharing members. The fight has run through the First-Tier Tribunal, the Upper Tribunal, and a January 2025 Court of Appeal ruling that already narrowed the</w:t>
      </w:r>
      <w:r>
        <w:t xml:space="preserve"> </w:t>
      </w:r>
      <w:r>
        <w:t xml:space="preserve">“significant influence”</w:t>
      </w:r>
      <w:r>
        <w:t xml:space="preserve"> </w:t>
      </w:r>
      <w:r>
        <w:t xml:space="preserve">test to legally enforceable rights.</w:t>
      </w:r>
    </w:p>
    <w:p>
      <w:pPr>
        <w:pStyle w:val="BodyText"/>
      </w:pPr>
      <w:r>
        <w:t xml:space="preserve">The ruling exposes BlueCrest to a combined liability approaching £200 million for the 2014/15 to 2018/19 tax years and hands HMRC a precedent to press similar cases against other LLPs. Interveners included the Alternative Investment Management Association and the Managed Funds Association.</w:t>
      </w:r>
      <w:r>
        <w:t xml:space="preserve"> </w:t>
      </w:r>
      <w:r>
        <w:t xml:space="preserve">“Firms need a stable and predictable environment to make long-term investment decisions,”</w:t>
      </w:r>
      <w:r>
        <w:t xml:space="preserve"> </w:t>
      </w:r>
      <w:r>
        <w:t xml:space="preserve">said Rob Hailey of the Managed Funds Association.</w:t>
      </w:r>
    </w:p>
    <w:p>
      <w:pPr>
        <w:pStyle w:val="BodyText"/>
      </w:pPr>
      <w:r>
        <w:rPr>
          <w:b/>
          <w:bCs/>
        </w:rPr>
        <w:t xml:space="preserve">References</w:t>
      </w:r>
    </w:p>
    <w:p>
      <w:pPr>
        <w:pStyle w:val="BodyText"/>
      </w:pPr>
      <w:r>
        <w:t xml:space="preserve">[30] UK Supreme Court. (2026, July 1). Commissioners for His Majesty’s Revenue and Customs v BlueCrest Capital Management (UK) LLP. UK Supreme Court. https://www.supremecourt.uk/cases/uksc-2025-0028.html</w:t>
      </w:r>
      <w:r>
        <w:t xml:space="preserve"> </w:t>
      </w:r>
      <w:r>
        <w:t xml:space="preserve">[31] Bloomberg News. (2026, July 1). BlueCrest loses $200 million UK top court lawsuit over senior trader taxes. Bloomberg. https://www.bloomberg.com/news/articles/2026-07-01/bluecrest-loses-200-million-uk-top-court-lawsuit-over-senior-trader-taxes</w:t>
      </w:r>
      <w:r>
        <w:t xml:space="preserve"> </w:t>
      </w:r>
      <w:r>
        <w:t xml:space="preserve">[32] City AM. (2026, July 1). Hedge fund run by UK’s wealthiest financier loses £200m tax battle. City AM. https://www.cityam.com/hedge-fund-run-by-uks-wealthiest-financier-loses-200m-tax-battle/</w:t>
      </w:r>
    </w:p>
    <w:p>
      <w:r>
        <w:pict>
          <v:rect style="width:0;height:1.5pt" o:hralign="center" o:hrstd="t" o:hr="t"/>
        </w:pict>
      </w:r>
    </w:p>
    <w:bookmarkEnd w:id="26"/>
    <w:bookmarkStart w:id="27" w:name="X19eed29e40326ca3bc5a379de626f8efdb0ec4d"/>
    <w:p>
      <w:pPr>
        <w:pStyle w:val="Heading3"/>
      </w:pPr>
      <w:r>
        <w:t xml:space="preserve">UK Supreme Court rules on issue estoppel in Danish tax authority’s cum-ex case against ED&amp;F Man</w:t>
      </w:r>
    </w:p>
    <w:p>
      <w:pPr>
        <w:pStyle w:val="FirstParagraph"/>
      </w:pPr>
      <w:r>
        <w:t xml:space="preserve">The UK Supreme Court handed down judgment on 1 July 2026 in Skatteforvaltningen — the Danish Customs and Tax Administration, or SKAT — v MCML Ltd, formerly ED&amp;F Man Capital Markets Ltd, citation [2026] UKSC 19 in case UKSC/2025/0090, with Lord Sales giving the lead judgment alongside Lord Lloyd-Jones, Lady Rose, Lady Simler, and Lord Doherty.</w:t>
      </w:r>
    </w:p>
    <w:p>
      <w:pPr>
        <w:pStyle w:val="BodyText"/>
      </w:pPr>
      <w:r>
        <w:t xml:space="preserve">The case turned on issue estoppel: whether SKAT’s 2022 fraudulent-misrepresentation claim was barred by an earlier 2018 negligence claim against the same defendant. SKAT alleged ED&amp;F Man made misrepresentations that induced improper dividend tax refunds under</w:t>
      </w:r>
      <w:r>
        <w:t xml:space="preserve"> </w:t>
      </w:r>
      <w:r>
        <w:t xml:space="preserve">“cum-ex”</w:t>
      </w:r>
      <w:r>
        <w:t xml:space="preserve"> </w:t>
      </w:r>
      <w:r>
        <w:t xml:space="preserve">dividend-arbitrage schemes that defrauded the Danish treasury — part of a wider effort by SKAT to recover over £1.5 billion from more than 100 defendants over refunds it says it wrongly paid between 2012 and 2015. The 2018 claim had been struck out under the</w:t>
      </w:r>
      <w:r>
        <w:t xml:space="preserve"> </w:t>
      </w:r>
      <w:r>
        <w:t xml:space="preserve">“Revenue Rule,”</w:t>
      </w:r>
      <w:r>
        <w:t xml:space="preserve"> </w:t>
      </w:r>
      <w:r>
        <w:t xml:space="preserve">which bars English courts from enforcing a foreign state’s tax claims; MCML argued SKAT was estopped from re-advancing matters decided or decidable in 2018, and the Court of Appeal had agreed.</w:t>
      </w:r>
    </w:p>
    <w:p>
      <w:pPr>
        <w:pStyle w:val="BodyText"/>
      </w:pPr>
      <w:r>
        <w:t xml:space="preserve">The Supreme Court addressed the scope and limits of issue estoppel where the earlier claim failed on a jurisdictional or procedural ground rather than on the merits — a distinction that carries weight for the run of transnational cum-ex litigation still moving through the English courts, including SKAT’s separate £1.4 billion claim against other defendants that the High Court dismissed after a 138-day trial in October 2025. The appeal was heard on 11–12 February 2026.</w:t>
      </w:r>
    </w:p>
    <w:p>
      <w:pPr>
        <w:pStyle w:val="BodyText"/>
      </w:pPr>
      <w:r>
        <w:rPr>
          <w:b/>
          <w:bCs/>
        </w:rPr>
        <w:t xml:space="preserve">References</w:t>
      </w:r>
    </w:p>
    <w:p>
      <w:pPr>
        <w:pStyle w:val="BodyText"/>
      </w:pPr>
      <w:r>
        <w:t xml:space="preserve">[33] UK Supreme Court. (2026, July 1). Skatteforvaltningen v MCML Ltd (formerly ED&amp;F Man Capital Markets Ltd). UK Supreme Court. https://www.supremecourt.uk/cases/uksc-2025-0090.html</w:t>
      </w:r>
    </w:p>
    <w:p>
      <w:r>
        <w:pict>
          <v:rect style="width:0;height:1.5pt" o:hralign="center" o:hrstd="t" o:hr="t"/>
        </w:pict>
      </w:r>
    </w:p>
    <w:p>
      <w:pPr>
        <w:pStyle w:val="FirstParagraph"/>
      </w:pPr>
      <w:r>
        <w:rPr>
          <w:i/>
          <w:iCs/>
        </w:rPr>
        <w:t xml:space="preserve">Note: only 2 stories met T1-T4 standards for this category today.</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2026-07-01T13:10:31Z</dcterms:created>
  <dcterms:modified xsi:type="dcterms:W3CDTF">2026-07-01T13:10:31Z</dcterms:modified>
</cp:coreProperties>
</file>

<file path=docProps/custom.xml><?xml version="1.0" encoding="utf-8"?>
<Properties xmlns="http://schemas.openxmlformats.org/officeDocument/2006/custom-properties" xmlns:vt="http://schemas.openxmlformats.org/officeDocument/2006/docPropsVTypes"/>
</file>