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81fb6c9b8db63e8234fcece692bf6f53c20ebf"/>
    <w:p>
      <w:pPr>
        <w:pStyle w:val="Heading1"/>
      </w:pPr>
      <w:r>
        <w:t xml:space="preserve">Japan Daily News Intelligence — June 30, 2026</w:t>
      </w:r>
    </w:p>
    <w:bookmarkStart w:id="14" w:name="economy-markets"/>
    <w:p>
      <w:pPr>
        <w:pStyle w:val="Heading2"/>
      </w:pPr>
      <w:r>
        <w:t xml:space="preserve">1. Economy &amp; Markets</w:t>
      </w:r>
    </w:p>
    <w:bookmarkStart w:id="9" w:name="Xf1911cb56d779558e1517fd6b4abc251cd64013"/>
    <w:p>
      <w:pPr>
        <w:pStyle w:val="Heading3"/>
      </w:pPr>
      <w:r>
        <w:t xml:space="preserve">Japan Targets Nominal GDP Above 3 Percent and a 1.1 Quadrillion Yen Economy in Blueprint to 2040</w:t>
      </w:r>
    </w:p>
    <w:p>
      <w:pPr>
        <w:pStyle w:val="FirstParagraph"/>
      </w:pPr>
      <w:r>
        <w:t xml:space="preserve">The Japanese government on June 30, 2026 unveiled a draft outline of an overhauled long-term economic and fiscal strategy that formally targets nominal GDP growth of more than 3 percent and real GDP growth of more than 1 percent, sustained consistently from fiscal 2027 through fiscal 2040. The headline ambition is to lift nominal output to 1.1 quadrillion yen — more than double Japan’s current size. Prime Minister Sanae Takaichi told the planning meeting:</w:t>
      </w:r>
      <w:r>
        <w:t xml:space="preserve"> </w:t>
      </w:r>
      <w:r>
        <w:t xml:space="preserve">“The Japanese government will aim to consistently achieve economic growth of more than 3 pct in nominal gross domestic product and more than 1 pct in real GDP at an early date.”</w:t>
      </w:r>
    </w:p>
    <w:p>
      <w:pPr>
        <w:pStyle w:val="BodyText"/>
      </w:pPr>
      <w:r>
        <w:t xml:space="preserve">The plan leans on investment rather than austerity. Combined public and private spending is projected to exceed 370 trillion yen across 17 strategic fields, with artificial intelligence and semiconductors the leading priority and the largest single allocation. Other designated fields include space development, shipbuilding, marine industries, and critical minerals, supported by a new budget category to be created from fiscal 2027. The strategy replaces the long-running</w:t>
      </w:r>
      <w:r>
        <w:t xml:space="preserve"> </w:t>
      </w:r>
      <w:r>
        <w:t xml:space="preserve">“Honebuto”</w:t>
      </w:r>
      <w:r>
        <w:t xml:space="preserve"> </w:t>
      </w:r>
      <w:r>
        <w:t xml:space="preserve">basic policy framework that had guided Japanese fiscal planning for years. The scale of the spending — roughly half from government funds and the rest from private capital — has drawn early scrutiny over how Tokyo will finance the gap without widening its deficit.</w:t>
      </w:r>
    </w:p>
    <w:p>
      <w:pPr>
        <w:pStyle w:val="BodyText"/>
      </w:pPr>
      <w:r>
        <w:rPr>
          <w:b/>
          <w:bCs/>
        </w:rPr>
        <w:t xml:space="preserve">References</w:t>
      </w:r>
      <w:r>
        <w:t xml:space="preserve"> </w:t>
      </w:r>
      <w:r>
        <w:t xml:space="preserve">[1] Jiji Press. (2026, June 30). Japan to target stable nominal GDP growth of over 3 pct. Nippon.com. https://www.nippon.com/en/news/yjj2026063000278/japan-to-target-stable-nominal-gdp-growth-of-over-3-pct.html</w:t>
      </w:r>
      <w:r>
        <w:t xml:space="preserve"> </w:t>
      </w:r>
      <w:r>
        <w:t xml:space="preserve">[2] Investing.com. (2026, June 30). Japan targets more than doubling real growth to over 1% in economic blueprint. Investing.com. https://www.investing.com/news/economy-news/japan-targets-more-than-doubling-real-growth-to-over-1-in-economic-blueprint-4764200</w:t>
      </w:r>
      <w:r>
        <w:t xml:space="preserve"> </w:t>
      </w:r>
      <w:r>
        <w:t xml:space="preserve">[3] Jiji Press. (2026, June 24). Japan eyes 370 t. yen in strategic investments by FY 2040. Nippon.com. https://www.nippon.com/en/news/yjj2026062401070/</w:t>
      </w:r>
    </w:p>
    <w:p>
      <w:r>
        <w:pict>
          <v:rect style="width:0;height:1.5pt" o:hralign="center" o:hrstd="t" o:hr="t"/>
        </w:pict>
      </w:r>
    </w:p>
    <w:bookmarkEnd w:id="9"/>
    <w:bookmarkStart w:id="10" w:name="X18a4243781d48660653d935db842edbf4d6a92d"/>
    <w:p>
      <w:pPr>
        <w:pStyle w:val="Heading3"/>
      </w:pPr>
      <w:r>
        <w:t xml:space="preserve">Bank of Japan Revises Output Gap and Consumption Index Methodologies in Dual Research Release</w:t>
      </w:r>
    </w:p>
    <w:p>
      <w:pPr>
        <w:pStyle w:val="FirstParagraph"/>
      </w:pPr>
      <w:r>
        <w:t xml:space="preserve">The Bank of Japan’s Research and Statistics Department simultaneously published two research papers on June 30, 2026, reworking core tools it uses to read the economy after Japan’s 2020 GDP base revision. The first paper, on the output gap and potential growth rate, switches the capital utilization rate calculation from a quantity basis to a value-added basis to correct a downward bias in manufacturing, updates the structural unemployment rate method to reflect the shift away from Public Employment Security Office placements toward private employment agencies, and re-estimates potential growth using the updated 2020 base-year GDP and capital stock through total factor productivity analysis.</w:t>
      </w:r>
    </w:p>
    <w:p>
      <w:pPr>
        <w:pStyle w:val="BodyText"/>
      </w:pPr>
      <w:r>
        <w:t xml:space="preserve">The revisions matter because they feed directly into how the central bank judges spare capacity and inflation pressure as it weighs further tightening. The paper notes that</w:t>
      </w:r>
      <w:r>
        <w:t xml:space="preserve"> </w:t>
      </w:r>
      <w:r>
        <w:t xml:space="preserve">“developments in labor input and labor market tightness appear to exert an increasingly significant influence on economic activity in labor-intensive sectors and price trends amid intensifying labor supply constraints.”</w:t>
      </w:r>
      <w:r>
        <w:t xml:space="preserve"> </w:t>
      </w:r>
      <w:r>
        <w:t xml:space="preserve">The second paper rebases the weighting of the Consumption Activity Index, a high-frequency gauge the BOJ tracks between official GDP readings. The bank also released its May 2026 Payment and Settlement Statistics and Average Contract Interest Rates on Loans and Discounts the same day.</w:t>
      </w:r>
    </w:p>
    <w:p>
      <w:pPr>
        <w:pStyle w:val="BodyText"/>
      </w:pPr>
      <w:r>
        <w:rPr>
          <w:b/>
          <w:bCs/>
        </w:rPr>
        <w:t xml:space="preserve">References</w:t>
      </w:r>
      <w:r>
        <w:t xml:space="preserve"> </w:t>
      </w:r>
      <w:r>
        <w:t xml:space="preserve">[4] Bank of Japan Research and Statistics Department. (2026, June 30). Updates on the output gap and potential growth rate, and monitoring labor market indicators. Bank of Japan. https://www.boj.or.jp/en/research/brp/ron_2026/ron260630a.htm</w:t>
      </w:r>
      <w:r>
        <w:t xml:space="preserve"> </w:t>
      </w:r>
      <w:r>
        <w:t xml:space="preserve">[5] Bank of Japan Research and Statistics Department. (2026, June 30). Revision of the Consumption Activity Index following the 2020 base revision of GDP statistics. Bank of Japan. https://www.boj.or.jp/en/research/brp/ron_2026/ron260630b.htm</w:t>
      </w:r>
    </w:p>
    <w:p>
      <w:r>
        <w:pict>
          <v:rect style="width:0;height:1.5pt" o:hralign="center" o:hrstd="t" o:hr="t"/>
        </w:pict>
      </w:r>
    </w:p>
    <w:bookmarkEnd w:id="10"/>
    <w:bookmarkStart w:id="11" w:name="Xc49011597fe99541c07c65b0e518855651ada2e"/>
    <w:p>
      <w:pPr>
        <w:pStyle w:val="Heading3"/>
      </w:pPr>
      <w:r>
        <w:t xml:space="preserve">Japan Ministry of Finance Holds 2-Year JGB Auction and Sets Third-Quarter Inflation-Indexed Bond Schedule</w:t>
      </w:r>
    </w:p>
    <w:p>
      <w:pPr>
        <w:pStyle w:val="FirstParagraph"/>
      </w:pPr>
      <w:r>
        <w:t xml:space="preserve">The Japanese Ministry of Finance sold a fresh 2-year Japanese Government Bond on June 30, 2026, with the auction reflecting the higher-rate environment that has taken hold since the Bank of Japan’s June 16 hike. Issue number 486 — dated July 1, 2026 and maturing July 1, 2028 — carried a nominal coupon of 1.4 percent. The yield at the lowest accepted price was 1.410 percent and the weighted average accepted yield 1.407 percent, with the lowest accepted price at 99.980 per 100 yen of par. Competitive bids totaled 10,374.4 billion yen against an accepted competitive amount of 2,153.4 billion yen, a bid-to-cover ratio of roughly 4.82 times that points to firm demand.</w:t>
      </w:r>
    </w:p>
    <w:p>
      <w:pPr>
        <w:pStyle w:val="BodyText"/>
      </w:pPr>
      <w:r>
        <w:t xml:space="preserve">The Ministry separately set its third-quarter plan for inflation-indexed bonds, scheduling a primary issuance of approximately 250 billion yen in August 2026, with none in July or September. Buy-backs of about 15 billion yen are planned in July and 15 billion yen in September, totaling roughly 30 billion yen for the quarter, with eligible issues limited to those numbered 22 through 30. The Ministry cautioned that</w:t>
      </w:r>
      <w:r>
        <w:t xml:space="preserve"> </w:t>
      </w:r>
      <w:r>
        <w:t xml:space="preserve">“the plan could be changed owing to market conditions and others.”</w:t>
      </w:r>
      <w:r>
        <w:t xml:space="preserve"> </w:t>
      </w:r>
      <w:r>
        <w:t xml:space="preserve">It also confirmed the 30-year JGB to be issued in July 2026 and published key points from the 119th meeting of JGB Market Special Participants.</w:t>
      </w:r>
    </w:p>
    <w:p>
      <w:pPr>
        <w:pStyle w:val="BodyText"/>
      </w:pPr>
      <w:r>
        <w:rPr>
          <w:b/>
          <w:bCs/>
        </w:rPr>
        <w:t xml:space="preserve">References</w:t>
      </w:r>
      <w:r>
        <w:t xml:space="preserve"> </w:t>
      </w:r>
      <w:r>
        <w:t xml:space="preserve">[6] Ministry of Finance Japan. (2026, June 30). Auction results: 2-year JGB (issue no. 486). Ministry of Finance Japan. https://www.mof.go.jp/english/policy/jgbs/auction/calendar/eresul/eresul20260630.htm</w:t>
      </w:r>
      <w:r>
        <w:t xml:space="preserve"> </w:t>
      </w:r>
      <w:r>
        <w:t xml:space="preserve">[7] Ministry of Finance Japan. (2026, June 30). Issuance plan for inflation-indexed bonds (July–September 2026). Ministry of Finance Japan. https://www.mof.go.jp/english/policy/jgbs/topics/press_release/20260630-01e.htm</w:t>
      </w:r>
      <w:r>
        <w:t xml:space="preserve"> </w:t>
      </w:r>
      <w:r>
        <w:t xml:space="preserve">[8] Ministry of Finance Japan. (2026, June 30). Outline of the 119th meeting of JGB Market Special Participants. Ministry of Finance Japan. https://www.mof.go.jp/english/policy/jgbs/topics/press_release/20260630-02e.htm</w:t>
      </w:r>
    </w:p>
    <w:p>
      <w:r>
        <w:pict>
          <v:rect style="width:0;height:1.5pt" o:hralign="center" o:hrstd="t" o:hr="t"/>
        </w:pict>
      </w:r>
    </w:p>
    <w:bookmarkEnd w:id="11"/>
    <w:bookmarkStart w:id="12" w:name="X029f97e2371332f2ba8547d5e8837984d87dd59"/>
    <w:p>
      <w:pPr>
        <w:pStyle w:val="Heading3"/>
      </w:pPr>
      <w:r>
        <w:t xml:space="preserve">Japanese Yen Breaks 162 Per Dollar for First Time Since 1986 as Finance Minister Warns on Intervention</w:t>
      </w:r>
    </w:p>
    <w:p>
      <w:pPr>
        <w:pStyle w:val="FirstParagraph"/>
      </w:pPr>
      <w:r>
        <w:t xml:space="preserve">The Japanese yen broke through 162 per dollar during Tokyo trading on June 30, 2026, sliding as low as 162.36 — its weakest since December 1986, nearly four decades ago. The currency had pierced 161.97 in New York the prior session before crossing 162 as Asian markets opened; the highest rate recorded on June 30 was 162.1950. Finance Minister Satsuki Katayama told reporters:</w:t>
      </w:r>
      <w:r>
        <w:t xml:space="preserve"> </w:t>
      </w:r>
      <w:r>
        <w:t xml:space="preserve">“It all comes down to being ready to respond appropriately to currency moves at any time.”</w:t>
      </w:r>
      <w:r>
        <w:t xml:space="preserve"> </w:t>
      </w:r>
      <w:r>
        <w:t xml:space="preserve">Asked whether the breach of 162 raised the urgency, she said her message</w:t>
      </w:r>
      <w:r>
        <w:t xml:space="preserve"> </w:t>
      </w:r>
      <w:r>
        <w:t xml:space="preserve">“has remained unchanged,”</w:t>
      </w:r>
      <w:r>
        <w:t xml:space="preserve"> </w:t>
      </w:r>
      <w:r>
        <w:t xml:space="preserve">confirming the government stood ready to take decisive action</w:t>
      </w:r>
      <w:r>
        <w:t xml:space="preserve"> </w:t>
      </w:r>
      <w:r>
        <w:t xml:space="preserve">“as confirmed between Japan and the U.S.”</w:t>
      </w:r>
    </w:p>
    <w:p>
      <w:pPr>
        <w:pStyle w:val="BodyText"/>
      </w:pPr>
      <w:r>
        <w:t xml:space="preserve">The slide is driven by the gap between Japanese and US interest rates. Japan’s policy rate now stands at 1.0 percent — the highest since 1995, following the Bank of Japan’s June 16 hike — but remains far below the US federal funds rate range of 3.50 to 3.75 percent, leaving the yen the obvious funding currency to sell. Analysts at ING described 162 as a</w:t>
      </w:r>
      <w:r>
        <w:t xml:space="preserve"> </w:t>
      </w:r>
      <w:r>
        <w:t xml:space="preserve">“new intervention line”</w:t>
      </w:r>
      <w:r>
        <w:t xml:space="preserve"> </w:t>
      </w:r>
      <w:r>
        <w:t xml:space="preserve">for the yen, a marker traders are watching for any sign that Tokyo will step into the market. Japan has historically intervened only at moments of rapid, one-sided moves rather than at any fixed level.</w:t>
      </w:r>
    </w:p>
    <w:p>
      <w:pPr>
        <w:pStyle w:val="BodyText"/>
      </w:pPr>
      <w:r>
        <w:rPr>
          <w:b/>
          <w:bCs/>
        </w:rPr>
        <w:t xml:space="preserve">References</w:t>
      </w:r>
      <w:r>
        <w:t xml:space="preserve"> </w:t>
      </w:r>
      <w:r>
        <w:t xml:space="preserve">[9] Lee, Y. N. (2026, June 30). Japan’s yen falls to lowest level since 1986; dollar intervention risk in focus. CNBC. https://www.cnbc.com/2026/06/30/japan-yen-falls-lowest-level-since-1986-dollar-intervention-risk.html</w:t>
      </w:r>
      <w:r>
        <w:t xml:space="preserve"> </w:t>
      </w:r>
      <w:r>
        <w:t xml:space="preserve">[10] Japan Times. (2026, June 30). Yen breaks out past 162 to the dollar. The Japan Times. https://www.japantimes.co.jp/business/2026/06/30/markets/yen-breakout-162/</w:t>
      </w:r>
      <w:r>
        <w:t xml:space="preserve"> </w:t>
      </w:r>
      <w:r>
        <w:t xml:space="preserve">[11] Bloomberg. (2026, June 29). Yen hits four-decade low in historic slide that’s rattled Japan. Bloomberg. https://www.bloomberg.com/news/articles/2026-06-29/yen-jpy-usd-hits-four-decade-low-in-historic-slide-that-s-rattled-japan</w:t>
      </w:r>
    </w:p>
    <w:p>
      <w:r>
        <w:pict>
          <v:rect style="width:0;height:1.5pt" o:hralign="center" o:hrstd="t" o:hr="t"/>
        </w:pict>
      </w:r>
    </w:p>
    <w:bookmarkEnd w:id="12"/>
    <w:bookmarkStart w:id="13" w:name="X5d209a1c3fc6a1ef91a03349e27f779e56f693c"/>
    <w:p>
      <w:pPr>
        <w:pStyle w:val="Heading3"/>
      </w:pPr>
      <w:r>
        <w:t xml:space="preserve">Japan May Factory Output Rises 0.5 Percent on the Month, Undershooting Forecast as Annual Output Falls</w:t>
      </w:r>
    </w:p>
    <w:p>
      <w:pPr>
        <w:pStyle w:val="FirstParagraph"/>
      </w:pPr>
      <w:r>
        <w:t xml:space="preserve">Japan’s Ministry of Economy, Trade and Industry reported on June 30, 2026 that industrial production rose 0.5 percent in May from April, a second straight monthly gain but well short of the 1.1 percent economists had forecast. On a year-on-year basis output fell 1.7 percent, the first annual decline in six months, reversing a 2.0 percent gain in April. The mixed picture reflected sharp swings by sector: transport equipment excluding motor vehicles rose 4.6 percent, inorganic and organic chemicals 3.7 percent, and petroleum and coal products 9.1 percent, while general-purpose and business-oriented machinery fell 6.2 percent, electrical machinery and ICT equipment 5.1 percent, and production machinery 3.6 percent.</w:t>
      </w:r>
    </w:p>
    <w:p>
      <w:pPr>
        <w:pStyle w:val="BodyText"/>
      </w:pPr>
      <w:r>
        <w:t xml:space="preserve">Manufacturers surveyed by METI expect output to rebound 3.7 percent in June before staying roughly flat in July, suggesting producers see the soft patch as temporary. The four-month-old US-Iran conflict had clouded the outlook by threatening Middle East oil supply, though crude prices have since eased. The data feeds into the Bank of Japan’s deliberations as it considers whether to move beyond the 1.0 percent policy rate set at its June 16 meeting.</w:t>
      </w:r>
    </w:p>
    <w:p>
      <w:pPr>
        <w:pStyle w:val="BodyText"/>
      </w:pPr>
      <w:r>
        <w:rPr>
          <w:b/>
          <w:bCs/>
        </w:rPr>
        <w:t xml:space="preserve">References</w:t>
      </w:r>
      <w:r>
        <w:t xml:space="preserve"> </w:t>
      </w:r>
      <w:r>
        <w:t xml:space="preserve">[12] Business Today. (2026, June 30). Japan factory output grows slower than expected in May. Business Today. https://www.businesstoday.com.my/2026/06/30/japan-factory-output-grows-slower-than-expected-in-may/</w:t>
      </w:r>
      <w:r>
        <w:t xml:space="preserve"> </w:t>
      </w:r>
      <w:r>
        <w:t xml:space="preserve">[13] Ministry of Economy, Trade and Industry. (2026, June 30). Indices of Industrial Production. METI. https://www.meti.go.jp/english/statistics/tyo/iip/index.html</w:t>
      </w:r>
      <w:r>
        <w:t xml:space="preserve"> </w:t>
      </w:r>
      <w:r>
        <w:t xml:space="preserve">[14] Bloomberg. (2026, June 29). Japan’s factory output rises as Iran fallout remains manageable. Bloomberg. https://www.bloomberg.com/news/articles/2026-06-29/japan-s-factory-output-rises-as-iran-fallout-remains-manageable</w:t>
      </w:r>
    </w:p>
    <w:p>
      <w:r>
        <w:pict>
          <v:rect style="width:0;height:1.5pt" o:hralign="center" o:hrstd="t" o:hr="t"/>
        </w:pict>
      </w:r>
    </w:p>
    <w:bookmarkEnd w:id="13"/>
    <w:bookmarkEnd w:id="14"/>
    <w:bookmarkStart w:id="18" w:name="politics-diplomacy"/>
    <w:p>
      <w:pPr>
        <w:pStyle w:val="Heading2"/>
      </w:pPr>
      <w:r>
        <w:t xml:space="preserve">2. Politics &amp; Diplomacy</w:t>
      </w:r>
    </w:p>
    <w:bookmarkStart w:id="15" w:name="Xd44dd2261ffc1094f45990af5c4908fd307b0b6"/>
    <w:p>
      <w:pPr>
        <w:pStyle w:val="Heading3"/>
      </w:pPr>
      <w:r>
        <w:t xml:space="preserve">Japan to Revise Arctic Policy for First Time Since 2015 Citing Chinese and Russian Intensification</w:t>
      </w:r>
    </w:p>
    <w:p>
      <w:pPr>
        <w:pStyle w:val="FirstParagraph"/>
      </w:pPr>
      <w:r>
        <w:t xml:space="preserve">Prime Minister Sanae Takaichi on June 30, 2026 announced that Japan will revise its Arctic policy in fiscal 2027, starting next April — the first revision since the policy was first formulated in 2015. Speaking to the government’s Headquarters for Ocean Policy, Takaichi said:</w:t>
      </w:r>
      <w:r>
        <w:t xml:space="preserve"> </w:t>
      </w:r>
      <w:r>
        <w:t xml:space="preserve">“The significance (of the Arctic) is increasing in light of rising geopolitical concern, and potential resources and waterways.”</w:t>
      </w:r>
      <w:r>
        <w:t xml:space="preserve"> </w:t>
      </w:r>
      <w:r>
        <w:t xml:space="preserve">The trigger is intensifying activity by China and Russia, which have stepped up work on Arctic sea routes and resource development as warming ice opens new shipping lanes and access to minerals. Takaichi instructed Minister of State for Ocean Policy Jiro Akama to lead international cooperation on the revision.</w:t>
      </w:r>
    </w:p>
    <w:p>
      <w:pPr>
        <w:pStyle w:val="BodyText"/>
      </w:pPr>
      <w:r>
        <w:t xml:space="preserve">Japan, an observer state at the Arctic Council, aims to align more closely with the United States and other like-minded countries rather than act alone. A centerpiece is the Japan Agency for Marine-Earth Science and Technology’s new Arctic research ship Mirai II, which Tokyo plans to position as an international research platform open to foreign scientists. The vessel — Japan’s first capable of breaking thick polar ice — is expected to enter service by around March 2027. The move folds the Arctic into the broader security and resource agenda Takaichi has pushed since taking office.</w:t>
      </w:r>
    </w:p>
    <w:p>
      <w:pPr>
        <w:pStyle w:val="BodyText"/>
      </w:pPr>
      <w:r>
        <w:rPr>
          <w:b/>
          <w:bCs/>
        </w:rPr>
        <w:t xml:space="preserve">References</w:t>
      </w:r>
      <w:r>
        <w:t xml:space="preserve"> </w:t>
      </w:r>
      <w:r>
        <w:t xml:space="preserve">[15] Japan Times. (2026, June 30). Japan to revise its Arctic policy as region’s geopolitical importance grows. The Japan Times. https://www.japantimes.co.jp/news/2026/06/30/japan/politics/japan-arctic-policy-revise/</w:t>
      </w:r>
      <w:r>
        <w:t xml:space="preserve"> </w:t>
      </w:r>
      <w:r>
        <w:t xml:space="preserve">[16] The Arctic Institute. (2026). A framework for US-Japan cooperation in the Arctic. Atlantic Council. https://www.atlanticcouncil.org/in-depth-research-reports/a-framework-for-us-japan-cooperation-in-the-arctic/</w:t>
      </w:r>
    </w:p>
    <w:p>
      <w:r>
        <w:pict>
          <v:rect style="width:0;height:1.5pt" o:hralign="center" o:hrstd="t" o:hr="t"/>
        </w:pict>
      </w:r>
    </w:p>
    <w:bookmarkEnd w:id="15"/>
    <w:bookmarkStart w:id="16" w:name="Xa053795d605e4c77c92bddab31f391541fa763a"/>
    <w:p>
      <w:pPr>
        <w:pStyle w:val="Heading3"/>
      </w:pPr>
      <w:r>
        <w:t xml:space="preserve">Japanese Lawmakers’ Average Income Reaches Record 30.03 Million Yen in 2025 Disclosure</w:t>
      </w:r>
    </w:p>
    <w:p>
      <w:pPr>
        <w:pStyle w:val="FirstParagraph"/>
      </w:pPr>
      <w:r>
        <w:t xml:space="preserve">Japan’s National Diet released statutory income disclosures for fiscal 2025 on June 30, 2026, showing the average lawmaker’s income rose 4.9 million yen from the prior year to 30.03 million yen — the highest on record under the disclosure requirement. Two legislators reported income above 1 billion yen, both from the ruling Liberal Democratic Party: Kenji Nakanishi, who disclosed 1,140.15 million yen with roughly 90 percent coming from stock-sale gains and dividends, and Norihisa Tamura. Seven lawmakers in all topped 100 million yen, six of them from the LDP and one from the opposition: Yoshihiro Suzuki of the Democratic Party for the People, who declared 110.02 million yen.</w:t>
      </w:r>
    </w:p>
    <w:p>
      <w:pPr>
        <w:pStyle w:val="BodyText"/>
      </w:pPr>
      <w:r>
        <w:t xml:space="preserve">The party averages underscored the LDP’s wealth concentration. LDP members averaged 35.12 million yen, against 24.38 million yen for the Democratic Party for the People, 23.52 million yen for the Japan Innovation Party, and 22.66 million yen for the Social Democratic Party. The disclosure lands while the LDP sits in a dominant position, having won 316 lower-house seats in February 2026 and, with coalition partner the Japan Innovation Party, commanding a three-quarters majority. The annual filing covers only income that must legally be reported, so the figures understate total wealth.</w:t>
      </w:r>
    </w:p>
    <w:p>
      <w:pPr>
        <w:pStyle w:val="BodyText"/>
      </w:pPr>
      <w:r>
        <w:rPr>
          <w:b/>
          <w:bCs/>
        </w:rPr>
        <w:t xml:space="preserve">References</w:t>
      </w:r>
      <w:r>
        <w:t xml:space="preserve"> </w:t>
      </w:r>
      <w:r>
        <w:t xml:space="preserve">[17] Jiji Press. (2026, June 30). Average income of Japanese lawmakers hits record high. Nippon.com. https://www.nippon.com/en/news/yjj2026063000422/</w:t>
      </w:r>
    </w:p>
    <w:p>
      <w:r>
        <w:pict>
          <v:rect style="width:0;height:1.5pt" o:hralign="center" o:hrstd="t" o:hr="t"/>
        </w:pict>
      </w:r>
    </w:p>
    <w:bookmarkEnd w:id="16"/>
    <w:bookmarkStart w:id="17" w:name="Xda151d396f2ebcde4d3e992a93ae7c809527d1a"/>
    <w:p>
      <w:pPr>
        <w:pStyle w:val="Heading3"/>
      </w:pPr>
      <w:r>
        <w:t xml:space="preserve">Japan Passes Legislation Creating a Unified National Intelligence Council Under the Prime Minister</w:t>
      </w:r>
    </w:p>
    <w:p>
      <w:pPr>
        <w:pStyle w:val="FirstParagraph"/>
      </w:pPr>
      <w:r>
        <w:t xml:space="preserve">Japan’s Diet passed legislation on May 27, 2026 to establish a national intelligence council as the country’s central intelligence hub, an overhaul analyzed in depth by Nippon.com on June 30. The council consolidates five previously fragmented bodies under a single secretariat: the Cabinet Intelligence and Research Office, the National Police Agency’s Security Bureau, the Public Security Intelligence Agency, the Foreign Ministry’s Intelligence and Analysis Service, and the Defense Intelligence Headquarters. The prime minister chairs the council, joined by nine additional ministers, and Takaichi Sanae described the move as the</w:t>
      </w:r>
      <w:r>
        <w:t xml:space="preserve"> </w:t>
      </w:r>
      <w:r>
        <w:t xml:space="preserve">“first step”</w:t>
      </w:r>
      <w:r>
        <w:t xml:space="preserve"> </w:t>
      </w:r>
      <w:r>
        <w:t xml:space="preserve">in strengthening Japan’s intelligence capabilities.</w:t>
      </w:r>
    </w:p>
    <w:p>
      <w:pPr>
        <w:pStyle w:val="BodyText"/>
      </w:pPr>
      <w:r>
        <w:t xml:space="preserve">The structure is modeled on the National Security Secretariat that former Prime Minister Abe Shinzō established in 2014, extending that template from policy coordination to intelligence. The council is mandated to coordinate responses to</w:t>
      </w:r>
      <w:r>
        <w:t xml:space="preserve"> </w:t>
      </w:r>
      <w:r>
        <w:t xml:space="preserve">“intelligence issues critical to national security,”</w:t>
      </w:r>
      <w:r>
        <w:t xml:space="preserve"> </w:t>
      </w:r>
      <w:r>
        <w:t xml:space="preserve">explicitly including foreign intelligence operations and disinformation. It sits alongside the rest of Takaichi’s security agenda — a defense budget worth 2 percent of GDP, long-range missile deployment in 2026, and a planned revision of Japan’s three core security documents — marking a steady centralization of national-security decision-making in the prime minister’s office.</w:t>
      </w:r>
    </w:p>
    <w:p>
      <w:pPr>
        <w:pStyle w:val="BodyText"/>
      </w:pPr>
      <w:r>
        <w:rPr>
          <w:b/>
          <w:bCs/>
        </w:rPr>
        <w:t xml:space="preserve">References</w:t>
      </w:r>
      <w:r>
        <w:t xml:space="preserve"> </w:t>
      </w:r>
      <w:r>
        <w:t xml:space="preserve">[18] Nippon.com. (2026, June 30). Japan moves to centralize intelligence amid mounting strategic challenges. Nippon.com. https://www.nippon.com/en/in-depth/d01242/japan-moves-to-centralize-intelligence-amid-mounting-strategic-challenges.html</w:t>
      </w:r>
    </w:p>
    <w:p>
      <w:r>
        <w:pict>
          <v:rect style="width:0;height:1.5pt" o:hralign="center" o:hrstd="t" o:hr="t"/>
        </w:pict>
      </w:r>
    </w:p>
    <w:bookmarkEnd w:id="17"/>
    <w:bookmarkEnd w:id="18"/>
    <w:bookmarkStart w:id="21" w:name="technology-industry"/>
    <w:p>
      <w:pPr>
        <w:pStyle w:val="Heading2"/>
      </w:pPr>
      <w:r>
        <w:t xml:space="preserve">3. Technology &amp; Industry</w:t>
      </w:r>
    </w:p>
    <w:bookmarkStart w:id="19" w:name="X2f5343057bdbb985c4664572520e8a1b4aaca29"/>
    <w:p>
      <w:pPr>
        <w:pStyle w:val="Heading3"/>
      </w:pPr>
      <w:r>
        <w:t xml:space="preserve">Japan Launches CFIUS-Style Foreign Investment Review Panel to Prevent Technology Leakage</w:t>
      </w:r>
    </w:p>
    <w:p>
      <w:pPr>
        <w:pStyle w:val="FirstParagraph"/>
      </w:pPr>
      <w:r>
        <w:t xml:space="preserve">The Japanese government held the inaugural meeting of the Japan Foreign Investment Committee on June 30, 2026, standing up Japan’s equivalent of the US Committee on Foreign Investment in the United States. The new body conducts cross-ministerial screening of foreign investments in Japanese companies to prevent the leakage of technology and information critical to national security, focusing on acquisitions in semiconductors, AI, aerospace, and defense. It is co-chaired by the Finance Ministry and the National Security Secretariat and includes the Ministry of Economy, Trade and Industry and the Ministry of Defense.</w:t>
      </w:r>
    </w:p>
    <w:p>
      <w:pPr>
        <w:pStyle w:val="BodyText"/>
      </w:pPr>
      <w:r>
        <w:t xml:space="preserve">The committee draws its authority from an amendment to the foreign exchange and foreign trade law enacted this Diet session, which lets the government screen both direct and indirect foreign investments. Prime Minister Takaichi framed the panel as pro-investment rather than protectionist, telling the meeting:</w:t>
      </w:r>
      <w:r>
        <w:t xml:space="preserve"> </w:t>
      </w:r>
      <w:r>
        <w:t xml:space="preserve">“Conducting consistent reviews across ministries and agencies will also enhance predictability for foreign investors, thereby contributing to both promoting sound investment and ensuring economic security.”</w:t>
      </w:r>
      <w:r>
        <w:t xml:space="preserve"> </w:t>
      </w:r>
      <w:r>
        <w:t xml:space="preserve">The framework has been developed in close coordination with the United States, aligning Japan’s screening regime with allied controls on sensitive technology.</w:t>
      </w:r>
    </w:p>
    <w:p>
      <w:pPr>
        <w:pStyle w:val="BodyText"/>
      </w:pPr>
      <w:r>
        <w:rPr>
          <w:b/>
          <w:bCs/>
        </w:rPr>
        <w:t xml:space="preserve">References</w:t>
      </w:r>
      <w:r>
        <w:t xml:space="preserve"> </w:t>
      </w:r>
      <w:r>
        <w:t xml:space="preserve">[19] Japan Times. (2026, June 30). Japan holds first meeting of foreign investment screening committee. The Japan Times. https://www.japantimes.co.jp/business/2026/06/30/jfic-first-meeting/</w:t>
      </w:r>
      <w:r>
        <w:t xml:space="preserve"> </w:t>
      </w:r>
      <w:r>
        <w:t xml:space="preserve">[20] Jiji Press. (2026, June 29). Japan launches panel to review foreign investment. Nippon.com. https://www.nippon.com/en/news/yjj2026062900710/japan-launches-panel-to-review-foreign-investment.html</w:t>
      </w:r>
    </w:p>
    <w:p>
      <w:r>
        <w:pict>
          <v:rect style="width:0;height:1.5pt" o:hralign="center" o:hrstd="t" o:hr="t"/>
        </w:pict>
      </w:r>
    </w:p>
    <w:bookmarkEnd w:id="19"/>
    <w:bookmarkStart w:id="20" w:name="X90a925f3be6d7e194f1296e6b2179cb5547eed3"/>
    <w:p>
      <w:pPr>
        <w:pStyle w:val="Heading3"/>
      </w:pPr>
      <w:r>
        <w:t xml:space="preserve">Riken and Taiwan’s NSTC Launch Joint Research on Next-Generation Compound Semiconductors</w:t>
      </w:r>
    </w:p>
    <w:p>
      <w:pPr>
        <w:pStyle w:val="FirstParagraph"/>
      </w:pPr>
      <w:r>
        <w:t xml:space="preserve">Japan’s Riken research institute has entered a collaboration with Taiwan’s National Science and Technology Council on next-generation compound semiconductor research, with details published June 30, 2026. The two sides have signed a memorandum of understanding to drive joint research, with the partnership expanding into compound-semiconductor materials — the wide-bandgap and other advanced substrates that underpin next-generation chips and quantum hardware — from 2026. The tie-up pairs Taiwan’s chip-manufacturing depth with Japan’s strength in materials science and quantum systems.</w:t>
      </w:r>
    </w:p>
    <w:p>
      <w:pPr>
        <w:pStyle w:val="BodyText"/>
      </w:pPr>
      <w:r>
        <w:t xml:space="preserve">Riken brings significant momentum from its quantum program. Its homegrown superconducting quantum computer</w:t>
      </w:r>
      <w:r>
        <w:t xml:space="preserve"> </w:t>
      </w:r>
      <w:r>
        <w:t xml:space="preserve">“Ei-II,”</w:t>
      </w:r>
      <w:r>
        <w:t xml:space="preserve"> </w:t>
      </w:r>
      <w:r>
        <w:t xml:space="preserve">developed jointly with the University of Osaka, went online with 144 qubits and 99.9 percent fidelity in late March 2026. The collaboration fits a wider pattern of Taiwan-Japan academic cooperation on advanced semiconductors and quantum-HPC integration, and dovetails with Taiwan’s plan to build a quantum computing mainframe and link it to high-performance computing in 2026. For Tokyo, the partnership strengthens supply-chain ties with a key chip-making democracy at a moment of rising scrutiny over critical-technology dependence.</w:t>
      </w:r>
    </w:p>
    <w:p>
      <w:pPr>
        <w:pStyle w:val="BodyText"/>
      </w:pPr>
      <w:r>
        <w:rPr>
          <w:b/>
          <w:bCs/>
        </w:rPr>
        <w:t xml:space="preserve">References</w:t>
      </w:r>
      <w:r>
        <w:t xml:space="preserve"> </w:t>
      </w:r>
      <w:r>
        <w:t xml:space="preserve">[21] DigiTimes. (2026, June 29). Riken and Taiwan academia join forces on next-gen compound semiconductors. DigiTimes. https://www.digitimes.com/news/a20260629PD228/taiwan-japan-academia-quantum-computer-semiconductors-nstc-2026.html</w:t>
      </w:r>
      <w:r>
        <w:t xml:space="preserve"> </w:t>
      </w:r>
      <w:r>
        <w:t xml:space="preserve">[22] DigiTimes. (2025, March 31). Taiwan and Japan expand joint research into next-gen compound semiconductors. DigiTimes. https://www.digitimes.com/news/a20250331PD201/taiwan-semiconductors-nstc-silicon-ntu.html</w:t>
      </w:r>
    </w:p>
    <w:p>
      <w:r>
        <w:pict>
          <v:rect style="width:0;height:1.5pt" o:hralign="center" o:hrstd="t" o:hr="t"/>
        </w:pict>
      </w:r>
    </w:p>
    <w:p>
      <w:pPr>
        <w:pStyle w:val="FirstParagraph"/>
      </w:pPr>
      <w:r>
        <w:rPr>
          <w:i/>
          <w:iCs/>
        </w:rPr>
        <w:t xml:space="preserve">Note: only 2 stories met T1-T4 standards for this category today.</w:t>
      </w:r>
    </w:p>
    <w:bookmarkEnd w:id="20"/>
    <w:bookmarkEnd w:id="21"/>
    <w:bookmarkStart w:id="23" w:name="society-livelihood"/>
    <w:p>
      <w:pPr>
        <w:pStyle w:val="Heading2"/>
      </w:pPr>
      <w:r>
        <w:t xml:space="preserve">4. Society &amp; Livelihood</w:t>
      </w:r>
    </w:p>
    <w:bookmarkStart w:id="22" w:name="X14a06ddc630d2e38faa663efd7c2abc8f20b6de"/>
    <w:p>
      <w:pPr>
        <w:pStyle w:val="Heading3"/>
      </w:pPr>
      <w:r>
        <w:t xml:space="preserve">Japan Records Highest-Ever Smartphone-Related Traffic Deaths in 2025, National Police Agency Discloses</w:t>
      </w:r>
    </w:p>
    <w:p>
      <w:pPr>
        <w:pStyle w:val="FirstParagraph"/>
      </w:pPr>
      <w:r>
        <w:t xml:space="preserve">Japan’s National Police Agency disclosed on June 30, 2026 that serious-injury and fatal car accidents caused by drivers using smartphones reached 148 cases in 2025, including 26 fatal accidents — the highest tally since record-keeping began in 2015. The agency found these crashes far deadlier than others: the fatality rate for smartphone-related accidents was 2.7 percent versus 0.8 percent for all other accidents, meaning a distracted driver was 3.4 times more likely to cause a fatal crash. The physics are stark, with drivers facing sharply heightened risk once they look at a screen for more than two seconds — long enough for a car at 60 km/h to travel about 33.3 meters effectively blind.</w:t>
      </w:r>
    </w:p>
    <w:p>
      <w:pPr>
        <w:pStyle w:val="BodyText"/>
      </w:pPr>
      <w:r>
        <w:t xml:space="preserve">The data follows a March 2026 tunnel collision on the Shin-Meishin Expressway in which a truck driver viewed her smartphone for roughly 13 seconds while traveling at 82 km/h, killing six people. Current traffic law imposes fines of up to 180,000 yen plus demerit points for using a phone behind the wheel, but the rising toll has pushed the government to review additional enforcement and awareness measures. The figures arrive as smartphone use has become near-universal, embedding a persistent distraction into everyday driving.</w:t>
      </w:r>
    </w:p>
    <w:p>
      <w:pPr>
        <w:pStyle w:val="BodyText"/>
      </w:pPr>
      <w:r>
        <w:rPr>
          <w:b/>
          <w:bCs/>
        </w:rPr>
        <w:t xml:space="preserve">References</w:t>
      </w:r>
      <w:r>
        <w:t xml:space="preserve"> </w:t>
      </w:r>
      <w:r>
        <w:t xml:space="preserve">[23] Nippon.com. (2026, June 30). Smartphone-related traffic deaths hit record high in Japan. Nippon.com. https://www.nippon.com/en/japan-data/h02813/</w:t>
      </w:r>
    </w:p>
    <w:p>
      <w:r>
        <w:pict>
          <v:rect style="width:0;height:1.5pt" o:hralign="center" o:hrstd="t" o:hr="t"/>
        </w:pict>
      </w:r>
    </w:p>
    <w:p>
      <w:pPr>
        <w:pStyle w:val="FirstParagraph"/>
      </w:pPr>
      <w:r>
        <w:rPr>
          <w:i/>
          <w:iCs/>
        </w:rPr>
        <w:t xml:space="preserve">Note: only 1 story met T1-T4 standards for this category today.</w:t>
      </w:r>
    </w:p>
    <w:bookmarkEnd w:id="22"/>
    <w:bookmarkEnd w:id="23"/>
    <w:bookmarkStart w:id="25" w:name="corporate-ipo-ma"/>
    <w:p>
      <w:pPr>
        <w:pStyle w:val="Heading2"/>
      </w:pPr>
      <w:r>
        <w:t xml:space="preserve">5. Corporate IPO &amp; M&amp;A</w:t>
      </w:r>
    </w:p>
    <w:bookmarkStart w:id="24" w:name="Xd02958e5438750e608d6d41a15b04849bcc97aa"/>
    <w:p>
      <w:pPr>
        <w:pStyle w:val="Heading3"/>
      </w:pPr>
      <w:r>
        <w:t xml:space="preserve">Godiva Japan Lenders Extend 75 Billion Yen Buyout Loans by Nine Months as MBK Partners Seeks Exit</w:t>
      </w:r>
    </w:p>
    <w:p>
      <w:pPr>
        <w:pStyle w:val="FirstParagraph"/>
      </w:pPr>
      <w:r>
        <w:t xml:space="preserve">A syndicate of about 25 lenders to Godiva Japan Inc. agreed on June 30, 2026 to extend by nine months the maturity of roughly ¥75 billion ($463 million) in leveraged buyout loans, pushing the repayment deadline from end-June 2026 to March 2027. The extension buys time to find a new corporate sponsor for the Belgian chocolate maker’s Japan business to replace Asian private equity fund MBK Partners, which originally acquired the unit and has been seeking an exit. Some banks initially opposed the proposal, briefly putting the unanimous approval the deal required at risk before they came around.</w:t>
      </w:r>
    </w:p>
    <w:p>
      <w:pPr>
        <w:pStyle w:val="BodyText"/>
      </w:pPr>
      <w:r>
        <w:t xml:space="preserve">MUFG Bank Ltd., the lead lender, holds about ¥25 billion of senior loans and will provide an additional ¥5 billion in new super-senior loans that rank ahead of the existing debt, while Sumitomo Mitsui Banking Corporation holds about ¥19 billion. Total borrowings comprise ¥60.5 billion in senior loans and ¥14 billion in mezzanine debt. The rescue reflects deep operating strain: Godiva Japan reported a net loss of approximately ¥30 billion for the fiscal year ended December 2025, squeezed by weak sales and soaring raw-material costs, leaving lenders to manage a restructuring rather than force a default.</w:t>
      </w:r>
    </w:p>
    <w:p>
      <w:pPr>
        <w:pStyle w:val="BodyText"/>
      </w:pPr>
      <w:r>
        <w:rPr>
          <w:b/>
          <w:bCs/>
        </w:rPr>
        <w:t xml:space="preserve">References</w:t>
      </w:r>
      <w:r>
        <w:t xml:space="preserve"> </w:t>
      </w:r>
      <w:r>
        <w:t xml:space="preserve">[24] Japan Times. (2026, June 30). Godiva’s Japan lenders agree on 9-month loan extension. The Japan Times. https://www.japantimes.co.jp/business/2026/06/30/companies/godiva-loan-extension-agreement/</w:t>
      </w:r>
      <w:r>
        <w:t xml:space="preserve"> </w:t>
      </w:r>
      <w:r>
        <w:t xml:space="preserve">[25] Bloomberg. (2026, June 29). Godiva’s Japan lenders agree on nine-month loan extension. Bloomberg. https://www.bloomberg.com/news/articles/2026-06-29/godiva-japan-lenders-said-to-agree-on-nine-month-loan-extension</w:t>
      </w:r>
      <w:r>
        <w:t xml:space="preserve"> </w:t>
      </w:r>
      <w:r>
        <w:t xml:space="preserve">[26] Japan Times. (2026, June 23). Godiva Japan said to seek extension on $464 million leveraged buyout loan. The Japan Times. https://www.japantimes.co.jp/business/2026/06/23/companies/godiva-loan-extension/</w:t>
      </w:r>
    </w:p>
    <w:p>
      <w:r>
        <w:pict>
          <v:rect style="width:0;height:1.5pt" o:hralign="center" o:hrstd="t" o:hr="t"/>
        </w:pict>
      </w:r>
    </w:p>
    <w:p>
      <w:pPr>
        <w:pStyle w:val="FirstParagraph"/>
      </w:pPr>
      <w:r>
        <w:rPr>
          <w:i/>
          <w:iCs/>
        </w:rPr>
        <w:t xml:space="preserve">Note: only 1 story met T1-T4 standards for this category today.</w:t>
      </w:r>
    </w:p>
    <w:bookmarkEnd w:id="24"/>
    <w:bookmarkEnd w:id="25"/>
    <w:bookmarkStart w:id="27" w:name="other-notable-events"/>
    <w:p>
      <w:pPr>
        <w:pStyle w:val="Heading2"/>
      </w:pPr>
      <w:r>
        <w:t xml:space="preserve">6. Other Notable Events</w:t>
      </w:r>
    </w:p>
    <w:bookmarkStart w:id="26" w:name="Xf2259b7aed4a717394367161f2eaa375a1fd6c1"/>
    <w:p>
      <w:pPr>
        <w:pStyle w:val="Heading3"/>
      </w:pPr>
      <w:r>
        <w:t xml:space="preserve">U.S. and Iran Negotiators Arrive in Doha as Interim Ceasefire Holds, Easing Japan Energy-Cost Pressure</w:t>
      </w:r>
    </w:p>
    <w:p>
      <w:pPr>
        <w:pStyle w:val="FirstParagraph"/>
      </w:pPr>
      <w:r>
        <w:t xml:space="preserve">U.S. and Iranian negotiating teams arrived in Doha, Qatar on June 30, 2026 for talks aimed at consolidating an interim ceasefire to end the four-month-old US-Iran conflict, after President Donald Trump announced the meeting on social media. Iran cautioned that no meeting had been formally scheduled, and weekend missile exchanges tested the truce, underscoring how fragile the pause remains. The current understanding grew out of a 60-day memorandum reached in late May to halt fighting and open negotiations over Iran’s nuclear program, with US envoy Steve Witkoff en route to Doha.</w:t>
      </w:r>
    </w:p>
    <w:p>
      <w:pPr>
        <w:pStyle w:val="BodyText"/>
      </w:pPr>
      <w:r>
        <w:t xml:space="preserve">The diplomacy carries direct consequences for Japan, which imports nearly all of its crude oil and is acutely exposed to Middle East supply disruptions. Crude prices plunged to the low $70-per-barrel range after the memorandum, with global oil down about 20 percent from its 2026 peak on optimism that a durable deal would keep the Strait of Hormuz open — relief for Japan’s energy-cost pressures. Economists caution, however, that prices for electricity, food, and everyday goods could still intensify even as the oil shock fades, leaving Japanese households exposed to a second-round squeeze.</w:t>
      </w:r>
    </w:p>
    <w:p>
      <w:pPr>
        <w:pStyle w:val="BodyText"/>
      </w:pPr>
      <w:r>
        <w:rPr>
          <w:b/>
          <w:bCs/>
        </w:rPr>
        <w:t xml:space="preserve">References</w:t>
      </w:r>
      <w:r>
        <w:t xml:space="preserve"> </w:t>
      </w:r>
      <w:r>
        <w:t xml:space="preserve">[27] Japan Times. (2026, June 30). U.S. and Iran negotiators arrive in Doha for ceasefire talks. The Japan Times. https://www.japantimes.co.jp/news/2026/06/30/world/politics/us-iran-negotiators-doha/</w:t>
      </w:r>
      <w:r>
        <w:t xml:space="preserve"> </w:t>
      </w:r>
      <w:r>
        <w:t xml:space="preserve">[28] CNN. (2026, June 29). US envoy Witkoff en route to Doha, Strait of Hormuz traffic consistent. CNN. https://www.cnn.com/2026/06/29/world/live-news/iran-war-strikes-trump</w:t>
      </w:r>
      <w:r>
        <w:t xml:space="preserve"> </w:t>
      </w:r>
      <w:r>
        <w:t xml:space="preserve">[29] Wikipedia. (2026). 2025–2026 Iran–United States negotiations. Wikipedia. https://en.wikipedia.org/wiki/2025%E2%80%932026_Iran%E2%80%93United_States_negotiations</w:t>
      </w:r>
    </w:p>
    <w:p>
      <w:r>
        <w:pict>
          <v:rect style="width:0;height:1.5pt" o:hralign="center" o:hrstd="t" o:hr="t"/>
        </w:pict>
      </w:r>
    </w:p>
    <w:p>
      <w:pPr>
        <w:pStyle w:val="FirstParagraph"/>
      </w:pPr>
      <w:r>
        <w:rPr>
          <w:i/>
          <w:iCs/>
        </w:rPr>
        <w:t xml:space="preserve">Note: only 1 story met T1-T4 standards for this category today.</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2026-06-30T08:50:08Z</dcterms:created>
  <dcterms:modified xsi:type="dcterms:W3CDTF">2026-06-30T08:50:08Z</dcterms:modified>
</cp:coreProperties>
</file>

<file path=docProps/custom.xml><?xml version="1.0" encoding="utf-8"?>
<Properties xmlns="http://schemas.openxmlformats.org/officeDocument/2006/custom-properties" xmlns:vt="http://schemas.openxmlformats.org/officeDocument/2006/docPropsVTypes"/>
</file>