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中国每日热点新闻-2026年6月17日"/>
    <w:p>
      <w:pPr>
        <w:pStyle w:val="Heading1"/>
      </w:pPr>
      <w:r>
        <w:rPr>
          <w:rFonts w:hint="eastAsia"/>
        </w:rPr>
        <w:t xml:space="preserve">中国每日热点新闻</w:t>
      </w:r>
      <w:r>
        <w:t xml:space="preserve"> — </w:t>
      </w:r>
      <w:r>
        <w:rPr>
          <w:rFonts w:hint="eastAsia"/>
        </w:rPr>
        <w:t xml:space="preserve">2026年6月17日</w:t>
      </w:r>
    </w:p>
    <w:bookmarkStart w:id="11" w:name="一经济与市场"/>
    <w:p>
      <w:pPr>
        <w:pStyle w:val="Heading2"/>
      </w:pPr>
      <w:r>
        <w:rPr>
          <w:rFonts w:hint="eastAsia"/>
        </w:rPr>
        <w:t xml:space="preserve">一、经济与市场</w:t>
      </w:r>
    </w:p>
    <w:bookmarkStart w:id="9" w:name="何立峰陆家嘴论坛释放反制信号金融立法嵌入反制裁条款"/>
    <w:p>
      <w:pPr>
        <w:pStyle w:val="Heading3"/>
      </w:pPr>
      <w:r>
        <w:rPr>
          <w:rFonts w:hint="eastAsia"/>
        </w:rPr>
        <w:t xml:space="preserve">何立峰陆家嘴论坛释放反制信号，金融立法嵌入反制裁条款</w:t>
      </w:r>
    </w:p>
    <w:p>
      <w:pPr>
        <w:pStyle w:val="FirstParagraph"/>
      </w:pPr>
      <w:r>
        <w:rPr>
          <w:rFonts w:hint="eastAsia"/>
        </w:rPr>
        <w:t xml:space="preserve">中共中央政治局委员、国务院副总理何立峰6月17日上午在上海陆家嘴论坛开幕式上发表主旨演讲，公开表态要运用金融法律工具反制“不合理的外部打压”。何立峰透露，正在审议中的金融法草案将明确写入阻断和反制“不正当单边制裁”的条款，并将在其他金融立法中陆续增设类似阻断与反制规定，逐步充实中国的“金融法律工具箱”。这是2021年《反外国制裁法》落地后，北京首次将反制裁机制系统性写入金融领域专门立法。此番表态的宏观背景是国家统计局6月16日公布的5月经济数据：社会消费品零售总额同比下降0.6%，为2022年末走出疫情封控以来首次转负；1—5月固定资产投资同比下降4.1%；5月70城新建商品住宅价格环比下跌0.2%。何立峰同时重申将稳步扩大金融业制度型开放，欢迎各国金融机构深耕中国市场。</w:t>
      </w:r>
    </w:p>
    <w:p>
      <w:pPr>
        <w:pStyle w:val="BodyText"/>
      </w:pPr>
      <w:r>
        <w:rPr>
          <w:b/>
          <w:bCs/>
        </w:rPr>
        <w:t xml:space="preserve">References</w:t>
      </w:r>
    </w:p>
    <w:p>
      <w:pPr>
        <w:pStyle w:val="BodyText"/>
      </w:pPr>
      <w:r>
        <w:t xml:space="preserve">[1] Bloomberg. (2026, June 17). China’s finance chiefs take center stage with economy slumping. Bloomberg. https://www.bloomberg.com/news/articles/2026-06-17/china-s-finance-chiefs-take-center-stage-with-economy-slumping</w:t>
      </w:r>
      <w:r>
        <w:t xml:space="preserve"> </w:t>
      </w:r>
      <w:r>
        <w:t xml:space="preserve">[2] Bloomberg. (2026, June 16). China’s first consumer spending drop since Covid imperils growth. Bloomberg. https://www.bloomberg.com/news/articles/2026-06-16/china-s-first-consumer-spending-drop-since-covid-imperils-growth</w:t>
      </w:r>
      <w:r>
        <w:t xml:space="preserve"> </w:t>
      </w:r>
      <w:r>
        <w:t xml:space="preserve">[3] CGTN. (2026, June 17). Vice premier: China will expand opening up of financial sector. CGTN. https://news.cgtn.com/news/2026-06-17/Vice-premier-China-will-expand-opening-up-of-financial-sector-1O2YNY35rMI/p.html</w:t>
      </w:r>
      <w:r>
        <w:t xml:space="preserve"> </w:t>
      </w:r>
      <w:r>
        <w:t xml:space="preserve">[4] China Briefing. (2025). China’s Anti-Foreign Sanctions Law: New guidelines tighten regulations. China Briefing. https://www.china-briefing.com/news/new-guidelines-for-implementing-chinas-anti-foreign-sanctions-law-what-foreign-companies-need-to-know/</w:t>
      </w:r>
    </w:p>
    <w:p>
      <w:r>
        <w:pict>
          <v:rect style="width:0;height:1.5pt" o:hralign="center" o:hrstd="t" o:hr="t"/>
        </w:pict>
      </w:r>
    </w:p>
    <w:bookmarkEnd w:id="9"/>
    <w:bookmarkStart w:id="10" w:name="吴清宣布支持沪深交易所推出主动管理型etf产品"/>
    <w:p>
      <w:pPr>
        <w:pStyle w:val="Heading3"/>
      </w:pPr>
      <w:r>
        <w:rPr>
          <w:rFonts w:hint="eastAsia"/>
        </w:rPr>
        <w:t xml:space="preserve">吴清宣布支持沪深交易所推出主动管理型ETF产品</w:t>
      </w:r>
    </w:p>
    <w:p>
      <w:pPr>
        <w:pStyle w:val="FirstParagraph"/>
      </w:pPr>
      <w:r>
        <w:rPr>
          <w:rFonts w:hint="eastAsia"/>
        </w:rPr>
        <w:t xml:space="preserve">中国证监会主席吴清6月17日在陆家嘴论坛上宣布，将支持上海证券交易所和深圳证券交易所推出主动管理型ETF产品，相关业务规则和首批产品时间表尚未公布。这一表态意味着中国境内ETF市场将从此前以宽基指数和“增强指数”型为主，迈向真正的主动选股ETF阶段——按现行规则，境内“增强指数型”ETF与标的指数的偏离度不得超过20%，完全主动管理此前并不被许可。中国境内ETF规模已突破2万亿元人民币，是全球第二大股票市场重要的新增量。该产品线扩容也将填补境内与美国、香港等成熟市场之间的产品空缺。摩根资产管理首席执行官George</w:t>
      </w:r>
      <w:r>
        <w:t xml:space="preserve"> </w:t>
      </w:r>
      <w:r>
        <w:rPr>
          <w:rFonts w:hint="eastAsia"/>
        </w:rPr>
        <w:t xml:space="preserve">Gatch此前公开表示，正争取年内取得监管放行，率先在中国境内发行主动管理ETF；摩根资管已凭借约2570亿美元主动ETF规模超越Dimensional</w:t>
      </w:r>
      <w:r>
        <w:t xml:space="preserve"> Fund </w:t>
      </w:r>
      <w:r>
        <w:rPr>
          <w:rFonts w:hint="eastAsia"/>
        </w:rPr>
        <w:t xml:space="preserve">Advisors，成为全球最大主动ETF管理人。</w:t>
      </w:r>
    </w:p>
    <w:p>
      <w:pPr>
        <w:pStyle w:val="BodyText"/>
      </w:pPr>
      <w:r>
        <w:rPr>
          <w:b/>
          <w:bCs/>
        </w:rPr>
        <w:t xml:space="preserve">References</w:t>
      </w:r>
    </w:p>
    <w:p>
      <w:pPr>
        <w:pStyle w:val="BodyText"/>
      </w:pPr>
      <w:r>
        <w:t xml:space="preserve">[5] Bloomberg. (2026, June 17). China’s regulator to support launch of active ETF products. Bloomberg. https://www.bloomberg.com/news/articles/2026-06-17/china-s-regulator-to-support-launch-of-active-etf-products</w:t>
      </w:r>
      <w:r>
        <w:t xml:space="preserve"> </w:t>
      </w:r>
      <w:r>
        <w:t xml:space="preserve">[6] Bloomberg. (2026, April 21). JPMorgan aims for China approval of active ETF launch this year. Bloomberg. https://www.bloomberg.com/news/articles/2026-04-21/jpmorgan-aims-for-china-approval-of-active-etf-launch-this-year</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2" w:name="二政治与外交"/>
    <w:p>
      <w:pPr>
        <w:pStyle w:val="Heading2"/>
      </w:pPr>
      <w:r>
        <w:rPr>
          <w:rFonts w:hint="eastAsia"/>
        </w:rPr>
        <w:t xml:space="preserve">二、政治与外交</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2"/>
    <w:bookmarkStart w:id="14" w:name="三科技与产业"/>
    <w:p>
      <w:pPr>
        <w:pStyle w:val="Heading2"/>
      </w:pPr>
      <w:r>
        <w:rPr>
          <w:rFonts w:hint="eastAsia"/>
        </w:rPr>
        <w:t xml:space="preserve">三、科技与产业</w:t>
      </w:r>
    </w:p>
    <w:bookmarkStart w:id="13" w:name="agora报告中国能源转型下一程取决于工业绿色化"/>
    <w:p>
      <w:pPr>
        <w:pStyle w:val="Heading3"/>
      </w:pPr>
      <w:r>
        <w:rPr>
          <w:rFonts w:hint="eastAsia"/>
        </w:rPr>
        <w:t xml:space="preserve">Agora报告：中国能源转型下一程取决于工业绿色化</w:t>
      </w:r>
    </w:p>
    <w:p>
      <w:pPr>
        <w:pStyle w:val="FirstParagraph"/>
      </w:pPr>
      <w:r>
        <w:rPr>
          <w:rFonts w:hint="eastAsia"/>
        </w:rPr>
        <w:t xml:space="preserve">Agora能源转型中国办公室与德国Agora</w:t>
      </w:r>
      <w:r>
        <w:t xml:space="preserve"> </w:t>
      </w:r>
      <w:r>
        <w:rPr>
          <w:rFonts w:hint="eastAsia"/>
        </w:rPr>
        <w:t xml:space="preserve">Energiewende智库于6月17日联合发布报告，判断中国能源转型已结束以清洁电力装机扩张为主线的“第一阶段”，进入需要同步推进难脱碳工业部门减排的“第二阶段”。报告显示，2025年中国光伏发电量首次超过风电，全年光伏发电约117万吉瓦时，风电约113万吉瓦时，清洁电力扩张速度已开始带动碳排放曲线趋于回落。下一步关键在钢铁、水泥、化工等行业——其中水泥行业碳排放约占全国总量的13%，是仅次于电力和钢铁的第三大排放源。报告认为，全国碳市场近期扩容覆盖钢铁、水泥、铝行业有助于推动转型，但当前碳价回落以及2027年前免费配额延续将削弱政策力度，建议通过更强的碳价信号、绿色产品需求侧激励以及让工业生产更好匹配可再生能源出力来加速去碳化。该报告也为中国制定“十五五”规划（2026—2030）和迈向2060年碳中和目标提供了路径参照。</w:t>
      </w:r>
    </w:p>
    <w:p>
      <w:pPr>
        <w:pStyle w:val="BodyText"/>
      </w:pPr>
      <w:r>
        <w:rPr>
          <w:b/>
          <w:bCs/>
        </w:rPr>
        <w:t xml:space="preserve">References</w:t>
      </w:r>
    </w:p>
    <w:p>
      <w:pPr>
        <w:pStyle w:val="BodyText"/>
      </w:pPr>
      <w:r>
        <w:t xml:space="preserve">[7] Bloomberg. (2026, June 17). China’s energy transition now hinges on greening industry: Agora. Bloomberg. https://www.bloomberg.com/news/articles/2026-06-17/china-s-energy-transition-now-hinges-on-greening-industry-agora</w:t>
      </w:r>
      <w:r>
        <w:t xml:space="preserve"> </w:t>
      </w:r>
      <w:r>
        <w:t xml:space="preserve">[8] Agora Energiewende. (2026). Clean energy push begins to bend China’s emissions curve. Agora Energiewende. https://www.agora-energiewende.org/news-events/clean-energy-push-begins-to-bend-chinas-emissions-curve</w:t>
      </w:r>
      <w:r>
        <w:t xml:space="preserve"> </w:t>
      </w:r>
      <w:r>
        <w:t xml:space="preserve">[9] Energy Transitions Commission. (2026). Toward net zero: Decarbonization roadmap for China’s cement industry. ETC. https://www.energy-transitions.org/publications/decarbonization-roadmap-for-chinas-cement-industry-2/</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3"/>
    <w:bookmarkEnd w:id="14"/>
    <w:bookmarkStart w:id="16" w:name="四社会与民生"/>
    <w:p>
      <w:pPr>
        <w:pStyle w:val="Heading2"/>
      </w:pPr>
      <w:r>
        <w:rPr>
          <w:rFonts w:hint="eastAsia"/>
        </w:rPr>
        <w:t xml:space="preserve">四、社会与民生</w:t>
      </w:r>
    </w:p>
    <w:bookmarkStart w:id="15" w:name="菲律宾称中方已撤离黄岩岛潟湖内浮动结构"/>
    <w:p>
      <w:pPr>
        <w:pStyle w:val="Heading3"/>
      </w:pPr>
      <w:r>
        <w:rPr>
          <w:rFonts w:hint="eastAsia"/>
        </w:rPr>
        <w:t xml:space="preserve">菲律宾称中方已撤离黄岩岛潟湖内浮动结构</w:t>
      </w:r>
    </w:p>
    <w:p>
      <w:pPr>
        <w:pStyle w:val="FirstParagraph"/>
      </w:pPr>
      <w:r>
        <w:rPr>
          <w:rFonts w:hint="eastAsia"/>
        </w:rPr>
        <w:t xml:space="preserve">菲律宾海岸警卫队和西菲律宾海国家工作组6月17日上午通报，巡逻确认此前在黄岩岛（菲方称Bajo</w:t>
      </w:r>
      <w:r>
        <w:t xml:space="preserve"> de Masinloc/Panatag </w:t>
      </w:r>
      <w:r>
        <w:rPr>
          <w:rFonts w:hint="eastAsia"/>
        </w:rPr>
        <w:t xml:space="preserve">Shoal）潟湖内监测到的浮动平台已被移走，相关结构在当地停泊近三周后撤离。菲方此前描述该物体为长宽各约6米、配备疑似天线的“半永久性”浮动平台，最早于5月25日由商业卫星图像在潟湖东南入口附近发现。马尼拉于6月9—10日就此向北京提交外交抗议，并公开指控该结构被用于收集菲方海事数据，要求中方立即拆除。菲方在确认结构撤离后重申，“Bajo</w:t>
      </w:r>
      <w:r>
        <w:t xml:space="preserve"> de </w:t>
      </w:r>
      <w:r>
        <w:rPr>
          <w:rFonts w:hint="eastAsia"/>
        </w:rPr>
        <w:t xml:space="preserve">Masinloc始终是菲律宾领土不可分割的一部分”。北京迄今未就撤离作出公开说明。该结构的出现与撤除一度使南海争议焦点重回这一关键地物，撤除被多方解读为一次阶段性降温。</w:t>
      </w:r>
    </w:p>
    <w:p>
      <w:pPr>
        <w:pStyle w:val="BodyText"/>
      </w:pPr>
      <w:r>
        <w:rPr>
          <w:b/>
          <w:bCs/>
        </w:rPr>
        <w:t xml:space="preserve">References</w:t>
      </w:r>
    </w:p>
    <w:p>
      <w:pPr>
        <w:pStyle w:val="BodyText"/>
      </w:pPr>
      <w:r>
        <w:t xml:space="preserve">[10] Bloomberg. (2026, June 17). Philippines says China has removed structure in disputed Scarborough Shoal. Bloomberg. https://www.bloomberg.com/news/articles/2026-06-17/philippines-says-china-has-removed-structure-in-disputed-shoal</w:t>
      </w:r>
      <w:r>
        <w:t xml:space="preserve"> </w:t>
      </w:r>
      <w:r>
        <w:t xml:space="preserve">[11] Philippine Star. (2026, June 17). Mission</w:t>
      </w:r>
      <w:r>
        <w:t xml:space="preserve"> </w:t>
      </w:r>
      <w:r>
        <w:t xml:space="preserve">‘completed’</w:t>
      </w:r>
      <w:r>
        <w:t xml:space="preserve">: Chinese floating platform gone from Scarborough Shoal. Philstar. https://www.philstar.com/headlines/2026/06/17/2535894/mission-completed-chinese-floating-platform-gone-scarborough-shoal</w:t>
      </w:r>
      <w:r>
        <w:t xml:space="preserve"> </w:t>
      </w:r>
      <w:r>
        <w:t xml:space="preserve">[12] Manila Times. (2026, June 17). Floating platform removed from Bajo de Masinloc lagoon, says PH task force. Manila Times. https://www.manilatimes.net/2026/06/17/news/floating-platform-removed-from-bajo-de-masinloc-lagoon-says-ph-task-force/2367200</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5"/>
    <w:bookmarkEnd w:id="16"/>
    <w:bookmarkStart w:id="17" w:name="五海外涉华财经"/>
    <w:p>
      <w:pPr>
        <w:pStyle w:val="Heading2"/>
      </w:pPr>
      <w:r>
        <w:rPr>
          <w:rFonts w:hint="eastAsia"/>
        </w:rPr>
        <w:t xml:space="preserve">五、海外涉华财经</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7"/>
    <w:bookmarkStart w:id="19" w:name="六企业ipo与并购"/>
    <w:p>
      <w:pPr>
        <w:pStyle w:val="Heading2"/>
      </w:pPr>
      <w:r>
        <w:rPr>
          <w:rFonts w:hint="eastAsia"/>
        </w:rPr>
        <w:t xml:space="preserve">六、企业IPO与并购</w:t>
      </w:r>
    </w:p>
    <w:bookmarkStart w:id="18" w:name="领益智造启动香港ipo拟集资最高11亿美元"/>
    <w:p>
      <w:pPr>
        <w:pStyle w:val="Heading3"/>
      </w:pPr>
      <w:r>
        <w:rPr>
          <w:rFonts w:hint="eastAsia"/>
        </w:rPr>
        <w:t xml:space="preserve">领益智造启动香港IPO，拟集资最高11亿美元</w:t>
      </w:r>
    </w:p>
    <w:p>
      <w:pPr>
        <w:pStyle w:val="FirstParagraph"/>
      </w:pPr>
      <w:r>
        <w:rPr>
          <w:rFonts w:hint="eastAsia"/>
        </w:rPr>
        <w:t xml:space="preserve">A股上市的电子零部件制造商领益智造（广东）股份有限公司6月17日启动香港上市投资者认购，拟发行8.118亿股H股，最高招股价每股10.18港元，按上限合计募资约83亿港元（约合10.6亿美元），跻身今年港股最大宗新股发行之列。最高招股价较其A股6月16日收盘价15.69元人民币折让约44%。本次发行中，香港公开发售部分约8118万股，国际配售约7.306亿股；公司同步锁定21名基石投资者认购约4.069亿美元股份。按计划，定价日为6月24日，上市日为6月26日。领益智造主营消费电子、新能源汽车与AI硬件相关精密结构件与功能件，赴港上市将拓宽其海外融资渠道，也使其成为继多家A股龙头之后又一家“A+H”两地上市的高端制造企业。</w:t>
      </w:r>
    </w:p>
    <w:p>
      <w:pPr>
        <w:pStyle w:val="BodyText"/>
      </w:pPr>
      <w:r>
        <w:rPr>
          <w:b/>
          <w:bCs/>
        </w:rPr>
        <w:t xml:space="preserve">References</w:t>
      </w:r>
    </w:p>
    <w:p>
      <w:pPr>
        <w:pStyle w:val="BodyText"/>
      </w:pPr>
      <w:r>
        <w:t xml:space="preserve">[13] Bloomberg. (2026, June 17). Lingyi seeks to raise up to $1.1 billion in Hong Kong listing. Bloomberg. https://www.bloomberg.com/news/articles/2026-06-17/lingyi-seeks-to-raise-up-to-1-1-billion-in-hong-kong-listing</w:t>
      </w:r>
      <w:r>
        <w:t xml:space="preserve"> </w:t>
      </w:r>
      <w:r>
        <w:t xml:space="preserve">[14] MarketScreener. (2026). Six companies launch Hong Kong offerings worth up to $2.5 billion. MarketScreener. https://www.marketscreener.com/news/six-companies-launch-hong-kong-offerings-worth-up-to-2-5-billion-ce7f5cdcd881f52c</w:t>
      </w:r>
      <w:r>
        <w:t xml:space="preserve"> </w:t>
      </w:r>
      <w:r>
        <w:t xml:space="preserve">[15] MarketScreener. (2026). China regulators approve Lingyi iTech’s Hong Kong IPO. MarketScreener. https://uk.marketscreener.com/news/china-regulators-approve-lingyi-itech-s-hong-kong-ipo-ce7d51d8de8ff623</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8"/>
    <w:bookmarkEnd w:id="19"/>
    <w:bookmarkStart w:id="20" w:name="七其他重要事件"/>
    <w:p>
      <w:pPr>
        <w:pStyle w:val="Heading2"/>
      </w:pPr>
      <w:r>
        <w:rPr>
          <w:rFonts w:hint="eastAsia"/>
        </w:rPr>
        <w:t xml:space="preserve">七、其他重要事件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2026-06-17T08:15:53Z</dcterms:created>
  <dcterms:modified xsi:type="dcterms:W3CDTF">2026-06-17T08:15:53Z</dcterms:modified>
</cp:coreProperties>
</file>

<file path=docProps/custom.xml><?xml version="1.0" encoding="utf-8"?>
<Properties xmlns="http://schemas.openxmlformats.org/officeDocument/2006/custom-properties" xmlns:vt="http://schemas.openxmlformats.org/officeDocument/2006/docPropsVTypes"/>
</file>