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欧洲每日热点新闻-2026年5月26日"/>
    <w:p>
      <w:pPr>
        <w:pStyle w:val="Heading1"/>
      </w:pPr>
      <w:r>
        <w:rPr>
          <w:rFonts w:hint="eastAsia"/>
        </w:rPr>
        <w:t xml:space="preserve">欧洲每日热点新闻</w:t>
      </w:r>
      <w:r>
        <w:t xml:space="preserve"> — </w:t>
      </w:r>
      <w:r>
        <w:rPr>
          <w:rFonts w:hint="eastAsia"/>
        </w:rPr>
        <w:t xml:space="preserve">2026年5月26日</w:t>
      </w:r>
    </w:p>
    <w:bookmarkStart w:id="13" w:name="一经济与市场"/>
    <w:p>
      <w:pPr>
        <w:pStyle w:val="Heading2"/>
      </w:pPr>
      <w:r>
        <w:rPr>
          <w:rFonts w:hint="eastAsia"/>
        </w:rPr>
        <w:t xml:space="preserve">一、经济与市场</w:t>
      </w:r>
    </w:p>
    <w:bookmarkStart w:id="9" w:name="欧央行执委施纳贝尔表态6月加息已有必要"/>
    <w:p>
      <w:pPr>
        <w:pStyle w:val="Heading3"/>
      </w:pPr>
      <w:r>
        <w:rPr>
          <w:rFonts w:hint="eastAsia"/>
        </w:rPr>
        <w:t xml:space="preserve">欧央行执委施纳贝尔表态：6月加息“已有必要”</w:t>
      </w:r>
    </w:p>
    <w:p>
      <w:pPr>
        <w:pStyle w:val="FirstParagraph"/>
      </w:pPr>
      <w:r>
        <w:rPr>
          <w:rFonts w:hint="eastAsia"/>
        </w:rPr>
        <w:t xml:space="preserve">5月26日（周二），欧洲央行执行委员会委员施纳贝尔（Isabel</w:t>
      </w:r>
      <w:r>
        <w:t xml:space="preserve"> </w:t>
      </w:r>
      <w:r>
        <w:rPr>
          <w:rFonts w:hint="eastAsia"/>
        </w:rPr>
        <w:t xml:space="preserve">Schnabel）在接受路透社采访时明确表示，“从今天的视角来看，我认为6月加息已有必要”，这一措辞将欧央行此前的“条件性警觉”立场推升至方向性指引层面。她指出，欧元区通胀已升至3%，市场预期到年底将进一步抬升至4%；同时强调“油价已高于我们在3月基准情景中所假设的水平”，认为本轮能源冲击在持续性上甚至超出了欧央行此前设定的不利情景。施纳贝尔表示，决策仍将“严格依赖数据”，但承认仅靠硬性工资数据进行判断将意味着“反应过晚”。</w:t>
      </w:r>
    </w:p>
    <w:p>
      <w:pPr>
        <w:pStyle w:val="BodyText"/>
      </w:pPr>
      <w:r>
        <w:rPr>
          <w:rFonts w:hint="eastAsia"/>
        </w:rPr>
        <w:t xml:space="preserve">在经济前景方面，施纳贝尔对欧盟委员会0.9%的增长预测持保留态度，认为该预测“或许过于乐观”，理由是消费者信心已出现急剧下滑、企业销售价格预期跨行业大幅上升，短期通胀预期显著上行、中期通胀预期亦在抬升，且分布形态呈现令人担忧的右移。资产负债表正常化方面，欧央行内部工作人员对储备需求的模拟测算介于6000亿欧元至2.2万亿欧元之间，区间跨度巨大显示出政策路径的不确定性。被问及是否有意角逐欧央行行长一职时，她重申“若有人邀请，我已做好准备”。</w:t>
      </w:r>
    </w:p>
    <w:p>
      <w:pPr>
        <w:pStyle w:val="BodyText"/>
      </w:pPr>
      <w:r>
        <w:rPr>
          <w:b/>
          <w:bCs/>
        </w:rPr>
        <w:t xml:space="preserve">References</w:t>
      </w:r>
    </w:p>
    <w:p>
      <w:pPr>
        <w:pStyle w:val="BodyText"/>
      </w:pPr>
      <w:r>
        <w:t xml:space="preserve">[1] European Central Bank. (2026, May 26). Interview with Reuters: Isabel Schnabel, Member of the Executive Board of the ECB. European Central Bank. https://www.ecb.europa.eu/press/inter/date/2026/html/ecb.in260526~6736a05aaa.en.html</w:t>
      </w:r>
      <w:r>
        <w:t xml:space="preserve"> </w:t>
      </w:r>
      <w:r>
        <w:t xml:space="preserve">[2] Korányi, B., &amp; Becker, R. (2026, May 26). ECB’s Schnabel says June rate hike will be needed. Reuters. https://www.ecb.europa.eu/press/inter/date/2026/html/ecb.in260526~6736a05aaa.en.html</w:t>
      </w:r>
    </w:p>
    <w:p>
      <w:r>
        <w:pict>
          <v:rect style="width:0;height:1.5pt" o:hralign="center" o:hrstd="t" o:hr="t"/>
        </w:pict>
      </w:r>
    </w:p>
    <w:bookmarkEnd w:id="9"/>
    <w:bookmarkStart w:id="10" w:name="欧央行首席经济学家连恩6月将上调通胀预测"/>
    <w:p>
      <w:pPr>
        <w:pStyle w:val="Heading3"/>
      </w:pPr>
      <w:r>
        <w:rPr>
          <w:rFonts w:hint="eastAsia"/>
        </w:rPr>
        <w:t xml:space="preserve">欧央行首席经济学家连恩：6月将上调通胀预测</w:t>
      </w:r>
    </w:p>
    <w:p>
      <w:pPr>
        <w:pStyle w:val="FirstParagraph"/>
      </w:pPr>
      <w:r>
        <w:rPr>
          <w:rFonts w:hint="eastAsia"/>
        </w:rPr>
        <w:t xml:space="preserve">欧央行首席经济学家连恩（Philip</w:t>
      </w:r>
      <w:r>
        <w:t xml:space="preserve"> </w:t>
      </w:r>
      <w:r>
        <w:rPr>
          <w:rFonts w:hint="eastAsia"/>
        </w:rPr>
        <w:t xml:space="preserve">Lane）于5月26日接受《日经亚洲》专访时表示，“我们很可能在6月对通胀预测进行进一步上修”。他将此归因于伊朗战争导致能源价格高企，并指出“与我们3月份的假设相比，油价可能在更长时间内保持高位”。在被问及是否需要校正市场对6月加息的预期时，连恩明确表态“我不认为市场需要我们提供任何额外指引”，等同于默许市场目前的加息定价。此番表态与同日施纳贝尔的路透社采访构成欧央行管委会6月会议前的协同信号。</w:t>
      </w:r>
    </w:p>
    <w:p>
      <w:pPr>
        <w:pStyle w:val="BodyText"/>
      </w:pPr>
      <w:r>
        <w:rPr>
          <w:rFonts w:hint="eastAsia"/>
        </w:rPr>
        <w:t xml:space="preserve">连恩进一步阐述，中东冲突已显著恶化欧元区宏观经济前景，能源价格的高位运行正在拖累消费与投资。他指出，与2022年通胀冲击不同，欧央行此次进入新一轮冲击时所处的初始条件更为中性——政策利率与通胀均在2%附近，且总需求处于偏弱状态，因此政策反应函数也将有所不同。市场解读认为，连恩的“自然加息”措辞，加上施纳贝尔的“6月加息已有必要”，事实上已为下月议息会议铺设方向性预期。</w:t>
      </w:r>
    </w:p>
    <w:p>
      <w:pPr>
        <w:pStyle w:val="BodyText"/>
      </w:pPr>
      <w:r>
        <w:rPr>
          <w:b/>
          <w:bCs/>
        </w:rPr>
        <w:t xml:space="preserve">References</w:t>
      </w:r>
    </w:p>
    <w:p>
      <w:pPr>
        <w:pStyle w:val="BodyText"/>
      </w:pPr>
      <w:r>
        <w:t xml:space="preserve">[3] Nikkei Asia. (2026, May 26). ECB eyes June rate hike as chief economist flags forecast upgrade. Nikkei Asia. https://asia.nikkei.com/editor-s-picks/interview/ecb-eyes-june-rate-hike-as-chief-economist-flags-forecast-upgrade</w:t>
      </w:r>
      <w:r>
        <w:t xml:space="preserve"> </w:t>
      </w:r>
      <w:r>
        <w:t xml:space="preserve">[4] Bloomberg News. (2026, May 26). ECB set to lift its inflation outlook in June, Lane tells Nikkei. Bloomberg. https://www.bloomberg.com/news/articles/2026-05-26/ecb-set-to-lift-its-inflation-outlook-in-june-lane-tells-nikkei</w:t>
      </w:r>
    </w:p>
    <w:p>
      <w:r>
        <w:pict>
          <v:rect style="width:0;height:1.5pt" o:hralign="center" o:hrstd="t" o:hr="t"/>
        </w:pict>
      </w:r>
    </w:p>
    <w:bookmarkEnd w:id="10"/>
    <w:bookmarkStart w:id="11" w:name="欧元区5月综合pmi跌至31个月低点47.5衰退警报骤响"/>
    <w:p>
      <w:pPr>
        <w:pStyle w:val="Heading3"/>
      </w:pPr>
      <w:r>
        <w:rPr>
          <w:rFonts w:hint="eastAsia"/>
        </w:rPr>
        <w:t xml:space="preserve">欧元区5月综合PMI跌至31个月低点47.5，衰退警报骤响</w:t>
      </w:r>
    </w:p>
    <w:p>
      <w:pPr>
        <w:pStyle w:val="FirstParagraph"/>
      </w:pPr>
      <w:r>
        <w:rPr>
          <w:rFonts w:hint="eastAsia"/>
        </w:rPr>
        <w:t xml:space="preserve">标普全球（S&amp;P</w:t>
      </w:r>
      <w:r>
        <w:t xml:space="preserve"> </w:t>
      </w:r>
      <w:r>
        <w:rPr>
          <w:rFonts w:hint="eastAsia"/>
        </w:rPr>
        <w:t xml:space="preserve">Global）5月21日公布的欧元区5月综合PMI产出指数初值由4月的48.8回落至47.5，创31个月新低，连续第二个月低于50荣枯线。服务业PMI由47.6降至46.4，为2021年2月以来最低；制造业PMI报51.4。分国别看，法国综合PMI从47.6骤降至43.5，为2020年4月以来最差水平；德国综合PMI报48.6。投入成本通胀连续第七个月加速，升至三年半高点。德国就业以18个月来最快速度下滑，制造业尤为明显。</w:t>
      </w:r>
    </w:p>
    <w:p>
      <w:pPr>
        <w:pStyle w:val="BodyText"/>
      </w:pPr>
      <w:r>
        <w:rPr>
          <w:rFonts w:hint="eastAsia"/>
        </w:rPr>
        <w:t xml:space="preserve">标普全球市场情报首席商业经济学家威廉姆森（Chris</w:t>
      </w:r>
      <w:r>
        <w:t xml:space="preserve"> </w:t>
      </w:r>
      <w:r>
        <w:rPr>
          <w:rFonts w:hint="eastAsia"/>
        </w:rPr>
        <w:t xml:space="preserve">Williamson）评价称，“5月的PMI闪电调查数据显示，欧元区经济正受到中东战争日益严峻的冲击”；该机构经济学家海斯（Joe</w:t>
      </w:r>
      <w:r>
        <w:t xml:space="preserve"> </w:t>
      </w:r>
      <w:r>
        <w:rPr>
          <w:rFonts w:hint="eastAsia"/>
        </w:rPr>
        <w:t xml:space="preserve">Hayes）形容法国5月初值“数据极为糟糕”，并指出法国服务业活动指数已降至“66个月以来的最低水平”；史密斯（Phil</w:t>
      </w:r>
      <w:r>
        <w:t xml:space="preserve"> </w:t>
      </w:r>
      <w:r>
        <w:rPr>
          <w:rFonts w:hint="eastAsia"/>
        </w:rPr>
        <w:t xml:space="preserve">Smith）则补充称，“霍尔木兹海峡实际关闭所造成的扰动正持续传导至物价”。该份PMI数据成为5月26日新闻周期中最被频繁引用的欧洲宏观指标，亦被施纳贝尔与连恩在同日采访中多次援引。</w:t>
      </w:r>
    </w:p>
    <w:p>
      <w:pPr>
        <w:pStyle w:val="BodyText"/>
      </w:pPr>
      <w:r>
        <w:rPr>
          <w:b/>
          <w:bCs/>
        </w:rPr>
        <w:t xml:space="preserve">References</w:t>
      </w:r>
    </w:p>
    <w:p>
      <w:pPr>
        <w:pStyle w:val="BodyText"/>
      </w:pPr>
      <w:r>
        <w:t xml:space="preserve">[5] Cingari, P. (2026, May 21). Europe flashes recession warning as activity slumps due to Iran war. Euronews. https://www.euronews.com/business/2026/05/21/europe-flashes-recession-warning-as-activity-slumps-due-to-iran-war</w:t>
      </w:r>
      <w:r>
        <w:t xml:space="preserve"> </w:t>
      </w:r>
      <w:r>
        <w:t xml:space="preserve">[6] S&amp;P Global. (2026, May 21). HCOB Flash Eurozone Composite PMI: Output index falls to 47.5 in May. S&amp;P Global PMI. https://www.pmi.spglobal.com/Public/Home/PressRelease/cfc7983038764cd0bf61ed86b6d27a52</w:t>
      </w:r>
    </w:p>
    <w:p>
      <w:r>
        <w:pict>
          <v:rect style="width:0;height:1.5pt" o:hralign="center" o:hrstd="t" o:hr="t"/>
        </w:pict>
      </w:r>
    </w:p>
    <w:bookmarkEnd w:id="11"/>
    <w:bookmarkStart w:id="12" w:name="欧盟总务理事会辩论20282034年多年期财政框架欧洲议会主张1.789万亿欧元"/>
    <w:p>
      <w:pPr>
        <w:pStyle w:val="Heading3"/>
      </w:pPr>
      <w:r>
        <w:rPr>
          <w:rFonts w:hint="eastAsia"/>
        </w:rPr>
        <w:t xml:space="preserve">欧盟总务理事会辩论2028–2034年多年期财政框架，欧洲议会主张1.789万亿欧元</w:t>
      </w:r>
    </w:p>
    <w:p>
      <w:pPr>
        <w:pStyle w:val="FirstParagraph"/>
      </w:pPr>
      <w:r>
        <w:rPr>
          <w:rFonts w:hint="eastAsia"/>
        </w:rPr>
        <w:t xml:space="preserve">欧盟总务理事会（GAC）于5月26日在布鲁塞尔召开会议，为6月欧洲理事会进行准备，并就2028–2034年多年期财政框架（MFF）举行政策辩论，重点议题为该框架对单一市场一体化的贡献。会议亦就欧盟—英国关系交换意见，并按例进行年度法治对话，对法国、克罗地亚、意大利和拉脱维亚进行了国别讨论。理事会希望在2026年底前就MFF达成共识，以确保新框架自2028年1月1日起顺利实施，这是本十年内最具影响力的欧盟财政谈判。</w:t>
      </w:r>
    </w:p>
    <w:p>
      <w:pPr>
        <w:pStyle w:val="BodyText"/>
      </w:pPr>
      <w:r>
        <w:rPr>
          <w:rFonts w:hint="eastAsia"/>
        </w:rPr>
        <w:t xml:space="preserve">立法路径方面，欧洲议会已于4月28日以370票赞成、201票反对、84票弃权通过2028–2034年MFF中期报告，呼吁将MFF规模设定为欧盟国民总收入（GNI）的1.27%，即以2025年不变价格计1.789万亿欧元，并在此基础上额外划拨GNI的0.11%（约1493亿欧元），用于偿还“下一代欧盟”（NextGenerationEU）债务且不计入MFF上限。欧洲议会共同报告员为穆雷尚（Siegfried</w:t>
      </w:r>
      <w:r>
        <w:t xml:space="preserve"> </w:t>
      </w:r>
      <w:r>
        <w:rPr>
          <w:rFonts w:hint="eastAsia"/>
        </w:rPr>
        <w:t xml:space="preserve">Mureșan，欧洲人民党，罗马尼亚）和塔瓦雷斯（Carla</w:t>
      </w:r>
      <w:r>
        <w:t xml:space="preserve"> </w:t>
      </w:r>
      <w:r>
        <w:rPr>
          <w:rFonts w:hint="eastAsia"/>
        </w:rPr>
        <w:t xml:space="preserve">Tavares，社民党，葡萄牙）。理事会、议会、委员会三方将在未来数月围绕预算优先项、自有资源与法治条件性展开拉锯。</w:t>
      </w:r>
    </w:p>
    <w:p>
      <w:pPr>
        <w:pStyle w:val="BodyText"/>
      </w:pPr>
      <w:r>
        <w:rPr>
          <w:b/>
          <w:bCs/>
        </w:rPr>
        <w:t xml:space="preserve">References</w:t>
      </w:r>
    </w:p>
    <w:p>
      <w:pPr>
        <w:pStyle w:val="BodyText"/>
      </w:pPr>
      <w:r>
        <w:t xml:space="preserve">[7] Council of the European Union. (2026, May 26). General Affairs Council, 26 May 2026. Consilium. https://www.consilium.europa.eu/en/meetings/gac/2026/05/26/</w:t>
      </w:r>
      <w:r>
        <w:t xml:space="preserve"> </w:t>
      </w:r>
      <w:r>
        <w:t xml:space="preserve">[8] European Parliamentary Research Service. (2026, May 6). EU long-term budget: European Parliament adopts interim report calling for a significantly more ambitious 2028–2034 Multiannual Financial Framework. EPRS Think Tank. https://epthinktank.eu/2026/05/06/eu-long-term-budget-european-parliament-adopts-interim-report-calling-for-a-significantly-more-ambitious-2028-2034-multiannual-financial-framework/</w:t>
      </w:r>
    </w:p>
    <w:p>
      <w:r>
        <w:pict>
          <v:rect style="width:0;height:1.5pt" o:hralign="center" o:hrstd="t" o:hr="t"/>
        </w:pict>
      </w:r>
    </w:p>
    <w:bookmarkEnd w:id="12"/>
    <w:bookmarkEnd w:id="13"/>
    <w:bookmarkStart w:id="17" w:name="二政治与外交"/>
    <w:p>
      <w:pPr>
        <w:pStyle w:val="Heading2"/>
      </w:pPr>
      <w:r>
        <w:rPr>
          <w:rFonts w:hint="eastAsia"/>
        </w:rPr>
        <w:t xml:space="preserve">二、政治与外交</w:t>
      </w:r>
    </w:p>
    <w:bookmarkStart w:id="14" w:name="第八次欧盟阿尔巴尼亚入盟谈判会议开启关闭章节收官阶段"/>
    <w:p>
      <w:pPr>
        <w:pStyle w:val="Heading3"/>
      </w:pPr>
      <w:r>
        <w:rPr>
          <w:rFonts w:hint="eastAsia"/>
        </w:rPr>
        <w:t xml:space="preserve">第八次欧盟—阿尔巴尼亚入盟谈判会议开启“关闭章节”收官阶段</w:t>
      </w:r>
    </w:p>
    <w:p>
      <w:pPr>
        <w:pStyle w:val="FirstParagraph"/>
      </w:pPr>
      <w:r>
        <w:rPr>
          <w:rFonts w:hint="eastAsia"/>
        </w:rPr>
        <w:t xml:space="preserve">第八次欧盟—阿尔巴尼亚入盟谈判会议于5月26日在布鲁塞尔举行，标志着阿尔巴尼亚入盟谈判正式进入最终阶段——章节关闭程序。会议确认阿尔巴尼亚已满足“基本面”第一集群（Cluster</w:t>
      </w:r>
      <w:r>
        <w:t xml:space="preserve"> 1</w:t>
      </w:r>
      <w:r>
        <w:t xml:space="preserve"> </w:t>
      </w:r>
      <w:r>
        <w:t xml:space="preserve">‘Fundamentals’</w:t>
      </w:r>
      <w:r>
        <w:rPr>
          <w:rFonts w:hint="eastAsia"/>
        </w:rPr>
        <w:t xml:space="preserve">）的过渡基准，并明确了该集群的关闭基准。第一集群覆盖民主制度运行与公共行政改革、第23章（司法与基本权利）、第24章（司法、自由与安全），以及与第5章（公共采购）、第18章（统计）和第32章（财政控制）相关的经济标准，是入盟谈判中政治敏感度最高的板块。</w:t>
      </w:r>
    </w:p>
    <w:p>
      <w:pPr>
        <w:pStyle w:val="BodyText"/>
      </w:pPr>
      <w:r>
        <w:rPr>
          <w:rFonts w:hint="eastAsia"/>
        </w:rPr>
        <w:t xml:space="preserve">阿尔巴尼亚预计将成为继黑山之后第二个推进至该谈判阶段的候选国，对西巴尔干地区一体化进程具有里程碑意义。在俄乌冲突、北马其顿与塞尔维亚谈判受阻的背景下，欧盟将阿尔巴尼亚作为示范案例加速推进，意在向区域内其他候选国释放“有作为即有回报”的政策信号。会议同期重申，下一阶段谈判将聚焦于司法独立、反腐败成效、有组织犯罪打击与公共采购透明度等指标的可量化进展。</w:t>
      </w:r>
    </w:p>
    <w:p>
      <w:pPr>
        <w:pStyle w:val="BodyText"/>
      </w:pPr>
      <w:r>
        <w:rPr>
          <w:b/>
          <w:bCs/>
        </w:rPr>
        <w:t xml:space="preserve">References</w:t>
      </w:r>
    </w:p>
    <w:p>
      <w:pPr>
        <w:pStyle w:val="BodyText"/>
      </w:pPr>
      <w:r>
        <w:t xml:space="preserve">[9] Council of the European Union. (2026, May 26). Eighth Accession Conference with Albania. Consilium. https://www.consilium.europa.eu/en/meetings/international-ministerial-meetings/2026/05/26/</w:t>
      </w:r>
      <w:r>
        <w:t xml:space="preserve"> </w:t>
      </w:r>
      <w:r>
        <w:t xml:space="preserve">[10] Euronews Albania. (2026, May 24). EU membership: 8th accession conference with Albania to be held in Brussels on May 26. Euronews Albania. https://euronews.al/en/eu-membership-8th-accession-conference-with-albania-to-be-held-in-brussels-on-may-26/</w:t>
      </w:r>
    </w:p>
    <w:p>
      <w:r>
        <w:pict>
          <v:rect style="width:0;height:1.5pt" o:hralign="center" o:hrstd="t" o:hr="t"/>
        </w:pict>
      </w:r>
    </w:p>
    <w:bookmarkEnd w:id="14"/>
    <w:bookmarkStart w:id="15" w:name="俄罗斯威胁继续打击基辅欧盟领导人谴责5月24日大规模空袭"/>
    <w:p>
      <w:pPr>
        <w:pStyle w:val="Heading3"/>
      </w:pPr>
      <w:r>
        <w:rPr>
          <w:rFonts w:hint="eastAsia"/>
        </w:rPr>
        <w:t xml:space="preserve">俄罗斯威胁继续打击基辅，欧盟领导人谴责5月24日大规模空袭</w:t>
      </w:r>
    </w:p>
    <w:p>
      <w:pPr>
        <w:pStyle w:val="FirstParagraph"/>
      </w:pPr>
      <w:r>
        <w:rPr>
          <w:rFonts w:hint="eastAsia"/>
        </w:rPr>
        <w:t xml:space="preserve">俄罗斯于5月26日威胁将继续对基辅发动打击，此时距5月24日大规模空袭仅过去两天。乌克兰空军通报，俄方在24日袭击中使用了600架无人机和90枚导弹，包括“榛子”（Oreshnik）高超音速弹道导弹，打击范围覆盖基辅每一个行政区。袭击至少造成2人死亡、77人受伤；基辅市长克利奇科（Vitaliy</w:t>
      </w:r>
      <w:r>
        <w:t xml:space="preserve"> </w:t>
      </w:r>
      <w:r>
        <w:rPr>
          <w:rFonts w:hint="eastAsia"/>
        </w:rPr>
        <w:t xml:space="preserve">Klitschko）表示“全市每个区都有损毁”。普京下令进行报复，理由是指控乌克兰对斯塔罗别尔斯克（Starobilsk）一所学院的无人机袭击。</w:t>
      </w:r>
    </w:p>
    <w:p>
      <w:pPr>
        <w:pStyle w:val="BodyText"/>
      </w:pPr>
      <w:r>
        <w:rPr>
          <w:rFonts w:hint="eastAsia"/>
        </w:rPr>
        <w:t xml:space="preserve">欧盟委员会主席冯德莱恩（Ursula</w:t>
      </w:r>
      <w:r>
        <w:t xml:space="preserve"> von der </w:t>
      </w:r>
      <w:r>
        <w:rPr>
          <w:rFonts w:hint="eastAsia"/>
        </w:rPr>
        <w:t xml:space="preserve">Leyen）在访问立陶宛期间表示，俄罗斯对波罗的海三国发出的公开威胁“完全不可接受”。法国总统马克龙与欧盟外交与安全政策高级代表卡拉斯（Kaja</w:t>
      </w:r>
      <w:r>
        <w:t xml:space="preserve"> </w:t>
      </w:r>
      <w:r>
        <w:rPr>
          <w:rFonts w:hint="eastAsia"/>
        </w:rPr>
        <w:t xml:space="preserve">Kallas）亦同声谴责24日袭击。冯德莱恩此次访问立陶宛恰逢三国近期发生无人机入侵事件，欧盟内部对东翼安全压力的关切显著升温。“榛子”导弹的实战部署被外界视为本轮冲突的重大升级标志，亦将直接影响6月欧洲理事会有关对乌军援与对俄制裁的进一步讨论。</w:t>
      </w:r>
    </w:p>
    <w:p>
      <w:pPr>
        <w:pStyle w:val="BodyText"/>
      </w:pPr>
      <w:r>
        <w:rPr>
          <w:b/>
          <w:bCs/>
        </w:rPr>
        <w:t xml:space="preserve">References</w:t>
      </w:r>
    </w:p>
    <w:p>
      <w:pPr>
        <w:pStyle w:val="BodyText"/>
      </w:pPr>
      <w:r>
        <w:t xml:space="preserve">[11] WSIU/NPR. (2026, May 26). Russia threatens more strikes against Kyiv after drone and missile attack. WSIU. https://www.wsiu.org/2026-05-26/russia-threatens-more-strikes-against-kyiv-after-drone-and-missile-attack</w:t>
      </w:r>
      <w:r>
        <w:t xml:space="preserve"> </w:t>
      </w:r>
      <w:r>
        <w:t xml:space="preserve">[12] Al Jazeera. (2026, May 24). Russian attacks on Ukraine’s Kyiv kill at least four people. Al Jazeera. https://www.aljazeera.com/news/2026/5/24/russian-attacks-on-ukraines-kyiv-kill-at-least-four-people</w:t>
      </w:r>
      <w:r>
        <w:t xml:space="preserve"> </w:t>
      </w:r>
      <w:r>
        <w:t xml:space="preserve">[13] France 24. (2026, May 24). Russian ballistic missile attack hits Kyiv after Moscow vows retaliation. France 24. https://www.france24.com/en/europe/20260524-russian-ballistic-missile-attack-hits-kyiv-after-moscow-vows-retaliation</w:t>
      </w:r>
    </w:p>
    <w:p>
      <w:r>
        <w:pict>
          <v:rect style="width:0;height:1.5pt" o:hralign="center" o:hrstd="t" o:hr="t"/>
        </w:pict>
      </w:r>
    </w:p>
    <w:bookmarkEnd w:id="15"/>
    <w:bookmarkStart w:id="16" w:name="塞浦路斯议会选举中右翼民主联盟胜出极右翼elam议席翻倍"/>
    <w:p>
      <w:pPr>
        <w:pStyle w:val="Heading3"/>
      </w:pPr>
      <w:r>
        <w:rPr>
          <w:rFonts w:hint="eastAsia"/>
        </w:rPr>
        <w:t xml:space="preserve">塞浦路斯议会选举：中右翼民主联盟胜出，极右翼ELAM议席翻倍</w:t>
      </w:r>
    </w:p>
    <w:p>
      <w:pPr>
        <w:pStyle w:val="FirstParagraph"/>
      </w:pPr>
      <w:r>
        <w:rPr>
          <w:rFonts w:hint="eastAsia"/>
        </w:rPr>
        <w:t xml:space="preserve">塞浦路斯于5月24日举行议会选举，中右翼民主联盟（DISY）以27.2%得票率赢得第一，获17席；左翼劳动人民进步党（AKEL）以23.9%得票率位居第二，获16席。极右翼“国家人民阵线”（ELAM）取得历史性突破，以10.9%的得票率跃居第三，议席由4席翻倍至8席。新成立的反腐败政党ALMA和帕纳约图（Fidias</w:t>
      </w:r>
      <w:r>
        <w:t xml:space="preserve"> </w:t>
      </w:r>
      <w:r>
        <w:rPr>
          <w:rFonts w:hint="eastAsia"/>
        </w:rPr>
        <w:t xml:space="preserve">Panayiotou）领衔的“直接民主党”亦双双跨过门槛进入议会，政治版图碎片化趋势加剧。</w:t>
      </w:r>
    </w:p>
    <w:p>
      <w:pPr>
        <w:pStyle w:val="BodyText"/>
      </w:pPr>
      <w:r>
        <w:rPr>
          <w:rFonts w:hint="eastAsia"/>
        </w:rPr>
        <w:t xml:space="preserve">欧洲保守派与改革主义者党团（ECR）共同发言人、波兰籍欧洲议会议员雅基（Patryk</w:t>
      </w:r>
      <w:r>
        <w:t xml:space="preserve"> </w:t>
      </w:r>
      <w:r>
        <w:rPr>
          <w:rFonts w:hint="eastAsia"/>
        </w:rPr>
        <w:t xml:space="preserve">Jaki）评论称，“这一结果表明，捍卫安全、责任与国家利益的保守力量在欧洲各地继续获得支持”。塞浦路斯当前担任欧盟理事会轮值主席国直至6月30日，其国内政局变动对欧盟议程推进具有一定外溢影响。ELAM在轮值主席国议会中实现席位翻倍，被视为欧洲大陆范围内极右翼持续上升趋势的又一标志性节点。</w:t>
      </w:r>
    </w:p>
    <w:p>
      <w:pPr>
        <w:pStyle w:val="BodyText"/>
      </w:pPr>
      <w:r>
        <w:rPr>
          <w:b/>
          <w:bCs/>
        </w:rPr>
        <w:t xml:space="preserve">References</w:t>
      </w:r>
    </w:p>
    <w:p>
      <w:pPr>
        <w:pStyle w:val="BodyText"/>
      </w:pPr>
      <w:r>
        <w:t xml:space="preserve">[14] Euronews. (2026, May 24). Cyprus parliamentary elections: DISY and AKEL race for first place as far-right make gains. Euronews. https://www.euronews.com/my-europe/2026/05/24/cyprus-parliamentary-elections-disy-and-akel-race-for-first-place-as-far-right-make-gains</w:t>
      </w:r>
      <w:r>
        <w:t xml:space="preserve"> </w:t>
      </w:r>
      <w:r>
        <w:t xml:space="preserve">[15] EU News. (2026, May 25). Cyprus parliamentary vote: traditional parties tread water, far right on the rise. EU News. https://www.eunews.it/en/2026/05/25/cyprus-parliamentary-vote-traditional-parties-tread-water-far-right-on-the-rise/</w:t>
      </w:r>
    </w:p>
    <w:p>
      <w:r>
        <w:pict>
          <v:rect style="width:0;height:1.5pt" o:hralign="center" o:hrstd="t" o:hr="t"/>
        </w:pict>
      </w:r>
    </w:p>
    <w:bookmarkEnd w:id="16"/>
    <w:bookmarkEnd w:id="17"/>
    <w:bookmarkStart w:id="20" w:name="三科技与产业"/>
    <w:p>
      <w:pPr>
        <w:pStyle w:val="Heading2"/>
      </w:pPr>
      <w:r>
        <w:rPr>
          <w:rFonts w:hint="eastAsia"/>
        </w:rPr>
        <w:t xml:space="preserve">三、科技与产业</w:t>
      </w:r>
    </w:p>
    <w:p>
      <w:pPr>
        <w:pStyle w:val="FirstParagraph"/>
      </w:pPr>
      <w:r>
        <w:rPr>
          <w:rFonts w:hint="eastAsia"/>
        </w:rPr>
        <w:t xml:space="preserve">注：本分类当日仅检索到</w:t>
      </w:r>
      <w:r>
        <w:t xml:space="preserve"> 2 </w:t>
      </w:r>
      <w:r>
        <w:rPr>
          <w:rFonts w:hint="eastAsia"/>
        </w:rPr>
        <w:t xml:space="preserve">条。</w:t>
      </w:r>
    </w:p>
    <w:bookmarkStart w:id="18" w:name="欧盟人工智能法综合修订包达成高风险ai义务延至2027年12月"/>
    <w:p>
      <w:pPr>
        <w:pStyle w:val="Heading3"/>
      </w:pPr>
      <w:r>
        <w:rPr>
          <w:rFonts w:hint="eastAsia"/>
        </w:rPr>
        <w:t xml:space="preserve">欧盟《人工智能法》“综合修订包”达成：高风险AI义务延至2027年12月</w:t>
      </w:r>
    </w:p>
    <w:p>
      <w:pPr>
        <w:pStyle w:val="FirstParagraph"/>
      </w:pPr>
      <w:r>
        <w:rPr>
          <w:rFonts w:hint="eastAsia"/>
        </w:rPr>
        <w:t xml:space="preserve">欧盟理事会与欧洲议会于5月7日就《人工智能法》（AI</w:t>
      </w:r>
      <w:r>
        <w:t xml:space="preserve"> </w:t>
      </w:r>
      <w:r>
        <w:rPr>
          <w:rFonts w:hint="eastAsia"/>
        </w:rPr>
        <w:t xml:space="preserve">Act）“综合修订包”（omnibus）达成政治协议，是2026年欧洲AI企业最具影响力的监管纾困决策。根据协议，针对附件三（Annex</w:t>
      </w:r>
      <w:r>
        <w:t xml:space="preserve"> </w:t>
      </w:r>
      <w:r>
        <w:rPr>
          <w:rFonts w:hint="eastAsia"/>
        </w:rPr>
        <w:t xml:space="preserve">III）所列的“高风险”AI系统（以用途分类），合规义务由原定的2026年8月2日推迟至2027年12月2日，为相关行业争取出约16个月的额外准备时间。理由是欧洲标准化委员会（CEN）和欧洲电工标准化委员会（CENELEC）的相关标准制定工作尚未完成，标准化工作仍在推进之中。</w:t>
      </w:r>
    </w:p>
    <w:p>
      <w:pPr>
        <w:pStyle w:val="BodyText"/>
      </w:pPr>
      <w:r>
        <w:rPr>
          <w:rFonts w:hint="eastAsia"/>
        </w:rPr>
        <w:t xml:space="preserve">《人工智能法》采取双层治理架构：成员国主管机构负责具体AI系统的监管，而欧盟AI办公室（AI</w:t>
      </w:r>
      <w:r>
        <w:t xml:space="preserve"> </w:t>
      </w:r>
      <w:r>
        <w:rPr>
          <w:rFonts w:hint="eastAsia"/>
        </w:rPr>
        <w:t xml:space="preserve">Office）负责通用型AI（GPAI）模型的监管。委员会针对GPAI模型提供商的监督与执法权将按原计划于2026年8月2日生效，未一并延后。回顾时间线，《人工智能法》原文于2024年8月1日生效，禁止性AI实践与AI素养义务自2025年2月2日起适用，GPAI模型义务自2025年8月2日起适用。本次“综合修订包”形成“高风险延后、GPAI如期”的分叉式监管节奏。</w:t>
      </w:r>
    </w:p>
    <w:p>
      <w:pPr>
        <w:pStyle w:val="BodyText"/>
      </w:pPr>
      <w:r>
        <w:rPr>
          <w:b/>
          <w:bCs/>
        </w:rPr>
        <w:t xml:space="preserve">References</w:t>
      </w:r>
    </w:p>
    <w:p>
      <w:pPr>
        <w:pStyle w:val="BodyText"/>
      </w:pPr>
      <w:r>
        <w:t xml:space="preserve">[16] Council of the European Union. (2026, May 7). Artificial intelligence: Council and Parliament agree to simplify and streamline rules. Consilium. https://www.consilium.europa.eu/en/press/press-releases/2026/05/07/artificial-intelligence-council-and-parliament-agree-to-simplify-and-streamline-rules/</w:t>
      </w:r>
      <w:r>
        <w:t xml:space="preserve"> </w:t>
      </w:r>
      <w:r>
        <w:t xml:space="preserve">[17] Inside Privacy. (2026, May). EU AI Act update: Timeline relief, targeted simplification and new prohibitions. Covington &amp; Burling — Inside Privacy. https://www.insideprivacy.com/artificial-intelligence/eu-ai-act-update-timeline-relief-targeted-simplification-and-new-prohibitions/</w:t>
      </w:r>
    </w:p>
    <w:p>
      <w:r>
        <w:pict>
          <v:rect style="width:0;height:1.5pt" o:hralign="center" o:hrstd="t" o:hr="t"/>
        </w:pict>
      </w:r>
    </w:p>
    <w:bookmarkEnd w:id="18"/>
    <w:bookmarkStart w:id="19" w:name="欧洲一季度风险投资达176亿美元ai驱动连续两季增长"/>
    <w:p>
      <w:pPr>
        <w:pStyle w:val="Heading3"/>
      </w:pPr>
      <w:r>
        <w:rPr>
          <w:rFonts w:hint="eastAsia"/>
        </w:rPr>
        <w:t xml:space="preserve">欧洲一季度风险投资达176亿美元，AI驱动连续两季增长</w:t>
      </w:r>
    </w:p>
    <w:p>
      <w:pPr>
        <w:pStyle w:val="FirstParagraph"/>
      </w:pPr>
      <w:r>
        <w:rPr>
          <w:rFonts w:hint="eastAsia"/>
        </w:rPr>
        <w:t xml:space="preserve">根据Crunchbase</w:t>
      </w:r>
      <w:r>
        <w:t xml:space="preserve"> </w:t>
      </w:r>
      <w:r>
        <w:rPr>
          <w:rFonts w:hint="eastAsia"/>
        </w:rPr>
        <w:t xml:space="preserve">News的最新分析，2026年第一季度欧洲风险投资规模达到176亿美元，同比增长近30%，为连续第二个季度回升。AI赛道高度集中：2026年迄今约半数欧洲风险资金流向AI相关公司。代表性融资包括：Parallel完成2.3亿美元融资，用于构建面向AI智能体的网络搜索基础设施；宝马i风投（BMW</w:t>
      </w:r>
      <w:r>
        <w:t xml:space="preserve"> i </w:t>
      </w:r>
      <w:r>
        <w:rPr>
          <w:rFonts w:hint="eastAsia"/>
        </w:rPr>
        <w:t xml:space="preserve">Ventures）推出3亿美元新基金，聚焦智能体AI、具身AI、机器人、制造业、供应链科技与工业软件；Primer完成1亿美元C轮融资，由Sofina领投，Peak</w:t>
      </w:r>
      <w:r>
        <w:t xml:space="preserve"> </w:t>
      </w:r>
      <w:r>
        <w:rPr>
          <w:rFonts w:hint="eastAsia"/>
        </w:rPr>
        <w:t xml:space="preserve">XV参投。</w:t>
      </w:r>
    </w:p>
    <w:p>
      <w:pPr>
        <w:pStyle w:val="BodyText"/>
      </w:pPr>
      <w:r>
        <w:rPr>
          <w:rFonts w:hint="eastAsia"/>
        </w:rPr>
        <w:t xml:space="preserve">太空科技公司ICEYE宣布获得3亿欧元为期三年的承诺资金；德国早期投资机构Earlybird宣布3.6亿欧元新基金成立，重点投向AI、芯片与工业软件。回顾整个2025年，欧洲AI公司累计融资超过53亿欧元。Crunchbase指出，约50%的欧洲风险资金集中于AI是一种结构性转变，并与同期欧盟《人工智能法》监管节奏调整形成呼应——前者反映资本聚集态势，后者则提供合规缓冲，二者共同塑造欧洲AI产业的中期竞争格局。</w:t>
      </w:r>
    </w:p>
    <w:p>
      <w:pPr>
        <w:pStyle w:val="BodyText"/>
      </w:pPr>
      <w:r>
        <w:rPr>
          <w:b/>
          <w:bCs/>
        </w:rPr>
        <w:t xml:space="preserve">References</w:t>
      </w:r>
    </w:p>
    <w:p>
      <w:pPr>
        <w:pStyle w:val="BodyText"/>
      </w:pPr>
      <w:r>
        <w:t xml:space="preserve">[18] Glasner, J. (2026, May). European venture funding picked up; AI led the way in Q1 2026. Crunchbase News. https://news.crunchbase.com/venture/funding-picked-up-ai-led-europe-q1-2026/</w:t>
      </w:r>
      <w:r>
        <w:t xml:space="preserve"> </w:t>
      </w:r>
      <w:r>
        <w:t xml:space="preserve">[19] BMW i Ventures. (2026, Q1). BMW i Ventures launches new $300 million fund focused on agentic AI, physical AI and industrial software. BMW i Ventures. https://www.bmwiventures.com/news</w:t>
      </w:r>
    </w:p>
    <w:p>
      <w:r>
        <w:pict>
          <v:rect style="width:0;height:1.5pt" o:hralign="center" o:hrstd="t" o:hr="t"/>
        </w:pict>
      </w:r>
    </w:p>
    <w:bookmarkEnd w:id="19"/>
    <w:bookmarkEnd w:id="20"/>
    <w:bookmarkStart w:id="23" w:name="四社会与民生"/>
    <w:p>
      <w:pPr>
        <w:pStyle w:val="Heading2"/>
      </w:pPr>
      <w:r>
        <w:rPr>
          <w:rFonts w:hint="eastAsia"/>
        </w:rPr>
        <w:t xml:space="preserve">四、社会与民生</w:t>
      </w:r>
    </w:p>
    <w:p>
      <w:pPr>
        <w:pStyle w:val="FirstParagraph"/>
      </w:pPr>
      <w:r>
        <w:rPr>
          <w:rFonts w:hint="eastAsia"/>
        </w:rPr>
        <w:t xml:space="preserve">注：本分类当日仅检索到</w:t>
      </w:r>
      <w:r>
        <w:t xml:space="preserve"> 2 </w:t>
      </w:r>
      <w:r>
        <w:rPr>
          <w:rFonts w:hint="eastAsia"/>
        </w:rPr>
        <w:t xml:space="preserve">条。</w:t>
      </w:r>
    </w:p>
    <w:bookmarkStart w:id="21" w:name="比利时校车与火车相撞酿4死含两名儿童"/>
    <w:p>
      <w:pPr>
        <w:pStyle w:val="Heading3"/>
      </w:pPr>
      <w:r>
        <w:rPr>
          <w:rFonts w:hint="eastAsia"/>
        </w:rPr>
        <w:t xml:space="preserve">比利时校车与火车相撞酿4死，含两名儿童</w:t>
      </w:r>
    </w:p>
    <w:p>
      <w:pPr>
        <w:pStyle w:val="FirstParagraph"/>
      </w:pPr>
      <w:r>
        <w:rPr>
          <w:rFonts w:hint="eastAsia"/>
        </w:rPr>
        <w:t xml:space="preserve">5月26日上午约8时08分，比利时北部布根豪特（Buggenhout）一处铁路道口发生重大事故：一辆校车被驶过的列车撞击，造成4人死亡，包括两名分别为12岁和15岁的儿童、一名27岁的教师及49岁的校车司机。当时车上共载有7名儿童、1名监护人和1名司机，5名儿童一度被送医并处于危急状态，随后病情趋稳。当地警方表示，“撞击发生时，道口栏杆处于落下状态，信号灯为红色”，事故初步指向司机操作合规性与可能存在的技术故障两大调查方向。</w:t>
      </w:r>
    </w:p>
    <w:p>
      <w:pPr>
        <w:pStyle w:val="BodyText"/>
      </w:pPr>
      <w:r>
        <w:rPr>
          <w:rFonts w:hint="eastAsia"/>
        </w:rPr>
        <w:t xml:space="preserve">比利时副首相普雷沃特（Maxime</w:t>
      </w:r>
      <w:r>
        <w:t xml:space="preserve"> </w:t>
      </w:r>
      <w:r>
        <w:rPr>
          <w:rFonts w:hint="eastAsia"/>
        </w:rPr>
        <w:t xml:space="preserve">Prevot）通报称，“今天上午布根豪特发生了一起列车与校车相撞的悲剧”；内政部长昆廷（Bernard</w:t>
      </w:r>
      <w:r>
        <w:t xml:space="preserve"> </w:t>
      </w:r>
      <w:r>
        <w:rPr>
          <w:rFonts w:hint="eastAsia"/>
        </w:rPr>
        <w:t xml:space="preserve">Quintin）向遇难者家属表达哀悼。欧盟委员会主席冯德莱恩（Ursula</w:t>
      </w:r>
      <w:r>
        <w:t xml:space="preserve"> von der </w:t>
      </w:r>
      <w:r>
        <w:rPr>
          <w:rFonts w:hint="eastAsia"/>
        </w:rPr>
        <w:t xml:space="preserve">Leyen）发文称“心碎不已”。涉事列车原计划在距事发道口约1公里处的车站停靠，事故对比利时铁路安全监管体系构成重大冲击，调查仍在进行中，包括栏杆放下后司机仍越线的具体经过、车辆视线条件、铁路信号系统状态等关键事实有待确认。</w:t>
      </w:r>
    </w:p>
    <w:p>
      <w:pPr>
        <w:pStyle w:val="BodyText"/>
      </w:pPr>
      <w:r>
        <w:rPr>
          <w:b/>
          <w:bCs/>
        </w:rPr>
        <w:t xml:space="preserve">References</w:t>
      </w:r>
    </w:p>
    <w:p>
      <w:pPr>
        <w:pStyle w:val="BodyText"/>
      </w:pPr>
      <w:r>
        <w:t xml:space="preserve">[20] Euronews. (2026, May 26). Train hits school bus in Belgium, several victims reported, minister says. Euronews. https://www.euronews.com/my-europe/2026/05/26/train-hits-school-bus-in-belgium-several-victims-reported-minister-says</w:t>
      </w:r>
      <w:r>
        <w:t xml:space="preserve"> </w:t>
      </w:r>
      <w:r>
        <w:t xml:space="preserve">[21] CNN. (2026, May 26). Belgium train collides with school bus, killing four. CNN. https://www.cnn.com/2026/05/26/europe/belgium-train-school-bus-intl</w:t>
      </w:r>
    </w:p>
    <w:p>
      <w:r>
        <w:pict>
          <v:rect style="width:0;height:1.5pt" o:hralign="center" o:hrstd="t" o:hr="t"/>
        </w:pict>
      </w:r>
    </w:p>
    <w:bookmarkEnd w:id="21"/>
    <w:bookmarkStart w:id="22" w:name="月历史性热穹笼罩欧洲英国录得史上最热5月"/>
    <w:p>
      <w:pPr>
        <w:pStyle w:val="Heading3"/>
      </w:pPr>
      <w:r>
        <w:rPr>
          <w:rFonts w:hint="eastAsia"/>
        </w:rPr>
        <w:t xml:space="preserve">5月历史性热穹笼罩欧洲，英国录得史上最热5月</w:t>
      </w:r>
    </w:p>
    <w:p>
      <w:pPr>
        <w:pStyle w:val="FirstParagraph"/>
      </w:pPr>
      <w:r>
        <w:rPr>
          <w:rFonts w:hint="eastAsia"/>
        </w:rPr>
        <w:t xml:space="preserve">2026年5月最后一周，西欧地区气温较长期均值高出12–16°C。英国伦敦邱园（Kew</w:t>
      </w:r>
      <w:r>
        <w:t xml:space="preserve"> </w:t>
      </w:r>
      <w:r>
        <w:rPr>
          <w:rFonts w:hint="eastAsia"/>
        </w:rPr>
        <w:t xml:space="preserve">Gardens）录得34.8°C（94.6°F），打破1922年与1944年创下的32.8°C纪录，成为有记录以来最热的5月。法国周一气温达36°C；葡萄牙南部、西班牙与法国南部最高升至35–38°C；意大利31–34°C，德国30–33°C。一股源自北非的高压热穹（heat</w:t>
      </w:r>
      <w:r>
        <w:t xml:space="preserve"> </w:t>
      </w:r>
      <w:r>
        <w:rPr>
          <w:rFonts w:hint="eastAsia"/>
        </w:rPr>
        <w:t xml:space="preserve">dome）将暖气团滞留于西欧上空，形成此次罕见的5月极端高温。</w:t>
      </w:r>
    </w:p>
    <w:p>
      <w:pPr>
        <w:pStyle w:val="BodyText"/>
      </w:pPr>
      <w:r>
        <w:rPr>
          <w:rFonts w:hint="eastAsia"/>
        </w:rPr>
        <w:t xml:space="preserve">人员伤亡方面，法国体育部长费拉里（Marina</w:t>
      </w:r>
      <w:r>
        <w:t xml:space="preserve"> </w:t>
      </w:r>
      <w:r>
        <w:rPr>
          <w:rFonts w:hint="eastAsia"/>
        </w:rPr>
        <w:t xml:space="preserve">Ferrari）就周日巴黎一场跑步赛事中一名跑者死亡向其家属表达哀悼；法国吉伦特地区周日发生两起溺水事故；英格兰北部哈利法克斯一名13岁男孩在水库中遇险后不幸身亡。意大利部分地区已对户外作业实施限制。本轮气候应激事件叠加伊朗战争引发的能源价格冲击及PMI收缩，三重压力同步显现，对欧洲能源供应保障、公共卫生响应与户外劳动力保护构成结构性挑战。</w:t>
      </w:r>
    </w:p>
    <w:p>
      <w:pPr>
        <w:pStyle w:val="BodyText"/>
      </w:pPr>
      <w:r>
        <w:rPr>
          <w:b/>
          <w:bCs/>
        </w:rPr>
        <w:t xml:space="preserve">References</w:t>
      </w:r>
    </w:p>
    <w:p>
      <w:pPr>
        <w:pStyle w:val="BodyText"/>
      </w:pPr>
      <w:r>
        <w:t xml:space="preserve">[22] Patel, K., &amp; Noack, R. (2026, May 26). Europe heat wave shatters May temperature records in France, U.K. The Washington Post. https://www.washingtonpost.com/world/2026/05/26/europe-heatwave-temperature-records-france-uk/</w:t>
      </w:r>
      <w:r>
        <w:t xml:space="preserve"> </w:t>
      </w:r>
      <w:r>
        <w:t xml:space="preserve">[23] RTÉ News. (2026, May 26). Europe swelters as May heat records tumble across continent. RTÉ. https://www.rte.ie/news/world/2026/0526/1575263-weather-europe/</w:t>
      </w:r>
      <w:r>
        <w:t xml:space="preserve"> </w:t>
      </w:r>
      <w:r>
        <w:t xml:space="preserve">[24] Euronews. (2026, May 25). What is a heat dome? Why Europe is sweltering under record-breaking May temperatures. Euronews. https://www.euronews.com/2026/05/25/what-is-a-heat-dome-why-europe-is-sweltering-under-record-breaking-may-temperatures</w:t>
      </w:r>
    </w:p>
    <w:p>
      <w:r>
        <w:pict>
          <v:rect style="width:0;height:1.5pt" o:hralign="center" o:hrstd="t" o:hr="t"/>
        </w:pict>
      </w:r>
    </w:p>
    <w:bookmarkEnd w:id="22"/>
    <w:bookmarkEnd w:id="23"/>
    <w:bookmarkStart w:id="26" w:name="五企业ipo与并购"/>
    <w:p>
      <w:pPr>
        <w:pStyle w:val="Heading2"/>
      </w:pPr>
      <w:r>
        <w:rPr>
          <w:rFonts w:hint="eastAsia"/>
        </w:rPr>
        <w:t xml:space="preserve">五、企业IPO与并购</w:t>
      </w:r>
    </w:p>
    <w:p>
      <w:pPr>
        <w:pStyle w:val="FirstParagraph"/>
      </w:pPr>
      <w:r>
        <w:rPr>
          <w:rFonts w:hint="eastAsia"/>
        </w:rPr>
        <w:t xml:space="preserve">注：本分类当日仅检索到</w:t>
      </w:r>
      <w:r>
        <w:t xml:space="preserve"> 2 </w:t>
      </w:r>
      <w:r>
        <w:rPr>
          <w:rFonts w:hint="eastAsia"/>
        </w:rPr>
        <w:t xml:space="preserve">条。</w:t>
      </w:r>
    </w:p>
    <w:bookmarkStart w:id="24" w:name="联合信贷敌意收购德商行首周接受率仅0.006ceo警示10亿欧元收入风险"/>
    <w:p>
      <w:pPr>
        <w:pStyle w:val="Heading3"/>
      </w:pPr>
      <w:r>
        <w:rPr>
          <w:rFonts w:hint="eastAsia"/>
        </w:rPr>
        <w:t xml:space="preserve">联合信贷敌意收购德商行：首周接受率仅0.006%，CEO警示10亿欧元收入风险</w:t>
      </w:r>
    </w:p>
    <w:p>
      <w:pPr>
        <w:pStyle w:val="FirstParagraph"/>
      </w:pPr>
      <w:r>
        <w:rPr>
          <w:rFonts w:hint="eastAsia"/>
        </w:rPr>
        <w:t xml:space="preserve">意大利联合信贷银行（UniCredit）对德国商业银行（Commerzbank）发起的跨境敌意收购在5月26日继续推进。联合信贷以每股德商行0.485股新联合信贷股票的换股比例发出要约，按5月4日联合信贷64.06欧元收盘价折算，对应每股约31.07欧元，较德商行34.02欧元收盘价折价8.7%。联合信贷已直接持有德商行约26.77%股份，并通过总回报互换（Total</w:t>
      </w:r>
      <w:r>
        <w:t xml:space="preserve"> Return </w:t>
      </w:r>
      <w:r>
        <w:rPr>
          <w:rFonts w:hint="eastAsia"/>
        </w:rPr>
        <w:t xml:space="preserve">Swap）获得高达38.87%的经济敞口。要约期至6月中旬，第一周仅获得约0.006%股份接受。联合信贷股东已于5月4日批准发行新股，为这笔340亿欧元（400亿美元）的报价提供融资。</w:t>
      </w:r>
    </w:p>
    <w:p>
      <w:pPr>
        <w:pStyle w:val="BodyText"/>
      </w:pPr>
      <w:r>
        <w:rPr>
          <w:rFonts w:hint="eastAsia"/>
        </w:rPr>
        <w:t xml:space="preserve">德商行首席执行官奥洛普（Bettina</w:t>
      </w:r>
      <w:r>
        <w:t xml:space="preserve"> </w:t>
      </w:r>
      <w:r>
        <w:rPr>
          <w:rFonts w:hint="eastAsia"/>
        </w:rPr>
        <w:t xml:space="preserve">Orlopp）在5月20日股东大会上对投资者表示，370亿欧元的报价低估了该德国银行的内在价值，并警告联合信贷的战略将带来大幅裁员、业务条线流失，并使逾10亿欧元收入处于风险之中。德商行管理委员会与监事会均认定该要约既未提供合理溢价，也缺乏具有说服力的合并方案，正式建议股东拒绝接受。德商行5月26日为分红派发日，亦提升了短期股东持股动机。这是金融危机以来欧洲最具规模的跨境银行并购尝试，首周近乎为零的接受率显示股东抵触明显，但联合信贷38.87%的经济敞口意味着终局仍未确定。</w:t>
      </w:r>
    </w:p>
    <w:p>
      <w:pPr>
        <w:pStyle w:val="BodyText"/>
      </w:pPr>
      <w:r>
        <w:rPr>
          <w:b/>
          <w:bCs/>
        </w:rPr>
        <w:t xml:space="preserve">References</w:t>
      </w:r>
    </w:p>
    <w:p>
      <w:pPr>
        <w:pStyle w:val="BodyText"/>
      </w:pPr>
      <w:r>
        <w:t xml:space="preserve">[25] Comfort, N., &amp; Arons, S. (2026, May 20). Commerzbank warns of €1 billion revenue hit from UniCredit plans. Bloomberg. https://www.bloomberg.com/news/articles/2026-05-20/commerzbank-warns-of-1-billion-revenue-hit-from-unicredit-plans</w:t>
      </w:r>
      <w:r>
        <w:t xml:space="preserve"> </w:t>
      </w:r>
      <w:r>
        <w:t xml:space="preserve">[26] Commerzbank AG. (2026). UniCredit position — FAQ. Commerzbank Group. https://www.commerzbank.de/group/what-drives-us/commerzbank-as-a-company/2026-unicredit-position-faq.html</w:t>
      </w:r>
    </w:p>
    <w:p>
      <w:r>
        <w:pict>
          <v:rect style="width:0;height:1.5pt" o:hralign="center" o:hrstd="t" o:hr="t"/>
        </w:pict>
      </w:r>
    </w:p>
    <w:bookmarkEnd w:id="24"/>
    <w:bookmarkStart w:id="25" w:name="X2c3657e72addf05a2dbc6d730fbc97731a9276d"/>
    <w:p>
      <w:pPr>
        <w:pStyle w:val="Heading3"/>
      </w:pPr>
      <w:r>
        <w:rPr>
          <w:rFonts w:hint="eastAsia"/>
        </w:rPr>
        <w:t xml:space="preserve">法国Bouygues、Free-iliad、Orange联合体与Altice独家谈判收购SFR，对价203.5亿欧元</w:t>
      </w:r>
    </w:p>
    <w:p>
      <w:pPr>
        <w:pStyle w:val="FirstParagraph"/>
      </w:pPr>
      <w:r>
        <w:rPr>
          <w:rFonts w:hint="eastAsia"/>
        </w:rPr>
        <w:t xml:space="preserve">法国电信运营商Bouygues</w:t>
      </w:r>
      <w:r>
        <w:t xml:space="preserve"> </w:t>
      </w:r>
      <w:r>
        <w:rPr>
          <w:rFonts w:hint="eastAsia"/>
        </w:rPr>
        <w:t xml:space="preserve">Telecom、Free–iliad集团与Orange三方组成的联合体，已就收购SFR向Altice</w:t>
      </w:r>
      <w:r>
        <w:t xml:space="preserve"> </w:t>
      </w:r>
      <w:r>
        <w:rPr>
          <w:rFonts w:hint="eastAsia"/>
        </w:rPr>
        <w:t xml:space="preserve">France集团提交新报价并进入独家谈判阶段，企业总价值约为203.5亿欧元。交易对价分配为：Bouygues</w:t>
      </w:r>
      <w:r>
        <w:t xml:space="preserve"> </w:t>
      </w:r>
      <w:r>
        <w:rPr>
          <w:rFonts w:hint="eastAsia"/>
        </w:rPr>
        <w:t xml:space="preserve">Telecom约42%、Free–iliad集团31%、Orange</w:t>
      </w:r>
      <w:r>
        <w:t xml:space="preserve"> </w:t>
      </w:r>
      <w:r>
        <w:rPr>
          <w:rFonts w:hint="eastAsia"/>
        </w:rPr>
        <w:t xml:space="preserve">27%。资产分配方案显示，Bouygues</w:t>
      </w:r>
      <w:r>
        <w:t xml:space="preserve"> </w:t>
      </w:r>
      <w:r>
        <w:rPr>
          <w:rFonts w:hint="eastAsia"/>
        </w:rPr>
        <w:t xml:space="preserve">Telecom将取得SFR的B2B业务及对应客户；B2C业务将由三方共享；基础设施与频谱亦由三方共享，但SFR在人口低密度地区的移动网络资产将整体划归Bouygues</w:t>
      </w:r>
      <w:r>
        <w:t xml:space="preserve"> Telecom。</w:t>
      </w:r>
    </w:p>
    <w:p>
      <w:pPr>
        <w:pStyle w:val="BodyText"/>
      </w:pPr>
      <w:r>
        <w:rPr>
          <w:rFonts w:hint="eastAsia"/>
        </w:rPr>
        <w:t xml:space="preserve">Altice确认独家谈判期已超出最初的5月15日截止日，现延长至2026年6月5日，5月26日交易处于“延期独家”状态。若获法国竞争监管机构批准，本次交易将使法国移动通信运营商数量由四家缩减至三家，是欧洲电信行业近年来规模最大的一次整合。市场普遍关注两项核心议题：一是反垄断当局对市场集中度提升的容忍度，二是三家收购方在B2C共享业务架构下能否避免后续运营协同摩擦。交易若于2026年下半年完成，将重塑法国乃至欧洲电信市场的竞争格局与资本开支节奏。</w:t>
      </w:r>
    </w:p>
    <w:p>
      <w:pPr>
        <w:pStyle w:val="BodyText"/>
      </w:pPr>
      <w:r>
        <w:rPr>
          <w:b/>
          <w:bCs/>
        </w:rPr>
        <w:t xml:space="preserve">References</w:t>
      </w:r>
    </w:p>
    <w:p>
      <w:pPr>
        <w:pStyle w:val="BodyText"/>
      </w:pPr>
      <w:r>
        <w:t xml:space="preserve">[27] Orange. (2026, April 17). Bouygues Telecom, Free – iliad Group and Orange enter into exclusive negotiations with Altice France group for the acquisition of SFR. Orange Press Release. https://www.orange.com/en/press-release/bouygues-telecom-free-groupe-iliad-et-orange-entrent-en-negociations-exclusives-avec-le-groupe-altice-france-pour-lacquisition-de-sfr-461112-461112</w:t>
      </w:r>
      <w:r>
        <w:t xml:space="preserve"> </w:t>
      </w:r>
      <w:r>
        <w:t xml:space="preserve">[28] White, A., &amp; Nussbaum, A. (2026, April 17). Bouygues-led group in talks to buy SFR in €20.4 billion deal. Bloomberg. https://www.bloomberg.com/news/articles/2026-04-17/bouygues-led-group-in-talks-to-buy-sfr-in-20-4-billion-deal</w:t>
      </w:r>
    </w:p>
    <w:p>
      <w:r>
        <w:pict>
          <v:rect style="width:0;height:1.5pt" o:hralign="center" o:hrstd="t" o:hr="t"/>
        </w:pict>
      </w:r>
    </w:p>
    <w:bookmarkEnd w:id="25"/>
    <w:bookmarkEnd w:id="26"/>
    <w:bookmarkStart w:id="28" w:name="六其他重要事件"/>
    <w:p>
      <w:pPr>
        <w:pStyle w:val="Heading2"/>
      </w:pPr>
      <w:r>
        <w:rPr>
          <w:rFonts w:hint="eastAsia"/>
        </w:rPr>
        <w:t xml:space="preserve">六、其他重要事件</w:t>
      </w:r>
    </w:p>
    <w:p>
      <w:pPr>
        <w:pStyle w:val="FirstParagraph"/>
      </w:pPr>
      <w:r>
        <w:rPr>
          <w:rFonts w:hint="eastAsia"/>
        </w:rPr>
        <w:t xml:space="preserve">注：本分类当日仅检索到</w:t>
      </w:r>
      <w:r>
        <w:t xml:space="preserve"> 1 </w:t>
      </w:r>
      <w:r>
        <w:rPr>
          <w:rFonts w:hint="eastAsia"/>
        </w:rPr>
        <w:t xml:space="preserve">条。</w:t>
      </w:r>
    </w:p>
    <w:bookmarkStart w:id="27" w:name="霍尔木兹危机持续升级5月26日美军自卫打击伊朗欧洲能源账单增加130亿欧元"/>
    <w:p>
      <w:pPr>
        <w:pStyle w:val="Heading3"/>
      </w:pPr>
      <w:r>
        <w:rPr>
          <w:rFonts w:hint="eastAsia"/>
        </w:rPr>
        <w:t xml:space="preserve">霍尔木兹危机持续升级：5月26日美军“自卫”打击伊朗，欧洲能源账单增加130亿欧元</w:t>
      </w:r>
    </w:p>
    <w:p>
      <w:pPr>
        <w:pStyle w:val="FirstParagraph"/>
      </w:pPr>
      <w:r>
        <w:rPr>
          <w:rFonts w:hint="eastAsia"/>
        </w:rPr>
        <w:t xml:space="preserve">美军于5月26日凌晨在伊朗南部实施“自卫”打击，是自2026年2月28日霍尔木兹海峡航运被阻断以来冲突的最新升级。美国国务卿鲁比奥（Marco</w:t>
      </w:r>
      <w:r>
        <w:t xml:space="preserve"> </w:t>
      </w:r>
      <w:r>
        <w:rPr>
          <w:rFonts w:hint="eastAsia"/>
        </w:rPr>
        <w:t xml:space="preserve">Rubio）在印度发表讲话时表示，霍尔木兹海峡必须“以某种方式”重新开放。该海峡正常情况下承担全球约25%的海运石油（约每日2000万桶）和20%的全球液化天然气运输。3月8日布伦特原油四年来首次突破100美元/桶，随后峰值升至126美元/桶以上；迪拜原油创下166美元/桶的纪录。欧洲天然气价格由约30欧元/兆瓦时跃升至60欧元/兆瓦时以上。</w:t>
      </w:r>
    </w:p>
    <w:p>
      <w:pPr>
        <w:pStyle w:val="BodyText"/>
      </w:pPr>
      <w:r>
        <w:rPr>
          <w:rFonts w:hint="eastAsia"/>
        </w:rPr>
        <w:t xml:space="preserve">欧盟估算，本轮危机导致欧盟天然气价格上涨70%、原油价格上涨50%，化石燃料进口账单额外增加约130亿欧元；欧盟天然气储存水平在严冬之后仅为容量的30%。作为应对，欧盟在2026年1月至4月间创纪录地从俄罗斯进口了约91船亚马尔液化天然气（Yamal</w:t>
      </w:r>
      <w:r>
        <w:t xml:space="preserve"> </w:t>
      </w:r>
      <w:r>
        <w:rPr>
          <w:rFonts w:hint="eastAsia"/>
        </w:rPr>
        <w:t xml:space="preserve">LNG）。此次危机被视为自上世纪70年代石油冲击以来对全球能源供应的最大扰动，构成本期欧洲所有经济故事的结构性驱动因素——欧央行通胀预测上修、PMI跌至31个月低点、欧盟财政框架谈判、企业并购融资环境，均与之直接相关。</w:t>
      </w:r>
    </w:p>
    <w:p>
      <w:pPr>
        <w:pStyle w:val="BodyText"/>
      </w:pPr>
      <w:r>
        <w:rPr>
          <w:b/>
          <w:bCs/>
        </w:rPr>
        <w:t xml:space="preserve">References</w:t>
      </w:r>
    </w:p>
    <w:p>
      <w:pPr>
        <w:pStyle w:val="BodyText"/>
      </w:pPr>
      <w:r>
        <w:t xml:space="preserve">[29] CNBC. (2026, May 26). European markets: Stoxx 600, FTSE, DAX, CAC, Iran news. CNBC. https://www.cnbc.com/2026/05/26/european-markets-stoxx-600-ftse-dax-cac-iran-news.html</w:t>
      </w:r>
      <w:r>
        <w:t xml:space="preserve"> </w:t>
      </w:r>
      <w:r>
        <w:t xml:space="preserve">[30] Wikipedia contributors. (2026). 2026 Iran–United States crisis and Strait of Hormuz closure. Wikipedia. https://en.wikipedia.org/wiki/2026_Iran%E2%80%93United_States_crisis</w:t>
      </w:r>
    </w:p>
    <w:bookmarkEnd w:id="27"/>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2026-05-26T12:25:15Z</dcterms:created>
  <dcterms:modified xsi:type="dcterms:W3CDTF">2026-05-26T12:25:15Z</dcterms:modified>
</cp:coreProperties>
</file>

<file path=docProps/custom.xml><?xml version="1.0" encoding="utf-8"?>
<Properties xmlns="http://schemas.openxmlformats.org/officeDocument/2006/custom-properties" xmlns:vt="http://schemas.openxmlformats.org/officeDocument/2006/docPropsVTypes"/>
</file>