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每日热点新闻-2026年5月14日"/>
    <w:p>
      <w:pPr>
        <w:pStyle w:val="Heading1"/>
      </w:pPr>
      <w:r>
        <w:rPr>
          <w:rFonts w:hint="eastAsia"/>
        </w:rPr>
        <w:t xml:space="preserve">日本每日热点新闻</w:t>
      </w:r>
      <w:r>
        <w:t xml:space="preserve"> — </w:t>
      </w:r>
      <w:r>
        <w:rPr>
          <w:rFonts w:hint="eastAsia"/>
        </w:rPr>
        <w:t xml:space="preserve">2026年5月14日</w:t>
      </w:r>
    </w:p>
    <w:bookmarkStart w:id="11" w:name="一经济与市场"/>
    <w:p>
      <w:pPr>
        <w:pStyle w:val="Heading2"/>
      </w:pPr>
      <w:r>
        <w:rPr>
          <w:rFonts w:hint="eastAsia"/>
        </w:rPr>
        <w:t xml:space="preserve">一、经济与市场</w:t>
      </w:r>
    </w:p>
    <w:bookmarkStart w:id="9" w:name="本田录得近70年首次年度营业亏损电动车战略折戟核销超90亿美元"/>
    <w:p>
      <w:pPr>
        <w:pStyle w:val="Heading3"/>
      </w:pPr>
      <w:r>
        <w:rPr>
          <w:rFonts w:hint="eastAsia"/>
        </w:rPr>
        <w:t xml:space="preserve">本田录得近70年首次年度营业亏损，电动车战略折戟核销超90亿美元</w:t>
      </w:r>
    </w:p>
    <w:p>
      <w:pPr>
        <w:pStyle w:val="FirstParagraph"/>
      </w:pPr>
      <w:r>
        <w:rPr>
          <w:rFonts w:hint="eastAsia"/>
        </w:rPr>
        <w:t xml:space="preserve">本田汽车周四公布上一财年营业亏损4143亿日元（约26.3亿美元），是这家自1957年上市以来近70年首次出现年度营业亏损，也大幅超过LSEG调查22位分析师预期的3156亿日元亏损中值。一年前，本田还录得1.2万亿日元的营业利润，净亏损4239亿日元则刷新了1977年开始合并报表以来的纪录。</w:t>
      </w:r>
    </w:p>
    <w:p>
      <w:pPr>
        <w:pStyle w:val="BodyText"/>
      </w:pPr>
      <w:r>
        <w:rPr>
          <w:rFonts w:hint="eastAsia"/>
        </w:rPr>
        <w:t xml:space="preserve">亏损的核心是电动车业务的战略性溃退。上一财年与电动化相关的损失合计1.45万亿日元，公司预计新财年还将再计提5000亿日元，电动化战略重估带来的潜在损失上限高达2.5万亿日元。本田一并取消了三款北美电动车型——Honda</w:t>
      </w:r>
      <w:r>
        <w:t xml:space="preserve"> 0 SUV、Honda 0 Saloon </w:t>
      </w:r>
      <w:r>
        <w:rPr>
          <w:rFonts w:hint="eastAsia"/>
        </w:rPr>
        <w:t xml:space="preserve">与讴歌RSX，转而宣布2027年起在全球推出13款新一代混合动力车型。</w:t>
      </w:r>
    </w:p>
    <w:p>
      <w:pPr>
        <w:pStyle w:val="BodyText"/>
      </w:pPr>
      <w:r>
        <w:rPr>
          <w:rFonts w:hint="eastAsia"/>
        </w:rPr>
        <w:t xml:space="preserve">社长三部敏宏将原因归结于美国”政府政策转向”——特朗普政府的关税与电动车税收抵免取消——以及在中国与亚洲其他市场”竞争力下滑”。他公开表态后悔未保留多元战略选项。今年3月，本田已先行预警这笔重组将带来约157亿美元的减值。摩托车业务仍保持盈利。公司预测下一财年可重回盈利，目标营业利润5000亿日元、净利润2600亿日元。一位分析师将其定性为”因战略转向而产生的一次性巨额亏损”。</w:t>
      </w:r>
    </w:p>
    <w:p>
      <w:pPr>
        <w:pStyle w:val="BodyText"/>
      </w:pPr>
      <w:r>
        <w:rPr>
          <w:b/>
          <w:bCs/>
        </w:rPr>
        <w:t xml:space="preserve">References</w:t>
      </w:r>
    </w:p>
    <w:p>
      <w:pPr>
        <w:pStyle w:val="BodyText"/>
      </w:pPr>
      <w:r>
        <w:t xml:space="preserve">[1] Leussink, D. (2026, May 14). Honda books first annual loss since listing in 1957 as it pares back EV plans. Reuters. https://finance.yahoo.com/markets/stocks/articles/honda-books-first-annual-loss-044312628.html</w:t>
      </w:r>
      <w:r>
        <w:t xml:space="preserve"> </w:t>
      </w:r>
      <w:r>
        <w:t xml:space="preserve">[2] Girault, J. (2026, May 14). Honda posts operating loss, first since 1957. Japan Today / AFP. https://japantoday.com/category/business/honda-posts-operating-loss-first-since-1957</w:t>
      </w:r>
      <w:r>
        <w:t xml:space="preserve"> </w:t>
      </w:r>
      <w:r>
        <w:t xml:space="preserve">[3] Nikkei Asia. (2026, May 14). Honda Motor posts first-ever annual loss since listing. MarketScreener. https://www.marketscreener.com/news/honda-motor-posts-first-ever-annual-loss-since-listing-ce7f5bddd988ff23</w:t>
      </w:r>
    </w:p>
    <w:p>
      <w:r>
        <w:pict>
          <v:rect style="width:0;height:1.5pt" o:hralign="center" o:hrstd="t" o:hr="t"/>
        </w:pict>
      </w:r>
    </w:p>
    <w:bookmarkEnd w:id="9"/>
    <w:bookmarkStart w:id="10" w:name="日本酝酿2026财年补充预算缓解家庭燃油与电费压力"/>
    <w:p>
      <w:pPr>
        <w:pStyle w:val="Heading3"/>
      </w:pPr>
      <w:r>
        <w:rPr>
          <w:rFonts w:hint="eastAsia"/>
        </w:rPr>
        <w:t xml:space="preserve">日本酝酿2026财年补充预算，缓解家庭燃油与电费压力</w:t>
      </w:r>
    </w:p>
    <w:p>
      <w:pPr>
        <w:pStyle w:val="FirstParagraph"/>
      </w:pPr>
      <w:r>
        <w:rPr>
          <w:rFonts w:hint="eastAsia"/>
        </w:rPr>
        <w:t xml:space="preserve">两位政府消息人士透露，日本正考虑编制2026财年补充预算，为家庭对冲不断攀升的燃油与公用事业费用。新预算将叠加在当下1万亿日元（约63.4亿美元）储备金之上，进一步加码已创下纪录的122万亿日元（约7730亿美元）2026财年正式预算——后者是首相高市早苗”积极财政”路线的旗舰。</w:t>
      </w:r>
    </w:p>
    <w:p>
      <w:pPr>
        <w:pStyle w:val="BodyText"/>
      </w:pPr>
      <w:r>
        <w:rPr>
          <w:rFonts w:hint="eastAsia"/>
        </w:rPr>
        <w:t xml:space="preserve">汽油补贴是焦点。自3月中旬恢复发放以来，每月数千亿日元的兑付节奏已让该专项资金到4月底降至约9800亿日元；政府同时在评估重启电费和天然气补贴，模式参照2022年俄乌冲突后对家庭的能源救助。高市早苗倾向于在6月中旬法国G7峰会前后做最终决定，此前她多次表态认为现有储备无需新增国债即可应对。</w:t>
      </w:r>
    </w:p>
    <w:p>
      <w:pPr>
        <w:pStyle w:val="BodyText"/>
      </w:pPr>
      <w:r>
        <w:rPr>
          <w:rFonts w:hint="eastAsia"/>
        </w:rPr>
        <w:t xml:space="preserve">债市已经定价。30年与40年期日本国债收益率随预期中的增发上行，美元兑日元位于157.83附近。OECD早前曾敦促日本将补充预算严格限定于重大外部冲击，以控制本就高企的债务负担。值得注意的是，2026年正式预算的扩张取向本身就是2月大选执政党取得绝对多数后的政策延伸——高市政府此前已推出21.3万亿日元综合经济刺激方案，其中11.7万亿日元用于生活成本支持，包括取消汽油暂定税率和能源补贴。</w:t>
      </w:r>
    </w:p>
    <w:p>
      <w:pPr>
        <w:pStyle w:val="BodyText"/>
      </w:pPr>
      <w:r>
        <w:rPr>
          <w:rFonts w:hint="eastAsia"/>
        </w:rPr>
        <w:t xml:space="preserve">瑞穗综合研究所高级经济学家坂井齐辅表示：</w:t>
      </w:r>
      <w:r>
        <w:rPr>
          <w:rFonts w:hint="eastAsia"/>
        </w:rPr>
        <w:t xml:space="preserve">“政府能编制额外预算这一事实本身在市场预期之内。关键在于规模。如果支出是定向的，可能只是数万亿日元的量级；如果上升到10万亿日元，市场感受会完全不同。”</w:t>
      </w:r>
    </w:p>
    <w:p>
      <w:pPr>
        <w:pStyle w:val="BodyText"/>
      </w:pPr>
      <w:r>
        <w:rPr>
          <w:b/>
          <w:bCs/>
        </w:rPr>
        <w:t xml:space="preserve">References</w:t>
      </w:r>
    </w:p>
    <w:p>
      <w:pPr>
        <w:pStyle w:val="BodyText"/>
      </w:pPr>
      <w:r>
        <w:t xml:space="preserve">[4] Yamaguchi, T., Kihara, T., &amp; Kihara, L. (2026, May 14). Japan is considering extra budget on rising fuel bills, sources say. Reuters. https://finance.yahoo.com/economy/policy/articles/japan-considering-extra-budget-rising-023816568.html</w:t>
      </w:r>
      <w:r>
        <w:t xml:space="preserve"> </w:t>
      </w:r>
      <w:r>
        <w:t xml:space="preserve">[5] FXStreet. (2026, May 14). Japan’s government mulls extra budget for FY 2026 to ease pressure of oil prices — Kyodo News. FXStreet. https://www.fxstreet.com/news/japans-government-mulls-extra-budget-for-fy-2026-to-ease-pressure-of-oil-prices-kyodo-news-202605140302</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3" w:name="二政治与外交"/>
    <w:p>
      <w:pPr>
        <w:pStyle w:val="Heading2"/>
      </w:pPr>
      <w:r>
        <w:rPr>
          <w:rFonts w:hint="eastAsia"/>
        </w:rPr>
        <w:t xml:space="preserve">二、政治与外交</w:t>
      </w:r>
    </w:p>
    <w:bookmarkStart w:id="12" w:name="自民党总务会通过再审制度修法案从根本上禁止检方抗告"/>
    <w:p>
      <w:pPr>
        <w:pStyle w:val="Heading3"/>
      </w:pPr>
      <w:r>
        <w:rPr>
          <w:rFonts w:hint="eastAsia"/>
        </w:rPr>
        <w:t xml:space="preserve">自民党总务会通过再审制度修法案，从根本上禁止检方抗告</w:t>
      </w:r>
    </w:p>
    <w:p>
      <w:pPr>
        <w:pStyle w:val="FirstParagraph"/>
      </w:pPr>
      <w:r>
        <w:rPr>
          <w:rFonts w:hint="eastAsia"/>
        </w:rPr>
        <w:t xml:space="preserve">自民党周四在临时总务会上正式通过《刑事诉讼法》修正案要点，从根本上禁止检察官对法院作出的再审开始决定提起抗告。政府计划5月15日内阁通过，随后提交国会，目标是在7月17日本届国会闭会前完成立法。</w:t>
      </w:r>
    </w:p>
    <w:p>
      <w:pPr>
        <w:pStyle w:val="BodyText"/>
      </w:pPr>
      <w:r>
        <w:rPr>
          <w:rFonts w:hint="eastAsia"/>
        </w:rPr>
        <w:t xml:space="preserve">法案文本经过三轮修订。改革派此前坚持把”禁止抗告”写进正文，而不是放在附则——这一要求被采纳，</w:t>
      </w:r>
      <w:r>
        <w:rPr>
          <w:rFonts w:hint="eastAsia"/>
        </w:rPr>
        <w:t xml:space="preserve">“原则禁止”</w:t>
      </w:r>
      <w:r>
        <w:rPr>
          <w:rFonts w:hint="eastAsia"/>
        </w:rPr>
        <w:t xml:space="preserve">的措辞最终落入主条款。自民党议员柴山昌彦、前地方法院法官村山浩昭等人主导推动。</w:t>
      </w:r>
    </w:p>
    <w:p>
      <w:pPr>
        <w:pStyle w:val="BodyText"/>
      </w:pPr>
      <w:r>
        <w:rPr>
          <w:rFonts w:hint="eastAsia"/>
        </w:rPr>
        <w:t xml:space="preserve">改革背后是袴田巖案。这位现年90岁的前职业拳击手曾是世界上服刑时间最长的死刑犯，2024年再审获判无罪；他的再审申请最终被法院受理之前足足走了40多年，仅再审开始决定本身就因检方反复抗告被拖了9年。静冈地方法院在再审判决中认定，警察与检察官曾合谋伪造证据将其入罪。</w:t>
      </w:r>
    </w:p>
    <w:p>
      <w:pPr>
        <w:pStyle w:val="BodyText"/>
      </w:pPr>
      <w:r>
        <w:rPr>
          <w:rFonts w:hint="eastAsia"/>
        </w:rPr>
        <w:t xml:space="preserve">跨党派350余名国会议员此前已联署推动修法，要求禁止抗告并强制审前全面证据开示。改革派将此次修法定性为”半步前进”——禁止抗告写进正文是突破，但证据开示规则等其他诉求仍未完全落地。</w:t>
      </w:r>
    </w:p>
    <w:p>
      <w:pPr>
        <w:pStyle w:val="BodyText"/>
      </w:pPr>
      <w:r>
        <w:rPr>
          <w:b/>
          <w:bCs/>
        </w:rPr>
        <w:t xml:space="preserve">References</w:t>
      </w:r>
    </w:p>
    <w:p>
      <w:pPr>
        <w:pStyle w:val="BodyText"/>
      </w:pPr>
      <w:r>
        <w:t xml:space="preserve">[6] Jiji Press. (2026, May 14). Japan’s ruling LDP formally OKs retrial system reform bill. Nippon.com. https://www.nippon.com/en/news/yjj2026051400113/japan-ruling-ldp-formally-oks-retrial-system-reform-bill.html</w:t>
      </w:r>
      <w:r>
        <w:t xml:space="preserve"> </w:t>
      </w:r>
      <w:r>
        <w:t xml:space="preserve">[7] Osaki, T. (2026, May 14). Japan takes</w:t>
      </w:r>
      <w:r>
        <w:t xml:space="preserve"> </w:t>
      </w:r>
      <w:r>
        <w:t xml:space="preserve">‘half-step’</w:t>
      </w:r>
      <w:r>
        <w:t xml:space="preserve"> </w:t>
      </w:r>
      <w:r>
        <w:t xml:space="preserve">toward fixing slow retrial system. Japan Today. https://japantoday.com/category/crime/japan-takes-%27half-step%27-toward-fixing-slow-retrial-system</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2"/>
    <w:bookmarkEnd w:id="13"/>
    <w:bookmarkStart w:id="15" w:name="三科技与产业"/>
    <w:p>
      <w:pPr>
        <w:pStyle w:val="Heading2"/>
      </w:pPr>
      <w:r>
        <w:rPr>
          <w:rFonts w:hint="eastAsia"/>
        </w:rPr>
        <w:t xml:space="preserve">三、科技与产业</w:t>
      </w:r>
    </w:p>
    <w:bookmarkStart w:id="14" w:name="日本三大银行获准接入anthropic受限网络安全模型mythos"/>
    <w:p>
      <w:pPr>
        <w:pStyle w:val="Heading3"/>
      </w:pPr>
      <w:r>
        <w:rPr>
          <w:rFonts w:hint="eastAsia"/>
        </w:rPr>
        <w:t xml:space="preserve">日本三大银行获准接入Anthropic受限网络安全模型Mythos</w:t>
      </w:r>
    </w:p>
    <w:p>
      <w:pPr>
        <w:pStyle w:val="FirstParagraph"/>
      </w:pPr>
      <w:r>
        <w:rPr>
          <w:rFonts w:hint="eastAsia"/>
        </w:rPr>
        <w:t xml:space="preserve">三菱日联银行、三井住友银行与瑞穗银行将在5月底获得Anthropic”Claude</w:t>
      </w:r>
      <w:r>
        <w:t xml:space="preserve"> </w:t>
      </w:r>
      <w:r>
        <w:rPr>
          <w:rFonts w:hint="eastAsia"/>
        </w:rPr>
        <w:t xml:space="preserve">Mythos”模型的访问权限。该模型此前严格受限，仅向Anthropic的美国合作伙伴开放——摩根大通是首批”玻璃翼计划”（Project</w:t>
      </w:r>
      <w:r>
        <w:t xml:space="preserve"> </w:t>
      </w:r>
      <w:r>
        <w:rPr>
          <w:rFonts w:hint="eastAsia"/>
        </w:rPr>
        <w:t xml:space="preserve">Glasswing）中唯一入选的银行，另有少数欧洲机构在列，AWS、苹果、谷歌、微软与英伟达均属同一圈层。日本企业获准接入尚属首次。</w:t>
      </w:r>
    </w:p>
    <w:p>
      <w:pPr>
        <w:pStyle w:val="BodyText"/>
      </w:pPr>
      <w:r>
        <w:rPr>
          <w:rFonts w:hint="eastAsia"/>
        </w:rPr>
        <w:t xml:space="preserve">突破发生在美国财长贝森特访日期间的多场会谈之后。Mythos的设计用途是防御性网络安全——识别软件漏洞——但Anthropic自己在预览阶段就用它在所有主流操作系统和浏览器中找出了数千个零日漏洞，引发了”防御工具同时是进攻武器”的争议。Anthropic通过部署限制禁止公开已发现的漏洞。</w:t>
      </w:r>
    </w:p>
    <w:p>
      <w:pPr>
        <w:pStyle w:val="BodyText"/>
      </w:pPr>
      <w:r>
        <w:rPr>
          <w:rFonts w:hint="eastAsia"/>
        </w:rPr>
        <w:t xml:space="preserve">日本财务大臣片山皋月宣布成立公私联合工作组，评估Mythos对日本金融体系的网络安全风险，首次会议定于5月14日召开。Anthropic目前正以超过9000亿美元的估值进行新一轮融资。三家大行均拒绝置评，三井住友CEO中岛达在财报会上仅称对相关访问权限”未有耳闻、不掌握细节”。</w:t>
      </w:r>
    </w:p>
    <w:p>
      <w:pPr>
        <w:pStyle w:val="BodyText"/>
      </w:pPr>
      <w:r>
        <w:rPr>
          <w:b/>
          <w:bCs/>
        </w:rPr>
        <w:t xml:space="preserve">References</w:t>
      </w:r>
    </w:p>
    <w:p>
      <w:pPr>
        <w:pStyle w:val="BodyText"/>
      </w:pPr>
      <w:r>
        <w:t xml:space="preserve">[8] The Japan Times. (2026, May 14). Japan megabanks to gain access to Anthropic’s Mythos. The Japan Times. https://www.japantimes.co.jp/business/2026/05/14/companies/japan-megabanks-mythos-access/</w:t>
      </w:r>
      <w:r>
        <w:t xml:space="preserve"> </w:t>
      </w:r>
      <w:r>
        <w:t xml:space="preserve">[9] Yamaguchi, T. (2026, May 13). Japan megabanks to gain access to Anthropic’s Mythos in about two weeks, source says. Reuters / Investing.com. https://www.investing.com/news/stock-market-news/japan-megabanks-to-gain-access-to-anthropics-mythos-in-about-two-weeks-source-says-4683163</w:t>
      </w:r>
      <w:r>
        <w:t xml:space="preserve"> </w:t>
      </w:r>
      <w:r>
        <w:t xml:space="preserve">[10] Umekawa, T. (2026, May 13). Japan’s megabanks set to win Mythos access after Bessent visit. Bloomberg. https://www.bloomberg.com/news/articles/2026-05-13/japan-s-megabanks-set-to-win-mythos-access-after-bessent-visit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四社会与民生"/>
    <w:p>
      <w:pPr>
        <w:pStyle w:val="Heading2"/>
      </w:pPr>
      <w:r>
        <w:rPr>
          <w:rFonts w:hint="eastAsia"/>
        </w:rPr>
        <w:t xml:space="preserve">四、社会与民生</w:t>
      </w:r>
    </w:p>
    <w:bookmarkStart w:id="16" w:name="日本团队发现延长中风康复窗口的候选药物瞄准zfp384蛋白"/>
    <w:p>
      <w:pPr>
        <w:pStyle w:val="Heading3"/>
      </w:pPr>
      <w:r>
        <w:rPr>
          <w:rFonts w:hint="eastAsia"/>
        </w:rPr>
        <w:t xml:space="preserve">日本团队发现延长中风康复窗口的候选药物，瞄准ZFP384蛋白</w:t>
      </w:r>
    </w:p>
    <w:p>
      <w:pPr>
        <w:pStyle w:val="FirstParagraph"/>
      </w:pPr>
      <w:r>
        <w:rPr>
          <w:rFonts w:hint="eastAsia"/>
        </w:rPr>
        <w:t xml:space="preserve">东京科学大学医学研究所教授七田崇带领的团队找到了一种候选药物，可将中风患者的运动功能恢复窗口推到通常的两个月之外。机制环节锁定在一种名为ZFP384的蛋白——正是它让脑内免疫细胞小胶质细胞停止分泌支持神经网络修复的胰岛素样生长因子1（IGF1）。</w:t>
      </w:r>
    </w:p>
    <w:p>
      <w:pPr>
        <w:pStyle w:val="BodyText"/>
      </w:pPr>
      <w:r>
        <w:rPr>
          <w:rFonts w:hint="eastAsia"/>
        </w:rPr>
        <w:t xml:space="preserve">中风后存活的神经细胞会借助小胶质细胞分泌的IGF1重建受损网络，让患者通过康复训练找回部分运动能力，但这条修复通路在中风约两个月后通常停摆。团队通过基因干预实验和死后中风患者脑组织样本，确认了ZFP384作为”刹车”开关的角色。候选药物通过抑制ZFP384的产生，让小胶质细胞继续释放IGF1。小鼠实验显示，恢复窗口确实被延长。</w:t>
      </w:r>
    </w:p>
    <w:p>
      <w:pPr>
        <w:pStyle w:val="BodyText"/>
      </w:pPr>
      <w:r>
        <w:rPr>
          <w:rFonts w:hint="eastAsia"/>
        </w:rPr>
        <w:t xml:space="preserve">此前国际同行的研究已经勾勒出小胶质细胞在中风急性期切换为修复模式、生产IGF1等神经营养因子的全过程，但解释”修复为何戛然而止”的具体分子开关一直缺失。锁定ZFP384为药物开发提供了清晰靶点。中风在日本是导致残疾的主要原因之一，对一个三分之一人口将在2040年达到65岁以上的国家，延长康复窗口意味着大量长期照护需求可能被改写。</w:t>
      </w:r>
    </w:p>
    <w:p>
      <w:pPr>
        <w:pStyle w:val="BodyText"/>
      </w:pPr>
      <w:r>
        <w:rPr>
          <w:b/>
          <w:bCs/>
        </w:rPr>
        <w:t xml:space="preserve">References</w:t>
      </w:r>
    </w:p>
    <w:p>
      <w:pPr>
        <w:pStyle w:val="BodyText"/>
      </w:pPr>
      <w:r>
        <w:t xml:space="preserve">[11] Jiji Press. (2026, May 14). Japan team finds substance to help keep post-stroke recovery. Nippon.com. https://www.nippon.com/en/news/yjj2026051400006/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19" w:name="五其他重要事件"/>
    <w:p>
      <w:pPr>
        <w:pStyle w:val="Heading2"/>
      </w:pPr>
      <w:r>
        <w:rPr>
          <w:rFonts w:hint="eastAsia"/>
        </w:rPr>
        <w:t xml:space="preserve">五、其他重要事件</w:t>
      </w:r>
    </w:p>
    <w:bookmarkStart w:id="18" w:name="熊袭击创纪录日本魔鬼狼机器狼订单暴增产能告急"/>
    <w:p>
      <w:pPr>
        <w:pStyle w:val="Heading3"/>
      </w:pPr>
      <w:r>
        <w:rPr>
          <w:rFonts w:hint="eastAsia"/>
        </w:rPr>
        <w:t xml:space="preserve">熊袭击创纪录，日本”魔鬼狼”机器狼订单暴增产能告急</w:t>
      </w:r>
    </w:p>
    <w:p>
      <w:pPr>
        <w:pStyle w:val="FirstParagraph"/>
      </w:pPr>
      <w:r>
        <w:rPr>
          <w:rFonts w:hint="eastAsia"/>
        </w:rPr>
        <w:t xml:space="preserve">北海道厂商太田精器生产的”魔鬼狼”（Monster</w:t>
      </w:r>
      <w:r>
        <w:t xml:space="preserve"> </w:t>
      </w:r>
      <w:r>
        <w:rPr>
          <w:rFonts w:hint="eastAsia"/>
        </w:rPr>
        <w:t xml:space="preserve">Wolf）机器狼今年至5月已收到约50单，超出过去一整年的常态销量。社长太田裕治表示：</w:t>
      </w:r>
      <w:r>
        <w:rPr>
          <w:rFonts w:hint="eastAsia"/>
        </w:rPr>
        <w:t xml:space="preserve">“我们是手工制作的，现在根本来不及做。我们只能请客户等两到三个月。”</w:t>
      </w:r>
    </w:p>
    <w:p>
      <w:pPr>
        <w:pStyle w:val="BodyText"/>
      </w:pPr>
      <w:r>
        <w:rPr>
          <w:rFonts w:hint="eastAsia"/>
        </w:rPr>
        <w:t xml:space="preserve">这台设备的样子并不复杂：管架外覆人造毛皮，红色眼睛闪烁，扬声器播放50多种录音——人声、狼嚎、低吼、电子声——传播半径约1公里。单价从60万日元（约3803美元）起，自带电池、太阳能板、传感器和LED照明。订单主要来自农户、高尔夫球场和山区施工现场。</w:t>
      </w:r>
    </w:p>
    <w:p>
      <w:pPr>
        <w:pStyle w:val="BodyText"/>
      </w:pPr>
      <w:r>
        <w:rPr>
          <w:rFonts w:hint="eastAsia"/>
        </w:rPr>
        <w:t xml:space="preserve">需求的根源是日本史无前例的熊害浪潮。本年度（2025-2026）已有13人在全国各地被熊咬死，超过往年纪录的两倍；全国目击通报超过5万次，是两年前所创纪录的两倍多；被捕获或扑杀的熊达到14601头，接近前一年度的三倍。背景是2025年橡子与山毛榉果实集体歉收叠加全国熊只数量从2012年的约1.5万头扩张至2025年估计的5.4万头，加之气候变化打乱了食物供应的时间节奏，迫使母熊带幼崽进入更远的人类活动范围觅食。</w:t>
      </w:r>
    </w:p>
    <w:p>
      <w:pPr>
        <w:pStyle w:val="BodyText"/>
      </w:pPr>
      <w:r>
        <w:rPr>
          <w:rFonts w:hint="eastAsia"/>
        </w:rPr>
        <w:t xml:space="preserve">环境省已在补充预算中划出34亿日元（约2200万美元）的”熊对策”专项，调动退役警察与自卫队员充任武装猎手并补贴地方政府购置陷阱和监测无人机。太田精器2016年推出第一代魔鬼狼，目前正开发可自动巡逻的轮式版本和供登山者、学童随身携带的手持版。</w:t>
      </w:r>
    </w:p>
    <w:p>
      <w:pPr>
        <w:pStyle w:val="BodyText"/>
      </w:pPr>
      <w:r>
        <w:rPr>
          <w:b/>
          <w:bCs/>
        </w:rPr>
        <w:t xml:space="preserve">References</w:t>
      </w:r>
    </w:p>
    <w:p>
      <w:pPr>
        <w:pStyle w:val="BodyText"/>
      </w:pPr>
      <w:r>
        <w:t xml:space="preserve">[12] AFP. (2026, May 14). Japan</w:t>
      </w:r>
      <w:r>
        <w:t xml:space="preserve"> </w:t>
      </w:r>
      <w:r>
        <w:t xml:space="preserve">‘robot wolves’</w:t>
      </w:r>
      <w:r>
        <w:t xml:space="preserve"> </w:t>
      </w:r>
      <w:r>
        <w:t xml:space="preserve">in high demand to scare off bears. Japan Today. https://japantoday.com/category/national/japan-%27robot-wolves%27-in-high-demand-to-scare-off-bears</w:t>
      </w:r>
      <w:r>
        <w:t xml:space="preserve"> </w:t>
      </w:r>
      <w:r>
        <w:t xml:space="preserve">[13] AFP. (2026, May 14). Japan</w:t>
      </w:r>
      <w:r>
        <w:t xml:space="preserve"> </w:t>
      </w:r>
      <w:r>
        <w:t xml:space="preserve">‘robot wolves’</w:t>
      </w:r>
      <w:r>
        <w:t xml:space="preserve"> </w:t>
      </w:r>
      <w:r>
        <w:t xml:space="preserve">in high demand to scare off bears. Taipei Times. https://www.taipeitimes.com/News/world/archives/2026/05/14/2003857330</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2026-05-14T08:25:48Z</dcterms:created>
  <dcterms:modified xsi:type="dcterms:W3CDTF">2026-05-14T08:25:48Z</dcterms:modified>
</cp:coreProperties>
</file>

<file path=docProps/custom.xml><?xml version="1.0" encoding="utf-8"?>
<Properties xmlns="http://schemas.openxmlformats.org/officeDocument/2006/custom-properties" xmlns:vt="http://schemas.openxmlformats.org/officeDocument/2006/docPropsVTypes"/>
</file>