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4b273c772d83aab0e48f34b36ae8345c452533"/>
    <w:p>
      <w:pPr>
        <w:pStyle w:val="Heading1"/>
      </w:pPr>
      <w:r>
        <w:t xml:space="preserve">United Kingdom Daily News Intelligence — June 25, 2026</w:t>
      </w:r>
    </w:p>
    <w:bookmarkStart w:id="12" w:name="economy-markets"/>
    <w:p>
      <w:pPr>
        <w:pStyle w:val="Heading2"/>
      </w:pPr>
      <w:r>
        <w:t xml:space="preserve">1. Economy &amp; Markets</w:t>
      </w:r>
    </w:p>
    <w:bookmarkStart w:id="9" w:name="Xd0268daf6b711545aab20052cd9434eb8807647"/>
    <w:p>
      <w:pPr>
        <w:pStyle w:val="Heading3"/>
      </w:pPr>
      <w:r>
        <w:t xml:space="preserve">Bank of England Sets Out Digital Pound Design Phase and Faster Payments Modernisation Plans</w:t>
      </w:r>
    </w:p>
    <w:p>
      <w:pPr>
        <w:pStyle w:val="FirstParagraph"/>
      </w:pPr>
      <w:r>
        <w:t xml:space="preserve">The Bank of England released its Retail Payments Innovation Briefing on 25 June 2026, structured around three main pillars. The first confirms that the digital pound — a retail central bank digital currency — remains in an active design phase, with the Bank continuing to work alongside HM Treasury on the legislative underpinning. No launch decision has been taken. The design phase that began under a 2023 consultation runs its course this summer, with a blueprint and cost-benefit assessment due before any joint Bank–Treasury verdict on whether to proceed; officials have repeatedly said the earliest possible issuance would fall in the second half of the decade.</w:t>
      </w:r>
    </w:p>
    <w:p>
      <w:pPr>
        <w:pStyle w:val="BodyText"/>
      </w:pPr>
      <w:r>
        <w:t xml:space="preserve">The second pillar covers the modernisation of the Faster Payments infrastructure, the real-time interbank system that has cleared account-to-account transfers since 2008. The briefing signals a shift in stewardship away from Pay.UK toward a renewed architecture, part of a long-running effort to replace ageing rails with a system able to handle higher volumes and richer data. The third pillar details the Bank’s engagement with the Payment Systems Regulator and the Financial Conduct Authority on open banking, focusing on access and interoperability standards.</w:t>
      </w:r>
    </w:p>
    <w:p>
      <w:pPr>
        <w:pStyle w:val="BodyText"/>
      </w:pPr>
      <w:r>
        <w:rPr>
          <w:b/>
          <w:bCs/>
        </w:rPr>
        <w:t xml:space="preserve">References</w:t>
      </w:r>
    </w:p>
    <w:p>
      <w:pPr>
        <w:pStyle w:val="BodyText"/>
      </w:pPr>
      <w:r>
        <w:t xml:space="preserve">[1] Bank of England. (2026, June 25). Retail Payments Innovation Briefing — June 2026. Bank of England. https://www.bankofengland.co.uk/payment-and-settlement/2026/retail-payments-innovation-briefing-june-2026</w:t>
      </w:r>
    </w:p>
    <w:p>
      <w:pPr>
        <w:pStyle w:val="BodyText"/>
      </w:pPr>
      <w:r>
        <w:t xml:space="preserve">[2] Finextra. (2026, June 25). BoE sets out instant payment modernisation plans. Finextra. https://www.finextra.com/newsarticle/boe-instant-payment-modernisation-june-2026</w:t>
      </w:r>
    </w:p>
    <w:p>
      <w:pPr>
        <w:pStyle w:val="BodyText"/>
      </w:pPr>
      <w:r>
        <w:t xml:space="preserve">[3] Bank of England. (2025, October). Digital pound update. Bank of England. https://www.bankofengland.co.uk/report/2025/digital-pound-update-october</w:t>
      </w:r>
    </w:p>
    <w:p>
      <w:r>
        <w:pict>
          <v:rect style="width:0;height:1.5pt" o:hralign="center" o:hrstd="t" o:hr="t"/>
        </w:pict>
      </w:r>
    </w:p>
    <w:bookmarkEnd w:id="9"/>
    <w:bookmarkStart w:id="10" w:name="Xd0e26ff98aab521fdf2694df8218eba54e931b9"/>
    <w:p>
      <w:pPr>
        <w:pStyle w:val="Heading3"/>
      </w:pPr>
      <w:r>
        <w:t xml:space="preserve">Treasury Cuts Hospitality VAT to 12.5 Percent for July and August Under Great British Summer Savings</w:t>
      </w:r>
    </w:p>
    <w:p>
      <w:pPr>
        <w:pStyle w:val="FirstParagraph"/>
      </w:pPr>
      <w:r>
        <w:t xml:space="preserve">The UK government announced on 25 June 2026 a temporary reduction in Value Added Tax for hospitality, accommodation and visitor-attraction businesses, branded</w:t>
      </w:r>
      <w:r>
        <w:t xml:space="preserve"> </w:t>
      </w:r>
      <w:r>
        <w:t xml:space="preserve">“Great British Summer Savings.”</w:t>
      </w:r>
      <w:r>
        <w:t xml:space="preserve"> </w:t>
      </w:r>
      <w:r>
        <w:t xml:space="preserve">The scheme reduces the applicable VAT rate to 12.5 percent for those sectors, down from the standard 20 percent, effective from 1 July through 31 August 2026. Alcohol remains taxed at the standard rate. Treasury modelling cited in the press release estimates the direct fiscal cost at approximately £1.2 billion for the two-month period.</w:t>
      </w:r>
    </w:p>
    <w:p>
      <w:pPr>
        <w:pStyle w:val="BodyText"/>
      </w:pPr>
      <w:r>
        <w:t xml:space="preserve">The mechanism echoes the pandemic-era relief, when the Treasury cut the hospitality rate to 5 percent in July 2020 before stepping it up to 12.5 percent and finally back to 20 percent in April 2022 — a package that ultimately cost over £8 billion. UK Hospitality has campaigned for a permanently lower rate ever since. The trade body’s chief executive said the cut would</w:t>
      </w:r>
      <w:r>
        <w:t xml:space="preserve"> </w:t>
      </w:r>
      <w:r>
        <w:t xml:space="preserve">“provide a meaningful boost to cash flow at a time when many operators are still managing energy cost pressures and subdued consumer confidence.”</w:t>
      </w:r>
    </w:p>
    <w:p>
      <w:pPr>
        <w:pStyle w:val="BodyText"/>
      </w:pPr>
      <w:r>
        <w:rPr>
          <w:b/>
          <w:bCs/>
        </w:rPr>
        <w:t xml:space="preserve">References</w:t>
      </w:r>
    </w:p>
    <w:p>
      <w:pPr>
        <w:pStyle w:val="BodyText"/>
      </w:pPr>
      <w:r>
        <w:t xml:space="preserve">[4] GOV.UK. (2026, June 25). Great British Summer Savings: VAT cut for July and August 2026. GOV.UK. https://www.gov.uk/government/news/great-british-summer-savings-vat-cut-july-august-2026</w:t>
      </w:r>
    </w:p>
    <w:p>
      <w:pPr>
        <w:pStyle w:val="BodyText"/>
      </w:pPr>
      <w:r>
        <w:t xml:space="preserve">[5] House of Commons Library. (2025). VAT on tourism and hospitality services. UK Parliament. https://commonslibrary.parliament.uk/research-briefings/sn06812/</w:t>
      </w:r>
    </w:p>
    <w:p>
      <w:r>
        <w:pict>
          <v:rect style="width:0;height:1.5pt" o:hralign="center" o:hrstd="t" o:hr="t"/>
        </w:pict>
      </w:r>
    </w:p>
    <w:bookmarkEnd w:id="10"/>
    <w:bookmarkStart w:id="11" w:name="Xa092302836a46a8103435f26705ed278dc3d8e2"/>
    <w:p>
      <w:pPr>
        <w:pStyle w:val="Heading3"/>
      </w:pPr>
      <w:r>
        <w:t xml:space="preserve">Homes England Reports 52,700 Completions in First Quarter, Up 12 Percent Year-on-Year</w:t>
      </w:r>
    </w:p>
    <w:p>
      <w:pPr>
        <w:pStyle w:val="FirstParagraph"/>
      </w:pPr>
      <w:r>
        <w:t xml:space="preserve">Homes England published its quarterly housebuilding statistics for Q1 2026 on 25 June 2026, showing that 52,700 new homes were completed in England in the January to March quarter, a 12 percent increase compared with the same period in 2025. Affordable housing completions rose by 9 percent year-on-year to 14,200 units in the quarter, of which 6,400 were for social rent — the tenure with the deepest discount to market rent and the longest waiting lists. Housing starts totalled 47,100 in Q1 2026, a 3 percent rise year-on-year.</w:t>
      </w:r>
    </w:p>
    <w:p>
      <w:pPr>
        <w:pStyle w:val="BodyText"/>
      </w:pPr>
      <w:r>
        <w:t xml:space="preserve">The figures feed into the government’s stated target of building 1.5 million homes over the current Parliament. Cumulative delivery since July 2024 now stands at approximately 210,000 completions, leaving a substantial gap against the implied annual run-rate needed to reach the goal. The quarterly rise in social rent in particular signals where grant funding is being directed, after years in which affordable supply skewed toward shared ownership and intermediate tenures.</w:t>
      </w:r>
    </w:p>
    <w:p>
      <w:pPr>
        <w:pStyle w:val="BodyText"/>
      </w:pPr>
      <w:r>
        <w:rPr>
          <w:b/>
          <w:bCs/>
        </w:rPr>
        <w:t xml:space="preserve">References</w:t>
      </w:r>
    </w:p>
    <w:p>
      <w:pPr>
        <w:pStyle w:val="BodyText"/>
      </w:pPr>
      <w:r>
        <w:t xml:space="preserve">[6] Homes England. (2026, June 25). Homes England completions, quarterly: 2026 Q1. GOV.UK. https://www.gov.uk/government/statistics/homes-england-completions-quarterly-2026-q1</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691babb21f7fab0fd099a69f8d6cde8addf1cb3"/>
    <w:p>
      <w:pPr>
        <w:pStyle w:val="Heading3"/>
      </w:pPr>
      <w:r>
        <w:t xml:space="preserve">Government Publishes Draft Conversion Practices Prohibition Bill for Pre-Legislative Scrutiny</w:t>
      </w:r>
    </w:p>
    <w:p>
      <w:pPr>
        <w:pStyle w:val="FirstParagraph"/>
      </w:pPr>
      <w:r>
        <w:t xml:space="preserve">The UK government published the draft Conversion Practices (Prohibition) Bill on 25 June 2026, opening it to pre-legislative scrutiny. The bill creates a criminal offence carrying a maximum custodial sentence of five years for the most serious cases, and applies to England and Wales, with the government saying the framework is aligned with parallel approaches in Scotland and Northern Ireland. Draft provisions carve out exemptions for legitimate therapeutic, religious and pastoral support, and for free expression, where these are carried out without coercion.</w:t>
      </w:r>
    </w:p>
    <w:p>
      <w:pPr>
        <w:pStyle w:val="BodyText"/>
      </w:pPr>
      <w:r>
        <w:t xml:space="preserve">A statutory ban has been promised — and dropped — by successive governments since Theresa May first proposed one in 2018; Boris Johnson removed the transgender element in 2022, and the policy stalled again under Rishi Sunak. The current draft is trans-inclusive, covering attempts to change either sexual orientation or gender identity, and arrives after the government missed its own King’s Speech timeline for publication earlier in 2026. Pre-legislative scrutiny lets a committee of parliamentarians take evidence on the contested definitional boundaries before a bill is formally introduced.</w:t>
      </w:r>
    </w:p>
    <w:p>
      <w:pPr>
        <w:pStyle w:val="BodyText"/>
      </w:pPr>
      <w:r>
        <w:rPr>
          <w:b/>
          <w:bCs/>
        </w:rPr>
        <w:t xml:space="preserve">References</w:t>
      </w:r>
    </w:p>
    <w:p>
      <w:pPr>
        <w:pStyle w:val="BodyText"/>
      </w:pPr>
      <w:r>
        <w:t xml:space="preserve">[7] GOV.UK. (2026, June 25). Conversion Practices (Prohibition) Bill: draft. GOV.UK. https://www.gov.uk/government/publications/conversion-practices-prohibition-bill-draft-2026</w:t>
      </w:r>
    </w:p>
    <w:p>
      <w:pPr>
        <w:pStyle w:val="BodyText"/>
      </w:pPr>
      <w:r>
        <w:t xml:space="preserve">[8] Stonewall UK. (2026). Government fails to meet timeline to ban conversion practices. Stonewall UK. https://www.stonewall.org.uk/news/government-fails-to-meet-timeline-to-ban-conversion-practices</w:t>
      </w:r>
    </w:p>
    <w:p>
      <w:r>
        <w:pict>
          <v:rect style="width:0;height:1.5pt" o:hralign="center" o:hrstd="t" o:hr="t"/>
        </w:pict>
      </w:r>
    </w:p>
    <w:bookmarkEnd w:id="13"/>
    <w:bookmarkStart w:id="14" w:name="X97e2e0ecd5dd3503cb21db5e77a07761d736db8"/>
    <w:p>
      <w:pPr>
        <w:pStyle w:val="Heading3"/>
      </w:pPr>
      <w:r>
        <w:t xml:space="preserve">Rachel Reeves Endorses Andy Burnham in Labour Leadership Contest Triggered by Starmer Resignation</w:t>
      </w:r>
    </w:p>
    <w:p>
      <w:pPr>
        <w:pStyle w:val="FirstParagraph"/>
      </w:pPr>
      <w:r>
        <w:t xml:space="preserve">Rachel Reeves, Chancellor of the Exchequer, publicly endorsed Andy Burnham as her preferred candidate in the Labour Party leadership contest on 25 June 2026, saying he had</w:t>
      </w:r>
      <w:r>
        <w:t xml:space="preserve"> </w:t>
      </w:r>
      <w:r>
        <w:t xml:space="preserve">“the experience, the vision and the economic credibility to lead Labour back into Government.”</w:t>
      </w:r>
      <w:r>
        <w:t xml:space="preserve"> </w:t>
      </w:r>
      <w:r>
        <w:t xml:space="preserve">The contest was triggered by Sir Keir Starmer’s resignation as party leader on 22 June 2026. Nominations for the leadership close in mid-July, with a result expected in September.</w:t>
      </w:r>
    </w:p>
    <w:p>
      <w:pPr>
        <w:pStyle w:val="BodyText"/>
      </w:pPr>
      <w:r>
        <w:t xml:space="preserve">Burnham, who served as mayor of Greater Manchester from 2017, engineered his route back to Westminster through a by-election in Makerfield, winning the seat with a majority of more than 9,200 and being sworn in on the same day Starmer announced his departure. He had been the front-runner before the contest even formally opened. Reeves’s backing matters beyond a single nomination: as the Chancellor who set the government’s fiscal rules, her endorsement frames Burnham as a candidate of continuity rather than rupture on economic policy, blunting any expectation that a new leader would tear up the spending framework.</w:t>
      </w:r>
    </w:p>
    <w:p>
      <w:pPr>
        <w:pStyle w:val="BodyText"/>
      </w:pPr>
      <w:r>
        <w:rPr>
          <w:b/>
          <w:bCs/>
        </w:rPr>
        <w:t xml:space="preserve">References</w:t>
      </w:r>
    </w:p>
    <w:p>
      <w:pPr>
        <w:pStyle w:val="BodyText"/>
      </w:pPr>
      <w:r>
        <w:t xml:space="preserve">[9] Reuters. (2026, June 25). Reeves backs Burnham in UK Labour leadership race. U.S. News &amp; World Report. https://www.usnews.com/news/world/articles/2026-06-25/reeves-backs-burnham-uk-labour-leadership</w:t>
      </w:r>
    </w:p>
    <w:p>
      <w:pPr>
        <w:pStyle w:val="BodyText"/>
      </w:pPr>
      <w:r>
        <w:t xml:space="preserve">[10] CNN. (2026, June 20). Andy Burnham: The charismatic mayor who’s likely to be Britain’s next prime minister. CNN. https://www.cnn.com/2026/06/20/uk/andy-burnham-profile-makerfield-intl</w:t>
      </w:r>
    </w:p>
    <w:p>
      <w:r>
        <w:pict>
          <v:rect style="width:0;height:1.5pt" o:hralign="center" o:hrstd="t" o:hr="t"/>
        </w:pict>
      </w:r>
    </w:p>
    <w:bookmarkEnd w:id="14"/>
    <w:bookmarkStart w:id="15" w:name="Xf444e8749cc3f61b9aaa6ba771f820e4cf4ae46"/>
    <w:p>
      <w:pPr>
        <w:pStyle w:val="Heading3"/>
      </w:pPr>
      <w:r>
        <w:t xml:space="preserve">Parliament Marks Windrush Day with Debate as Health and Social Care Bill Clears Report Stage</w:t>
      </w:r>
    </w:p>
    <w:p>
      <w:pPr>
        <w:pStyle w:val="FirstParagraph"/>
      </w:pPr>
      <w:r>
        <w:t xml:space="preserve">The UK Parliament on 25 June 2026 marked Windrush Day with a Westminster Hall debate examining the progress of the Windrush Compensation Scheme. As of May 2026, the total amount paid out under the scheme since its 2019 launch has reached approximately £78 million across roughly 4,200 individual payments — figures that have drawn sustained criticism from campaigners who say disbursement has been too slow relative to the number of people wrongly classified as unlawful residents in the original scandal.</w:t>
      </w:r>
    </w:p>
    <w:p>
      <w:pPr>
        <w:pStyle w:val="BodyText"/>
      </w:pPr>
      <w:r>
        <w:t xml:space="preserve">On the same sitting day, the Health and Social Care Bill passed its Report Stage in the Commons, clearing one of the final hurdles before Third Reading. The bill addresses NHS workforce planning, the governance of integrated care systems, and the regulation of independent providers delivering NHS-funded care. Report Stage is the point at which the whole House can amend the bill after line-by-line committee examination, making it the last substantive opportunity for backbench changes before it heads to the Lords.</w:t>
      </w:r>
    </w:p>
    <w:p>
      <w:pPr>
        <w:pStyle w:val="BodyText"/>
      </w:pPr>
      <w:r>
        <w:rPr>
          <w:b/>
          <w:bCs/>
        </w:rPr>
        <w:t xml:space="preserve">References</w:t>
      </w:r>
    </w:p>
    <w:p>
      <w:pPr>
        <w:pStyle w:val="BodyText"/>
      </w:pPr>
      <w:r>
        <w:t xml:space="preserve">[11] UK Parliament. (2026, June 25). Windrush Day parliamentary debate, 25 June 2026. UK Parliament. https://www.parliament.uk/business/news/2026/june/windrush-day-parliamentary-debate-25-june-2026/</w:t>
      </w:r>
    </w:p>
    <w:p>
      <w:r>
        <w:pict>
          <v:rect style="width:0;height:1.5pt" o:hralign="center" o:hrstd="t" o:hr="t"/>
        </w:pict>
      </w:r>
    </w:p>
    <w:bookmarkEnd w:id="15"/>
    <w:bookmarkEnd w:id="16"/>
    <w:bookmarkStart w:id="18" w:name="technology-industry"/>
    <w:p>
      <w:pPr>
        <w:pStyle w:val="Heading2"/>
      </w:pPr>
      <w:r>
        <w:t xml:space="preserve">3. Technology &amp; Industry</w:t>
      </w:r>
    </w:p>
    <w:bookmarkStart w:id="17" w:name="X495a4bbc2a98b0f9c04bd14f4a82eeb9094cfcc"/>
    <w:p>
      <w:pPr>
        <w:pStyle w:val="Heading3"/>
      </w:pPr>
      <w:r>
        <w:t xml:space="preserve">Youth Justice Board Report Links Online Violent Content to Youth Offending, Urges Tighter Platform Duties</w:t>
      </w:r>
    </w:p>
    <w:p>
      <w:pPr>
        <w:pStyle w:val="FirstParagraph"/>
      </w:pPr>
      <w:r>
        <w:t xml:space="preserve">The Youth Justice Board for England and Wales published a research report on 25 June 2026 based on a study of approximately 1,200 young people in the youth justice system. It found that 68 percent had been exposed to violent content online in the 12 months prior to their most serious recorded offence, and that 41 percent reported that online content had directly influenced or reinforced behaviour leading to offending. The Board frames the findings as evidence that existing safeguards are not reaching the highest-risk cohort of children.</w:t>
      </w:r>
    </w:p>
    <w:p>
      <w:pPr>
        <w:pStyle w:val="BodyText"/>
      </w:pPr>
      <w:r>
        <w:t xml:space="preserve">The report calls for tougher use of powers under the Online Safety Act 2023 to require platforms to filter harmful material, and recommends that Ofcom’s Children’s Safety Codes be reviewed and strengthened within 12 months. The Online Safety Act, which received Royal Assent in 2023, made Ofcom the regulator for illegal and harmful content and gave it authority to enforce child-safety duties on the largest platforms. The NSPCC indirectly described the findings as compelling evidence for action.</w:t>
      </w:r>
    </w:p>
    <w:p>
      <w:pPr>
        <w:pStyle w:val="BodyText"/>
      </w:pPr>
      <w:r>
        <w:rPr>
          <w:b/>
          <w:bCs/>
        </w:rPr>
        <w:t xml:space="preserve">References</w:t>
      </w:r>
    </w:p>
    <w:p>
      <w:pPr>
        <w:pStyle w:val="BodyText"/>
      </w:pPr>
      <w:r>
        <w:t xml:space="preserve">[12] Youth Justice Board for England and Wales. (2026, June 25). Online harms and young people in the youth justice system. GOV.UK. https://www.gov.uk/government/publications/yjb-online-harms-young-people-report-2026</w:t>
      </w:r>
    </w:p>
    <w:p>
      <w:pPr>
        <w:pStyle w:val="BodyText"/>
      </w:pPr>
      <w:r>
        <w:rPr>
          <w:i/>
          <w:iCs/>
        </w:rPr>
        <w:t xml:space="preserve">Note: only 1 story met T1-T4 standards for this category today.</w:t>
      </w:r>
    </w:p>
    <w:p>
      <w:r>
        <w:pict>
          <v:rect style="width:0;height:1.5pt" o:hralign="center" o:hrstd="t" o:hr="t"/>
        </w:pict>
      </w:r>
    </w:p>
    <w:bookmarkEnd w:id="17"/>
    <w:bookmarkEnd w:id="18"/>
    <w:bookmarkStart w:id="22" w:name="society-livelihood"/>
    <w:p>
      <w:pPr>
        <w:pStyle w:val="Heading2"/>
      </w:pPr>
      <w:r>
        <w:t xml:space="preserve">4. Society &amp; Livelihood</w:t>
      </w:r>
    </w:p>
    <w:bookmarkStart w:id="19" w:name="Xf7a1bd562d52e06dde43d3a4281ca4fd99d1547"/>
    <w:p>
      <w:pPr>
        <w:pStyle w:val="Heading3"/>
      </w:pPr>
      <w:r>
        <w:t xml:space="preserve">Met Office Confirms 36.4°C at Heathrow as Hottest of 2026, Red Heat-Health Alert Issued</w:t>
      </w:r>
    </w:p>
    <w:p>
      <w:pPr>
        <w:pStyle w:val="FirstParagraph"/>
      </w:pPr>
      <w:r>
        <w:t xml:space="preserve">The Met Office confirmed on the morning of 25 June 2026 a provisional maximum of 36.4°C observed at Heathrow, alongside 35.9°C at Wisley in Surrey — the highest temperatures recorded in England so far in 2026. The heat is being driven by a high-pressure system drawing hot air north from Iberia and North Africa. The UK Health Security Agency escalated its Heat-Health Alert to red level for London, the South East, the South West and the East of England, the most severe rung of a system that warns of risk to life across the whole population rather than only the vulnerable.</w:t>
      </w:r>
    </w:p>
    <w:p>
      <w:pPr>
        <w:pStyle w:val="BodyText"/>
      </w:pPr>
      <w:r>
        <w:t xml:space="preserve">NHS England issued operational guidance to trust chief executives on the same day, activating heat protocols across hospitals already running near capacity. Network Rail issued speed restrictions on affected rail routes, a standard response to steel rail temperatures that can run far above air temperature and risk buckling track. The red alert places the day among a small number of episodes since the warning framework was overhauled following the record-breaking 40.3°C reached in July 2022.</w:t>
      </w:r>
    </w:p>
    <w:p>
      <w:pPr>
        <w:pStyle w:val="BodyText"/>
      </w:pPr>
      <w:r>
        <w:rPr>
          <w:b/>
          <w:bCs/>
        </w:rPr>
        <w:t xml:space="preserve">References</w:t>
      </w:r>
    </w:p>
    <w:p>
      <w:pPr>
        <w:pStyle w:val="BodyText"/>
      </w:pPr>
      <w:r>
        <w:t xml:space="preserve">[13] Met Office. (2026, June 25). Met Office confirms England temperature record, 25 June 2026. Wired-Gov. https://www.wired-gov.net/wg/news.nsf/articles/Met+Office+confirms+England+temperature+record+25+June+2026_25062026111500</w:t>
      </w:r>
    </w:p>
    <w:p>
      <w:r>
        <w:pict>
          <v:rect style="width:0;height:1.5pt" o:hralign="center" o:hrstd="t" o:hr="t"/>
        </w:pict>
      </w:r>
    </w:p>
    <w:bookmarkEnd w:id="19"/>
    <w:bookmarkStart w:id="20" w:name="X1120a4cb810da014d59328925a3841063fb2631"/>
    <w:p>
      <w:pPr>
        <w:pStyle w:val="Heading3"/>
      </w:pPr>
      <w:r>
        <w:t xml:space="preserve">RMT Begins 48-Hour Strike Across Heavy Haul Rail Freight Networks</w:t>
      </w:r>
    </w:p>
    <w:p>
      <w:pPr>
        <w:pStyle w:val="FirstParagraph"/>
      </w:pPr>
      <w:r>
        <w:t xml:space="preserve">The RMT commenced a 48-hour strike affecting heavy haul rail freight operations, running from 00:01 on 25 June to 23:59 on 26 June. The action covers members at freight operating companies including DB Cargo UK, Freightliner and GB Railfreight, and targets bulk freight flows — aggregates, coal, steel and intermodal containers — rather than passenger services. Members rejected a pay offer the union characterised as below inflation. Network Rail confirmed heavy haul freight traffic would be significantly disrupted for the duration.</w:t>
      </w:r>
    </w:p>
    <w:p>
      <w:pPr>
        <w:pStyle w:val="BodyText"/>
      </w:pPr>
      <w:r>
        <w:t xml:space="preserve">Heavy haul freight is a less visible but economically sensitive corner of the network: aggregates feed construction sites, intermodal moves containers between deep-sea ports and inland terminals, and coal and steel supply industrial users, so a two-day stoppage compresses scheduled deliveries into a backlog that takes days to clear. The RMT General Secretary said the union remained</w:t>
      </w:r>
      <w:r>
        <w:t xml:space="preserve"> </w:t>
      </w:r>
      <w:r>
        <w:t xml:space="preserve">“ready to return to the table,”</w:t>
      </w:r>
      <w:r>
        <w:t xml:space="preserve"> </w:t>
      </w:r>
      <w:r>
        <w:t xml:space="preserve">signalling that the strike is a pressure tactic rather than a breakdown in talks.</w:t>
      </w:r>
    </w:p>
    <w:p>
      <w:pPr>
        <w:pStyle w:val="BodyText"/>
      </w:pPr>
      <w:r>
        <w:rPr>
          <w:b/>
          <w:bCs/>
        </w:rPr>
        <w:t xml:space="preserve">References</w:t>
      </w:r>
    </w:p>
    <w:p>
      <w:pPr>
        <w:pStyle w:val="BodyText"/>
      </w:pPr>
      <w:r>
        <w:t xml:space="preserve">[14] RMT. (2026, June 25). RMT announces heavy haul freight strike, June 2026. RMT. https://www.rmt.org.uk/news/rmt-announces-heavy-haul-freight-strike-june-2026/</w:t>
      </w:r>
    </w:p>
    <w:p>
      <w:r>
        <w:pict>
          <v:rect style="width:0;height:1.5pt" o:hralign="center" o:hrstd="t" o:hr="t"/>
        </w:pict>
      </w:r>
    </w:p>
    <w:bookmarkEnd w:id="20"/>
    <w:bookmarkStart w:id="21" w:name="X945ab71dceb7a654f03a0c77dd477c10ee4a58d"/>
    <w:p>
      <w:pPr>
        <w:pStyle w:val="Heading3"/>
      </w:pPr>
      <w:r>
        <w:t xml:space="preserve">ONS Graduate Earnings Data Exposes Wide Subject Pay Gaps as Government Launches Choose Carefully Campaign</w:t>
      </w:r>
    </w:p>
    <w:p>
      <w:pPr>
        <w:pStyle w:val="FirstParagraph"/>
      </w:pPr>
      <w:r>
        <w:t xml:space="preserve">The government published updated statistics on graduate earnings by subject on 25 June 2026, showing pronounced divergence five years after graduation. Median annual earnings for graduates in medicine and dentistry reached £52,000, against engineering at £38,500 and computer science at £37,200. At the other end, the median was £27,400 for arts and humanities graduates and £26,800 for creative arts graduates — a near-doubling gap between the top and bottom subjects. The pattern has widened compared with equivalent data published three years ago.</w:t>
      </w:r>
    </w:p>
    <w:p>
      <w:pPr>
        <w:pStyle w:val="BodyText"/>
      </w:pPr>
      <w:r>
        <w:t xml:space="preserve">The Department for Education simultaneously launched a public information campaign titled</w:t>
      </w:r>
      <w:r>
        <w:t xml:space="preserve"> </w:t>
      </w:r>
      <w:r>
        <w:t xml:space="preserve">“Choose Carefully,”</w:t>
      </w:r>
      <w:r>
        <w:t xml:space="preserve"> </w:t>
      </w:r>
      <w:r>
        <w:t xml:space="preserve">directing prospective students to a new comparison tool on the UCAS website. The framing reflects a policy direction that increasingly treats degree choice as an investment decision with measurable returns, and follows years of debate over the value of lower-earning courses against the backdrop of student-loan repayment thresholds tied to post-graduation income.</w:t>
      </w:r>
    </w:p>
    <w:p>
      <w:pPr>
        <w:pStyle w:val="BodyText"/>
      </w:pPr>
      <w:r>
        <w:rPr>
          <w:b/>
          <w:bCs/>
        </w:rPr>
        <w:t xml:space="preserve">References</w:t>
      </w:r>
    </w:p>
    <w:p>
      <w:pPr>
        <w:pStyle w:val="BodyText"/>
      </w:pPr>
      <w:r>
        <w:t xml:space="preserve">[15] Department for Education. (2026, June 25). Graduate outcomes: earnings by subject, 2026. GOV.UK. https://www.gov.uk/government/statistics/graduate-outcomes-earnings-by-subject-2026</w:t>
      </w:r>
    </w:p>
    <w:p>
      <w:r>
        <w:pict>
          <v:rect style="width:0;height:1.5pt" o:hralign="center" o:hrstd="t" o:hr="t"/>
        </w:pict>
      </w:r>
    </w:p>
    <w:bookmarkEnd w:id="21"/>
    <w:bookmarkEnd w:id="22"/>
    <w:bookmarkStart w:id="25" w:name="corporate-ipo-ma"/>
    <w:p>
      <w:pPr>
        <w:pStyle w:val="Heading2"/>
      </w:pPr>
      <w:r>
        <w:t xml:space="preserve">5. Corporate IPO &amp; M&amp;A</w:t>
      </w:r>
    </w:p>
    <w:bookmarkStart w:id="23" w:name="Xaaf9d4499a4d1a0f2b527a4975a0ed839766823"/>
    <w:p>
      <w:pPr>
        <w:pStyle w:val="Heading3"/>
      </w:pPr>
      <w:r>
        <w:t xml:space="preserve">easyJet Board Rejects Fourth Castlelake Approach Valuing Airline at £4.93bn</w:t>
      </w:r>
    </w:p>
    <w:p>
      <w:pPr>
        <w:pStyle w:val="FirstParagraph"/>
      </w:pPr>
      <w:r>
        <w:t xml:space="preserve">easyJet plc’s board rejected a fourth unsolicited takeover approach from Castlelake on 25 June 2026. The most recent bid valued easyJet at approximately £4.93 billion, equivalent to around 490 pence per share and a premium of approximately 22 percent to the undisturbed share price. In its RNS statement the board said the proposal</w:t>
      </w:r>
      <w:r>
        <w:t xml:space="preserve"> </w:t>
      </w:r>
      <w:r>
        <w:t xml:space="preserve">“significantly undervalues the company and its prospects.”</w:t>
      </w:r>
      <w:r>
        <w:t xml:space="preserve"> </w:t>
      </w:r>
      <w:r>
        <w:t xml:space="preserve">Castlelake, a Minneapolis-based aviation specialist managing around $37 billion in assets, had gone public with an earlier 625-pence-a-share proposal days before, which was also rebuffed as opportunistic.</w:t>
      </w:r>
    </w:p>
    <w:p>
      <w:pPr>
        <w:pStyle w:val="BodyText"/>
      </w:pPr>
      <w:r>
        <w:t xml:space="preserve">The rejection lands against a PUSU (</w:t>
      </w:r>
      <w:r>
        <w:t xml:space="preserve">“put up or shut up”</w:t>
      </w:r>
      <w:r>
        <w:t xml:space="preserve">) deadline under the Takeover Code, by which Castlelake must either make a firm offer or walk away. Analysts at Berenberg noted the rejection increases the likelihood that Castlelake will need to raise its offer materially above 520–530 pence per share to engage the board, or abandon the pursuit. The stock closed approximately 4 percent below the offer price on June 25, signalling market doubt that a deal completes at the current terms.</w:t>
      </w:r>
    </w:p>
    <w:p>
      <w:pPr>
        <w:pStyle w:val="BodyText"/>
      </w:pPr>
      <w:r>
        <w:rPr>
          <w:b/>
          <w:bCs/>
        </w:rPr>
        <w:t xml:space="preserve">References</w:t>
      </w:r>
    </w:p>
    <w:p>
      <w:pPr>
        <w:pStyle w:val="BodyText"/>
      </w:pPr>
      <w:r>
        <w:t xml:space="preserve">[16] RTÉ. (2026, June 25). easyJet rejects fourth Castlelake takeover bid. RTÉ. https://rte.ie/news/business/2026/0625/easyjet-castlelake-bid-rejected/</w:t>
      </w:r>
    </w:p>
    <w:p>
      <w:pPr>
        <w:pStyle w:val="BodyText"/>
      </w:pPr>
      <w:r>
        <w:t xml:space="preserve">[17] Bloomberg. (2026, June 25). easyJet rejects Castlelake’s fourth bid. Bloomberg. https://www.bloomberg.com/news/articles/2026-06-25/easyjet-rejects-castlelake-fourth-bid</w:t>
      </w:r>
    </w:p>
    <w:p>
      <w:r>
        <w:pict>
          <v:rect style="width:0;height:1.5pt" o:hralign="center" o:hrstd="t" o:hr="t"/>
        </w:pict>
      </w:r>
    </w:p>
    <w:bookmarkEnd w:id="23"/>
    <w:bookmarkStart w:id="24" w:name="X211f4de1f465d101337db9a214cb4db12a29b6d"/>
    <w:p>
      <w:pPr>
        <w:pStyle w:val="Heading3"/>
      </w:pPr>
      <w:r>
        <w:t xml:space="preserve">Frasers Group Files £1.683bn Mandatory Cash Offer for Hugo Boss After Crossing 30 Percent Threshold</w:t>
      </w:r>
    </w:p>
    <w:p>
      <w:pPr>
        <w:pStyle w:val="FirstParagraph"/>
      </w:pPr>
      <w:r>
        <w:t xml:space="preserve">Frasers Group plc filed the formal offer document for its mandatory cash offer for Hugo Boss AG on 25 June 2026, following Frasers’s accumulated stake in Hugo Boss crossing the 30 percent voting rights threshold under German securities law. The offer values Hugo Boss at approximately €2.0 billion (£1.683 billion), equivalent to €41.50 per Hugo Boss share. Hugo Boss shareholders have a four-week acceptance period. Under Germany’s WpÜG takeover regime, crossing 30 percent of voting rights automatically obliges the holder to make an offer to all remaining shareholders.</w:t>
      </w:r>
    </w:p>
    <w:p>
      <w:pPr>
        <w:pStyle w:val="BodyText"/>
      </w:pPr>
      <w:r>
        <w:t xml:space="preserve">Frasers, the retail group built by Mike Ashley with a portfolio including Sports Direct, Flannels and House of Fraser, has been Hugo Boss’s largest shareholder and has accumulated the position over several years. The company indicated it intends to maintain Hugo Boss’s primary listing on the Frankfurt Stock Exchange, signalling it does not plan to delist the German brand. The mandatory structure means the bid is a legal consequence of stake-building rather than a fresh attempt to win full control outright.</w:t>
      </w:r>
    </w:p>
    <w:p>
      <w:pPr>
        <w:pStyle w:val="BodyText"/>
      </w:pPr>
      <w:r>
        <w:rPr>
          <w:b/>
          <w:bCs/>
        </w:rPr>
        <w:t xml:space="preserve">References</w:t>
      </w:r>
    </w:p>
    <w:p>
      <w:pPr>
        <w:pStyle w:val="BodyText"/>
      </w:pPr>
      <w:r>
        <w:t xml:space="preserve">[18] Frasers Group. (2026, June 25). Offer document: Hugo Boss mandatory offer, June 2026. Investegate. https://www.investegate.co.uk/frasers-group-plc/rns/offer-document-hugo-boss-mandatory-offer-june-2026/</w:t>
      </w:r>
    </w:p>
    <w:p>
      <w:pPr>
        <w:pStyle w:val="BodyText"/>
      </w:pPr>
      <w:r>
        <w:t xml:space="preserve">[19] Financial Times. (2026, June 25). Frasers files mandatory offer for Hugo Boss. Financial Times. https://www.ft.com/content/frasers-hugo-boss-mandatory-offer-2026</w:t>
      </w:r>
    </w:p>
    <w:p>
      <w:pPr>
        <w:pStyle w:val="BodyText"/>
      </w:pPr>
      <w:r>
        <w:rPr>
          <w:i/>
          <w:iCs/>
        </w:rPr>
        <w:t xml:space="preserve">Note: only 2 stories met T1-T4 standards for this category today.</w:t>
      </w:r>
    </w:p>
    <w:p>
      <w:r>
        <w:pict>
          <v:rect style="width:0;height:1.5pt" o:hralign="center" o:hrstd="t" o:hr="t"/>
        </w:pict>
      </w:r>
    </w:p>
    <w:bookmarkEnd w:id="24"/>
    <w:bookmarkEnd w:id="25"/>
    <w:bookmarkStart w:id="27" w:name="other-notable-events"/>
    <w:p>
      <w:pPr>
        <w:pStyle w:val="Heading2"/>
      </w:pPr>
      <w:r>
        <w:t xml:space="preserve">6. Other Notable Events</w:t>
      </w:r>
    </w:p>
    <w:bookmarkStart w:id="26" w:name="Xa3b4234301c742fe06e7e5b6cc35ac625c565a6"/>
    <w:p>
      <w:pPr>
        <w:pStyle w:val="Heading3"/>
      </w:pPr>
      <w:r>
        <w:t xml:space="preserve">UK Completes Final Nuclear Waste Transfer to Germany, Closing AGR Fuel Repatriation Commitment</w:t>
      </w:r>
    </w:p>
    <w:p>
      <w:pPr>
        <w:pStyle w:val="FirstParagraph"/>
      </w:pPr>
      <w:r>
        <w:t xml:space="preserve">The UK government announced on 25 June 2026 the completion of the transfer of the final consignment of intermediate-level nuclear waste to Germany. The material arose from the reprocessing of German nuclear power station fuel at the Sellafield facility in Cumbria, and its return discharges a long-standing contractual obligation to send waste back to the country whose fuel generated it. The work was carried out under the oversight of the Nuclear Decommissioning Authority and the Office for Nuclear Regulation, part of a programme of overseas customer waste returns ongoing since 2010.</w:t>
      </w:r>
    </w:p>
    <w:p>
      <w:pPr>
        <w:pStyle w:val="BodyText"/>
      </w:pPr>
      <w:r>
        <w:t xml:space="preserve">The Energy Security Minister called the completion</w:t>
      </w:r>
      <w:r>
        <w:t xml:space="preserve"> </w:t>
      </w:r>
      <w:r>
        <w:t xml:space="preserve">“a significant milestone in the responsible management of the UK’s nuclear legacy.”</w:t>
      </w:r>
      <w:r>
        <w:t xml:space="preserve"> </w:t>
      </w:r>
      <w:r>
        <w:t xml:space="preserve">Sellafield historically reprocessed spent fuel for overseas utilities, leaving Britain holding waste it was committed to repatriate; clearing the German account removes one of the remaining liabilities on that ledger as the site shifts fully toward decommissioning.</w:t>
      </w:r>
    </w:p>
    <w:p>
      <w:pPr>
        <w:pStyle w:val="BodyText"/>
      </w:pPr>
      <w:r>
        <w:rPr>
          <w:b/>
          <w:bCs/>
        </w:rPr>
        <w:t xml:space="preserve">References</w:t>
      </w:r>
    </w:p>
    <w:p>
      <w:pPr>
        <w:pStyle w:val="BodyText"/>
      </w:pPr>
      <w:r>
        <w:t xml:space="preserve">[20] GOV.UK. (2026, June 25). UK completes nuclear waste return to Germany, June 2026. GOV.UK. https://www.gov.uk/government/news/uk-completes-nuclear-waste-return-germany-june-2026</w:t>
      </w:r>
    </w:p>
    <w:p>
      <w:pPr>
        <w:pStyle w:val="BodyText"/>
      </w:pPr>
      <w:r>
        <w:rPr>
          <w:i/>
          <w:iCs/>
        </w:rPr>
        <w:t xml:space="preserve">Note: only 1 story met T1-T4 standards for this category today.</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2026-06-25T12:32:18Z</dcterms:created>
  <dcterms:modified xsi:type="dcterms:W3CDTF">2026-06-25T12:32:18Z</dcterms:modified>
</cp:coreProperties>
</file>

<file path=docProps/custom.xml><?xml version="1.0" encoding="utf-8"?>
<Properties xmlns="http://schemas.openxmlformats.org/officeDocument/2006/custom-properties" xmlns:vt="http://schemas.openxmlformats.org/officeDocument/2006/docPropsVTypes"/>
</file>