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欧洲每日热点新闻-2026年5月29日"/>
    <w:p>
      <w:pPr>
        <w:pStyle w:val="Heading1"/>
      </w:pPr>
      <w:r>
        <w:rPr>
          <w:rFonts w:hint="eastAsia"/>
        </w:rPr>
        <w:t xml:space="preserve">欧洲每日热点新闻</w:t>
      </w:r>
      <w:r>
        <w:t xml:space="preserve"> — </w:t>
      </w:r>
      <w:r>
        <w:rPr>
          <w:rFonts w:hint="eastAsia"/>
        </w:rPr>
        <w:t xml:space="preserve">2026年5月29日</w:t>
      </w:r>
    </w:p>
    <w:bookmarkStart w:id="12" w:name="经济与市场"/>
    <w:p>
      <w:pPr>
        <w:pStyle w:val="Heading2"/>
      </w:pPr>
      <w:r>
        <w:t xml:space="preserve">1. </w:t>
      </w:r>
      <w:r>
        <w:rPr>
          <w:rFonts w:hint="eastAsia"/>
        </w:rPr>
        <w:t xml:space="preserve">经济与市场</w:t>
      </w:r>
    </w:p>
    <w:bookmarkStart w:id="9" w:name="油价回落伊朗停火可期欧股普涨能源成本承压缓解"/>
    <w:p>
      <w:pPr>
        <w:pStyle w:val="Heading3"/>
      </w:pPr>
      <w:r>
        <w:rPr>
          <w:rFonts w:hint="eastAsia"/>
        </w:rPr>
        <w:t xml:space="preserve">油价回落伊朗停火可期，欧股普涨能源成本承压缓解</w:t>
      </w:r>
    </w:p>
    <w:p>
      <w:pPr>
        <w:pStyle w:val="FirstParagraph"/>
      </w:pPr>
      <w:r>
        <w:rPr>
          <w:rFonts w:hint="eastAsia"/>
        </w:rPr>
        <w:t xml:space="preserve">布伦特原油5月29日下跌1.2%至每桶92.50美元，WTI报87.40美元，欧洲股市同步走高。Euro</w:t>
      </w:r>
      <w:r>
        <w:t xml:space="preserve"> Stoxx </w:t>
      </w:r>
      <w:r>
        <w:rPr>
          <w:rFonts w:hint="eastAsia"/>
        </w:rPr>
        <w:t xml:space="preserve">50指数上涨0.5%，法国CAC</w:t>
      </w:r>
      <w:r>
        <w:t xml:space="preserve"> </w:t>
      </w:r>
      <w:r>
        <w:rPr>
          <w:rFonts w:hint="eastAsia"/>
        </w:rPr>
        <w:t xml:space="preserve">40涨0.6%，米兰富时MIB涨0.4%，FTSE</w:t>
      </w:r>
      <w:r>
        <w:t xml:space="preserve"> </w:t>
      </w:r>
      <w:r>
        <w:rPr>
          <w:rFonts w:hint="eastAsia"/>
        </w:rPr>
        <w:t xml:space="preserve">100与德国DAX各涨0.2%。亚洲方面，日经225指数收涨1.8%，韩国Kospi上扬2.3%，反映对地缘风险降温的一致定价。</w:t>
      </w:r>
    </w:p>
    <w:p>
      <w:pPr>
        <w:pStyle w:val="BodyText"/>
      </w:pPr>
      <w:r>
        <w:rPr>
          <w:rFonts w:hint="eastAsia"/>
        </w:rPr>
        <w:t xml:space="preserve">驱动行情的是华盛顿与德黑兰之间一份为期60天的停火谅解备忘录，据悉文本“大体达成一致”，仅待美国总统特朗普签字生效。市场据此判断霍尔木兹海峡运输风险趋于缓解，5月以来布伦特累计下跌约19%，创新冠疫情以来最大单月跌幅，并较2026年高点回落20%。</w:t>
      </w:r>
    </w:p>
    <w:p>
      <w:pPr>
        <w:pStyle w:val="BodyText"/>
      </w:pPr>
      <w:r>
        <w:rPr>
          <w:rFonts w:hint="eastAsia"/>
        </w:rPr>
        <w:t xml:space="preserve">ING大宗商品策略师Warren</w:t>
      </w:r>
      <w:r>
        <w:t xml:space="preserve"> </w:t>
      </w:r>
      <w:r>
        <w:rPr>
          <w:rFonts w:hint="eastAsia"/>
        </w:rPr>
        <w:t xml:space="preserve">Patterson与Ewa</w:t>
      </w:r>
      <w:r>
        <w:t xml:space="preserve"> </w:t>
      </w:r>
      <w:r>
        <w:rPr>
          <w:rFonts w:hint="eastAsia"/>
        </w:rPr>
        <w:t xml:space="preserve">Manthey指出，若停火文本最终落地，原油风险溢价将进一步压缩，但供给端不确定性并未消失。对欧洲而言，能源价格回落意味着工业成本与通胀压力同步缓解，为下周公布的5月CPI闪值与欧央行6月议息提供更友好的宏观背景。</w:t>
      </w:r>
    </w:p>
    <w:p>
      <w:pPr>
        <w:pStyle w:val="BodyText"/>
      </w:pPr>
      <w:r>
        <w:rPr>
          <w:b/>
          <w:bCs/>
        </w:rPr>
        <w:t xml:space="preserve">References</w:t>
      </w:r>
    </w:p>
    <w:p>
      <w:pPr>
        <w:pStyle w:val="BodyText"/>
      </w:pPr>
      <w:r>
        <w:t xml:space="preserve">[1] Katanich, D. (2026, May 29). Oil prices fall and markets rise on optimism over Iran ceasefire deal. Euronews. https://www.euronews.com/business/2026/05/29/oil-prices-fall-and-markets-rise-on-optimism-over-iran-ceasefire-deal</w:t>
      </w:r>
      <w:r>
        <w:t xml:space="preserve"> </w:t>
      </w:r>
      <w:r>
        <w:t xml:space="preserve">[2] CNBC. (2026, May 29). Oil prices, Iran ceasefire, US, Trump, Strait of Hormuz energy costs. CNBC. https://www.cnbc.com/2026/05/29/oil-prices-iran-ceasefire-us-trump-strait-hormuz-energy-costs.html</w:t>
      </w:r>
    </w:p>
    <w:p>
      <w:r>
        <w:pict>
          <v:rect style="width:0;height:1.5pt" o:hralign="center" o:hrstd="t" o:hr="t"/>
        </w:pict>
      </w:r>
    </w:p>
    <w:bookmarkEnd w:id="9"/>
    <w:bookmarkStart w:id="10" w:name="欧央行6月加息几成定局市场押注存款利率升至2.25"/>
    <w:p>
      <w:pPr>
        <w:pStyle w:val="Heading3"/>
      </w:pPr>
      <w:r>
        <w:rPr>
          <w:rFonts w:hint="eastAsia"/>
        </w:rPr>
        <w:t xml:space="preserve">欧央行6月加息几成定局，市场押注存款利率升至2.25%</w:t>
      </w:r>
    </w:p>
    <w:p>
      <w:pPr>
        <w:pStyle w:val="FirstParagraph"/>
      </w:pPr>
      <w:r>
        <w:rPr>
          <w:rFonts w:hint="eastAsia"/>
        </w:rPr>
        <w:t xml:space="preserve">利率掉期市场已为欧央行6月11日议息会议定价约91%的25基点加息概率，对应存款利率上行至2.25%。决策的关键支撑来自欧元区私人部门工资增速放缓——欧央行内部据此判断工资—物价螺旋的尾部风险正在消退，从而为再加息一次留出空间。</w:t>
      </w:r>
    </w:p>
    <w:p>
      <w:pPr>
        <w:pStyle w:val="BodyText"/>
      </w:pPr>
      <w:r>
        <w:rPr>
          <w:rFonts w:hint="eastAsia"/>
        </w:rPr>
        <w:t xml:space="preserve">欧央行副行长路易斯·德金多斯近日警告称“修正风险高企”，提示金融条件长期偏紧背景下资产估值与信贷链条的脆弱性。法兰西银行行长弗朗索瓦·维勒鲁瓦·德加洛表示，将“采取一切必要措施”令通胀回归两个百分点的目标，立场较前几次议息更为坚决。</w:t>
      </w:r>
    </w:p>
    <w:p>
      <w:pPr>
        <w:pStyle w:val="BodyText"/>
      </w:pPr>
      <w:r>
        <w:rPr>
          <w:rFonts w:hint="eastAsia"/>
        </w:rPr>
        <w:t xml:space="preserve">数据侧，欧元区4月调和CPI同比三个百分点，能源分项升幅仍在两位数，是顶住总体读数的主要力量；5月闪值定于6月2日发布，将直接决定加息路径是单次出手还是延伸至三季度。若CPI意外回落、私人部门薪资进一步降温，市场对9月再加息的概率将随之上修。</w:t>
      </w:r>
    </w:p>
    <w:p>
      <w:pPr>
        <w:pStyle w:val="BodyText"/>
      </w:pPr>
      <w:r>
        <w:rPr>
          <w:b/>
          <w:bCs/>
        </w:rPr>
        <w:t xml:space="preserve">References</w:t>
      </w:r>
    </w:p>
    <w:p>
      <w:pPr>
        <w:pStyle w:val="BodyText"/>
      </w:pPr>
      <w:r>
        <w:t xml:space="preserve">[3] CNBC. (2026, May 29). The ECB is debating rate hikes but the private sector could help out. CNBC. https://www.cnbc.com/2026/05/29/the-ecb-is-debating-rate-hikes-but-the-private-sector-could-help-out.html</w:t>
      </w:r>
    </w:p>
    <w:p>
      <w:r>
        <w:pict>
          <v:rect style="width:0;height:1.5pt" o:hralign="center" o:hrstd="t" o:hr="t"/>
        </w:pict>
      </w:r>
    </w:p>
    <w:bookmarkEnd w:id="10"/>
    <w:bookmarkStart w:id="11" w:name="欧盟竞争力理事会推进产业加速器法案瞄准2035年工业gdp占比20"/>
    <w:p>
      <w:pPr>
        <w:pStyle w:val="Heading3"/>
      </w:pPr>
      <w:r>
        <w:rPr>
          <w:rFonts w:hint="eastAsia"/>
        </w:rPr>
        <w:t xml:space="preserve">欧盟竞争力理事会推进产业加速器法案，瞄准2035年工业GDP占比20%</w:t>
      </w:r>
    </w:p>
    <w:p>
      <w:pPr>
        <w:pStyle w:val="FirstParagraph"/>
      </w:pPr>
      <w:r>
        <w:rPr>
          <w:rFonts w:hint="eastAsia"/>
        </w:rPr>
        <w:t xml:space="preserve">欧盟竞争力理事会5月28日至29日在布鲁塞尔召开，塞浦路斯轮值主席国主持，议程聚焦《产业加速器法案》。法案设定到2035年将工业占欧盟GDP比重提升至20%的硬目标，工具箱涵盖加快审批许可、“Made</w:t>
      </w:r>
      <w:r>
        <w:t xml:space="preserve"> in </w:t>
      </w:r>
      <w:r>
        <w:rPr>
          <w:rFonts w:hint="eastAsia"/>
        </w:rPr>
        <w:t xml:space="preserve">EU”采购激励、以及面向战略行业的外资准入审查。</w:t>
      </w:r>
    </w:p>
    <w:p>
      <w:pPr>
        <w:pStyle w:val="BodyText"/>
      </w:pPr>
      <w:r>
        <w:rPr>
          <w:rFonts w:hint="eastAsia"/>
        </w:rPr>
        <w:t xml:space="preserve">同日讨论的还有《EU</w:t>
      </w:r>
      <w:r>
        <w:t xml:space="preserve"> Inc. </w:t>
      </w:r>
      <w:r>
        <w:rPr>
          <w:rFonts w:hint="eastAsia"/>
        </w:rPr>
        <w:t xml:space="preserve">28号制度》——一种可选的全欧统一公司法律形式，意在为跨境创业与并购提供单一法律外壳，降低创新企业在27国市场上的合规摩擦。塞浦路斯主席国与欧委会同步推介4月28日通过的“更简单、更清晰、更可执行的欧盟法规手册”文件，进一步呼应去监管议程。</w:t>
      </w:r>
    </w:p>
    <w:p>
      <w:pPr>
        <w:pStyle w:val="BodyText"/>
      </w:pPr>
      <w:r>
        <w:rPr>
          <w:rFonts w:hint="eastAsia"/>
        </w:rPr>
        <w:t xml:space="preserve">29日午间非正式工作餐邀请欧洲化工理事会CEFIC总干事Marco</w:t>
      </w:r>
      <w:r>
        <w:t xml:space="preserve"> </w:t>
      </w:r>
      <w:r>
        <w:rPr>
          <w:rFonts w:hint="eastAsia"/>
        </w:rPr>
        <w:t xml:space="preserve">Mensink，就化学工业竞争力议题与各成员国部长直接对话。欧委会主席乌尔苏拉·冯德莱恩近月反复强调，欧洲若要在AI、清洁技术、半导体三条产业链上与美中并立，必须以单一市场深化对冲外部冲击。</w:t>
      </w:r>
    </w:p>
    <w:p>
      <w:pPr>
        <w:pStyle w:val="BodyText"/>
      </w:pPr>
      <w:r>
        <w:rPr>
          <w:b/>
          <w:bCs/>
        </w:rPr>
        <w:t xml:space="preserve">References</w:t>
      </w:r>
    </w:p>
    <w:p>
      <w:pPr>
        <w:pStyle w:val="BodyText"/>
      </w:pPr>
      <w:r>
        <w:t xml:space="preserve">[4] Council of the European Union. (2026, May 29). Competitiveness Council (Internal Market and Industry / Research), 28-29 May 2026. Consilium. https://www.consilium.europa.eu/en/meetings/compet/2026/05/29/</w:t>
      </w:r>
    </w:p>
    <w:p>
      <w:r>
        <w:pict>
          <v:rect style="width:0;height:1.5pt" o:hralign="center" o:hrstd="t" o:hr="t"/>
        </w:pict>
      </w:r>
    </w:p>
    <w:bookmarkEnd w:id="11"/>
    <w:bookmarkEnd w:id="12"/>
    <w:bookmarkStart w:id="16" w:name="政治与外交"/>
    <w:p>
      <w:pPr>
        <w:pStyle w:val="Heading2"/>
      </w:pPr>
      <w:r>
        <w:t xml:space="preserve">2. </w:t>
      </w:r>
      <w:r>
        <w:rPr>
          <w:rFonts w:hint="eastAsia"/>
        </w:rPr>
        <w:t xml:space="preserve">政治与外交</w:t>
      </w:r>
    </w:p>
    <w:bookmarkStart w:id="13" w:name="俄军无人机袭击罗马尼亚民宅布加勒斯特驱逐俄领事"/>
    <w:p>
      <w:pPr>
        <w:pStyle w:val="Heading3"/>
      </w:pPr>
      <w:r>
        <w:rPr>
          <w:rFonts w:hint="eastAsia"/>
        </w:rPr>
        <w:t xml:space="preserve">俄军无人机袭击罗马尼亚民宅，布加勒斯特驱逐俄领事</w:t>
      </w:r>
    </w:p>
    <w:p>
      <w:pPr>
        <w:pStyle w:val="FirstParagraph"/>
      </w:pPr>
      <w:r>
        <w:rPr>
          <w:rFonts w:hint="eastAsia"/>
        </w:rPr>
        <w:t xml:space="preserve">一架挂载战斗部的俄军Geran-2无人机5月29日凌晨击中罗马尼亚加拉茨市一栋居民楼，53岁女性住户与其14岁儿子被烧伤送医，目前生命体征平稳。罗马尼亚雷达显示该无人机在本国领空停留约4分钟，两架F-16战机与一架直升机紧急升空拦截。</w:t>
      </w:r>
    </w:p>
    <w:p>
      <w:pPr>
        <w:pStyle w:val="BodyText"/>
      </w:pPr>
      <w:r>
        <w:rPr>
          <w:rFonts w:hint="eastAsia"/>
        </w:rPr>
        <w:t xml:space="preserve">罗马尼亚总统尼库索尔·丹当日宣布将俄罗斯驻康斯坦察总领事列为不受欢迎的人，并下令关闭该领馆。外长奥安娜·托伊乌表示，俄方此举“无法以技术失误解释”。法国外长让-诺埃尔·巴罗同步召见俄罗斯驻法大使要求解释，巴黎将事件定性为对北约领土的“严重挑衅”。</w:t>
      </w:r>
    </w:p>
    <w:p>
      <w:pPr>
        <w:pStyle w:val="BodyText"/>
      </w:pPr>
      <w:r>
        <w:rPr>
          <w:rFonts w:hint="eastAsia"/>
        </w:rPr>
        <w:t xml:space="preserve">北约秘书长马克·吕特发表声明，重申“对俄方进一步危及盟国安全的行为零容忍”；欧委会主席乌尔苏拉·冯德莱恩称事件是“对欧盟外部边界的直接攻击”；英国首相基尔·斯塔默呼吁盟国“加快防空体系一体化”。</w:t>
      </w:r>
    </w:p>
    <w:p>
      <w:pPr>
        <w:pStyle w:val="BodyText"/>
      </w:pPr>
      <w:r>
        <w:rPr>
          <w:rFonts w:hint="eastAsia"/>
        </w:rPr>
        <w:t xml:space="preserve">事发数小时内，罗马尼亚即与欧盟SAFE项目签署反无人机防御采购合同，重点引入便携式干扰与短程拦截能力，为长达1300公里的乌克兰—罗马尼亚边境加装雷达节点。</w:t>
      </w:r>
    </w:p>
    <w:p>
      <w:pPr>
        <w:pStyle w:val="BodyText"/>
      </w:pPr>
      <w:r>
        <w:rPr>
          <w:b/>
          <w:bCs/>
        </w:rPr>
        <w:t xml:space="preserve">References</w:t>
      </w:r>
    </w:p>
    <w:p>
      <w:pPr>
        <w:pStyle w:val="BodyText"/>
      </w:pPr>
      <w:r>
        <w:t xml:space="preserve">[5] Rennolds, N. (2026, May 29). Explosive-laden Russian drone hits residential building in Romania, authorities say. Euronews. https://www.euronews.com/my-europe/2026/05/29/explosive-laden-russian-drone-hits-residential-building-in-romania-authorities-say</w:t>
      </w:r>
      <w:r>
        <w:t xml:space="preserve"> </w:t>
      </w:r>
      <w:r>
        <w:t xml:space="preserve">[6] Al Jazeera. (2026, May 29). NATO states slam Russia after drone crashes in Romania. Al Jazeera. https://www.aljazeera.com/news/2026/5/29/nato-states-slam-russia-after-drone-crashes-in-romania</w:t>
      </w:r>
      <w:r>
        <w:t xml:space="preserve"> </w:t>
      </w:r>
      <w:r>
        <w:t xml:space="preserve">[7] France 24. (2026, May 29). Russian drone hits Romania apartment block, drawing NATO, EU outrage. France 24. https://www.france24.com/en/live-news/20260529-russian-drone-hits-romania-apartment-block-drawing-nato-eu-outrage</w:t>
      </w:r>
      <w:r>
        <w:t xml:space="preserve"> </w:t>
      </w:r>
      <w:r>
        <w:t xml:space="preserve">[8] Prime Minister’s Office. (2026, May 29). PM statement on Russian drone hit in Romania: 29 May 2026. GOV.UK. https://www.gov.uk/government/news/pm-statement-on-russian-drone-hit-in-romania-29-may-2026</w:t>
      </w:r>
      <w:r>
        <w:t xml:space="preserve"> </w:t>
      </w:r>
      <w:r>
        <w:t xml:space="preserve">[9] Reuters. (2026, May 29). France to demand explanation from Russian envoy over Romania drone incident. U.S. News. https://www.usnews.com/news/world/articles/2026-05-29/france-to-demand-explanation-from-russian-envoy-over-romania-drone-incident</w:t>
      </w:r>
    </w:p>
    <w:p>
      <w:r>
        <w:pict>
          <v:rect style="width:0;height:1.5pt" o:hralign="center" o:hrstd="t" o:hr="t"/>
        </w:pict>
      </w:r>
    </w:p>
    <w:bookmarkEnd w:id="13"/>
    <w:bookmarkStart w:id="14" w:name="北约对乌援助分摊方案遭否决英法主导意愿联盟另起炉灶"/>
    <w:p>
      <w:pPr>
        <w:pStyle w:val="Heading3"/>
      </w:pPr>
      <w:r>
        <w:rPr>
          <w:rFonts w:hint="eastAsia"/>
        </w:rPr>
        <w:t xml:space="preserve">北约对乌援助分摊方案遭否决，英法主导“意愿联盟”另起炉灶</w:t>
      </w:r>
    </w:p>
    <w:p>
      <w:pPr>
        <w:pStyle w:val="FirstParagraph"/>
      </w:pPr>
      <w:r>
        <w:rPr>
          <w:rFonts w:hint="eastAsia"/>
        </w:rPr>
        <w:t xml:space="preserve">英国、法国、西班牙、意大利、加拿大5月29日在北约部长级磋商中联手否决了秘书长马克·吕特提出的对乌军援分摊方案——按各盟国GDP的0.25%为乌克兰提供持续军事援助。北约决策机制要求一致同意，五国反对意味着即将召开的土耳其北约峰会失去既定融资公式。</w:t>
      </w:r>
    </w:p>
    <w:p>
      <w:pPr>
        <w:pStyle w:val="BodyText"/>
      </w:pPr>
      <w:r>
        <w:rPr>
          <w:rFonts w:hint="eastAsia"/>
        </w:rPr>
        <w:t xml:space="preserve">僵局并未冻结欧洲对乌路径。“意愿联盟”宣布在巴黎与伦敦设立常设总部，并在基辅设立协调中心，将原本临时性的多国援乌机制制度化。法国总统马克龙与英国首相基尔·斯塔默同步公布“工业协约”（Entente</w:t>
      </w:r>
      <w:r>
        <w:t xml:space="preserve"> </w:t>
      </w:r>
      <w:r>
        <w:rPr>
          <w:rFonts w:hint="eastAsia"/>
        </w:rPr>
        <w:t xml:space="preserve">Industrielle）：两国联合下单“风暴阴影”巡航导弹补充库存，并启动下一代深度打击与反舰导弹联合研制。</w:t>
      </w:r>
    </w:p>
    <w:p>
      <w:pPr>
        <w:pStyle w:val="BodyText"/>
      </w:pPr>
      <w:r>
        <w:rPr>
          <w:rFonts w:hint="eastAsia"/>
        </w:rPr>
        <w:t xml:space="preserve">两条线索折射出欧洲安全政策的分化：北约整体框架因美方立场摇摆与南欧成员国财政空间受限而陷入僵局，而英法双核驱动的次区域机制正以更高节奏推进——以工业产能与采购合同绑定盟友，对冲跨大西洋共识的不确定性。</w:t>
      </w:r>
    </w:p>
    <w:p>
      <w:pPr>
        <w:pStyle w:val="BodyText"/>
      </w:pPr>
      <w:r>
        <w:rPr>
          <w:b/>
          <w:bCs/>
        </w:rPr>
        <w:t xml:space="preserve">References</w:t>
      </w:r>
    </w:p>
    <w:p>
      <w:pPr>
        <w:pStyle w:val="BodyText"/>
      </w:pPr>
      <w:r>
        <w:t xml:space="preserve">[10] The Hill. (2026, May 29). UK, France, Germany, Iran strikes negotiations. The Hill. https://thehill.com/policy/international/5760393-uk-france-germany-iran-strikes-negotiations/</w:t>
      </w:r>
    </w:p>
    <w:p>
      <w:r>
        <w:pict>
          <v:rect style="width:0;height:1.5pt" o:hralign="center" o:hrstd="t" o:hr="t"/>
        </w:pict>
      </w:r>
    </w:p>
    <w:bookmarkEnd w:id="14"/>
    <w:bookmarkStart w:id="15" w:name="欧盟理事会通过科学外交框架第十期地平线欧洲瞄准1750亿欧元"/>
    <w:p>
      <w:pPr>
        <w:pStyle w:val="Heading3"/>
      </w:pPr>
      <w:r>
        <w:rPr>
          <w:rFonts w:hint="eastAsia"/>
        </w:rPr>
        <w:t xml:space="preserve">欧盟理事会通过科学外交框架，第十期“地平线欧洲”瞄准1750亿欧元</w:t>
      </w:r>
    </w:p>
    <w:p>
      <w:pPr>
        <w:pStyle w:val="FirstParagraph"/>
      </w:pPr>
      <w:r>
        <w:rPr>
          <w:rFonts w:hint="eastAsia"/>
        </w:rPr>
        <w:t xml:space="preserve">欧盟理事会5月29日研究与空间专场会议通过《欧盟科学外交框架建议》，将科技合作正式纳入对外政策工具箱，目标是在AI、量子、空间、生物医药等关键领域以规则与标准对接撬动战略合作。塞浦路斯轮值主席国称这是“欧洲首次在条约外为科学合作设定共同立场”。</w:t>
      </w:r>
    </w:p>
    <w:p>
      <w:pPr>
        <w:pStyle w:val="BodyText"/>
      </w:pPr>
      <w:r>
        <w:rPr>
          <w:rFonts w:hint="eastAsia"/>
        </w:rPr>
        <w:t xml:space="preserve">欧空局总干事Josef</w:t>
      </w:r>
      <w:r>
        <w:t xml:space="preserve"> </w:t>
      </w:r>
      <w:r>
        <w:rPr>
          <w:rFonts w:hint="eastAsia"/>
        </w:rPr>
        <w:t xml:space="preserve">Aschbacher在会上介绍“欧洲太空韧性”（European</w:t>
      </w:r>
      <w:r>
        <w:t xml:space="preserve"> Resilience from </w:t>
      </w:r>
      <w:r>
        <w:rPr>
          <w:rFonts w:hint="eastAsia"/>
        </w:rPr>
        <w:t xml:space="preserve">Space，ERS）行动方案，重点强化对地观测、安全通信与导航系统在危机情境下的连续运行能力。塞浦路斯同步就4月7日提案的《欧盟太空法》与《欧盟太空服务局条例》向各国部长通报立法节奏。</w:t>
      </w:r>
    </w:p>
    <w:p>
      <w:pPr>
        <w:pStyle w:val="BodyText"/>
      </w:pPr>
      <w:r>
        <w:rPr>
          <w:rFonts w:hint="eastAsia"/>
        </w:rPr>
        <w:t xml:space="preserve">会议还就第十期“地平线欧洲”框架计划（2028—2034年）展开政策辩论，欧委会建议预算规模为1750亿欧元，较上一周期显著上调，重点配置至AI、健康技术与清洁能源三大旗舰集群。各国部长普遍支持上调，但对成员国共付比例与中等收入研究机构的可及性仍有分歧。</w:t>
      </w:r>
    </w:p>
    <w:p>
      <w:pPr>
        <w:pStyle w:val="BodyText"/>
      </w:pPr>
      <w:r>
        <w:rPr>
          <w:b/>
          <w:bCs/>
        </w:rPr>
        <w:t xml:space="preserve">References</w:t>
      </w:r>
    </w:p>
    <w:p>
      <w:pPr>
        <w:pStyle w:val="BodyText"/>
      </w:pPr>
      <w:r>
        <w:t xml:space="preserve">[11] Council of the European Union. (2026, May 29). Competitiveness Council (Internal Market and Industry / Research), 28-29 May 2026. Consilium. https://www.consilium.europa.eu/en/meetings/compet/2026/05/29/</w:t>
      </w:r>
    </w:p>
    <w:p>
      <w:r>
        <w:pict>
          <v:rect style="width:0;height:1.5pt" o:hralign="center" o:hrstd="t" o:hr="t"/>
        </w:pict>
      </w:r>
    </w:p>
    <w:bookmarkEnd w:id="15"/>
    <w:bookmarkEnd w:id="16"/>
    <w:bookmarkStart w:id="18" w:name="科技与产业"/>
    <w:p>
      <w:pPr>
        <w:pStyle w:val="Heading2"/>
      </w:pPr>
      <w:r>
        <w:t xml:space="preserve">3. </w:t>
      </w:r>
      <w:r>
        <w:rPr>
          <w:rFonts w:hint="eastAsia"/>
        </w:rPr>
        <w:t xml:space="preserve">科技与产业</w:t>
      </w:r>
    </w:p>
    <w:bookmarkStart w:id="17" w:name="台积电阿姆斯特丹欧洲技术论坛n2量产在即a14定档2028"/>
    <w:p>
      <w:pPr>
        <w:pStyle w:val="Heading3"/>
      </w:pPr>
      <w:r>
        <w:rPr>
          <w:rFonts w:hint="eastAsia"/>
        </w:rPr>
        <w:t xml:space="preserve">台积电阿姆斯特丹欧洲技术论坛，N2量产在即A14定档2028</w:t>
      </w:r>
    </w:p>
    <w:p>
      <w:pPr>
        <w:pStyle w:val="FirstParagraph"/>
      </w:pPr>
      <w:r>
        <w:rPr>
          <w:rFonts w:hint="eastAsia"/>
        </w:rPr>
        <w:t xml:space="preserve">台积电5月28日在阿姆斯特丹举办2026年欧洲技术论坛，宣布2纳米节点（N2）纳米片晶体管按计划于2026年内进入量产，A14节点定档2028年，相较N2在同等功耗下速度提升约15%，或在同等性能下功耗下降约30%。</w:t>
      </w:r>
    </w:p>
    <w:p>
      <w:pPr>
        <w:pStyle w:val="BodyText"/>
      </w:pPr>
      <w:r>
        <w:rPr>
          <w:rFonts w:hint="eastAsia"/>
        </w:rPr>
        <w:t xml:space="preserve">合作伙伴矩阵涵盖Nordic</w:t>
      </w:r>
      <w:r>
        <w:t xml:space="preserve"> </w:t>
      </w:r>
      <w:r>
        <w:rPr>
          <w:rFonts w:hint="eastAsia"/>
        </w:rPr>
        <w:t xml:space="preserve">Semiconductor、Cisco、STMicroelectronics三家欧洲与北美客户，论坛主题被定调为“系统驱动时代”——意即先进制程的下一阶段竞争不再单看晶体管密度，而是CoWoS高带宽封装、System-on-Wafer-X大尺寸基板、共封装光学（Co-packaged</w:t>
      </w:r>
      <w:r>
        <w:t xml:space="preserve"> </w:t>
      </w:r>
      <w:r>
        <w:rPr>
          <w:rFonts w:hint="eastAsia"/>
        </w:rPr>
        <w:t xml:space="preserve">Optics，CPO）等系统级方案的协同效率。</w:t>
      </w:r>
    </w:p>
    <w:p>
      <w:pPr>
        <w:pStyle w:val="BodyText"/>
      </w:pPr>
      <w:r>
        <w:rPr>
          <w:rFonts w:hint="eastAsia"/>
        </w:rPr>
        <w:t xml:space="preserve">CPO一项被点名为AI算力突破的关键变量：台积电预测，CPO相对于传统可插拔光模块在功耗效率上可达10倍量级，直接缓解GPU机柜内的光电瓶颈。对欧洲半导体生态而言，论坛选址阿姆斯特丹一定程度上回应了产业界对ASML—STMicro—Infineon三角与台积电产能绑定的呼声。</w:t>
      </w:r>
    </w:p>
    <w:p>
      <w:pPr>
        <w:pStyle w:val="BodyText"/>
      </w:pPr>
      <w:r>
        <w:rPr>
          <w:b/>
          <w:bCs/>
        </w:rPr>
        <w:t xml:space="preserve">References</w:t>
      </w:r>
    </w:p>
    <w:p>
      <w:pPr>
        <w:pStyle w:val="BodyText"/>
      </w:pPr>
      <w:r>
        <w:t xml:space="preserve">[12] Tyler, N. (2026, May 29). TSMC Technology Symposium 2026: A systems-driven era. New Electronics. https://www.newelectronics.co.uk/content/blogs/tsmc-technology-symposium-2026-a-systems-driven-era</w:t>
      </w:r>
      <w:r>
        <w:t xml:space="preserve"> </w:t>
      </w:r>
      <w:r>
        <w:t xml:space="preserve">[13] Semiwiki. (2026, May 29). TSMC Technology Symposium 2026 overview. Semiwiki. https://semiwiki.com/semiconductor-manufacturers/tsmc/368690-tsmc-technology-symposium-2026-overview/</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7"/>
    <w:bookmarkEnd w:id="18"/>
    <w:bookmarkStart w:id="21" w:name="社会与民生"/>
    <w:p>
      <w:pPr>
        <w:pStyle w:val="Heading2"/>
      </w:pPr>
      <w:r>
        <w:t xml:space="preserve">4. </w:t>
      </w:r>
      <w:r>
        <w:rPr>
          <w:rFonts w:hint="eastAsia"/>
        </w:rPr>
        <w:t xml:space="preserve">社会与民生</w:t>
      </w:r>
    </w:p>
    <w:bookmarkStart w:id="19" w:name="欧洲热穹高温创纪录英法西葡多国预警"/>
    <w:p>
      <w:pPr>
        <w:pStyle w:val="Heading3"/>
      </w:pPr>
      <w:r>
        <w:rPr>
          <w:rFonts w:hint="eastAsia"/>
        </w:rPr>
        <w:t xml:space="preserve">欧洲热穹高温创纪录，英法西葡多国预警</w:t>
      </w:r>
    </w:p>
    <w:p>
      <w:pPr>
        <w:pStyle w:val="FirstParagraph"/>
      </w:pPr>
      <w:r>
        <w:rPr>
          <w:rFonts w:hint="eastAsia"/>
        </w:rPr>
        <w:t xml:space="preserve">英国伦敦皇家植物园（Kew</w:t>
      </w:r>
      <w:r>
        <w:t xml:space="preserve"> </w:t>
      </w:r>
      <w:r>
        <w:rPr>
          <w:rFonts w:hint="eastAsia"/>
        </w:rPr>
        <w:t xml:space="preserve">Gardens）5月26日录得35.1°C气温，较该地1922年的5月历史高点高出约5°C，伦敦地铁车厢内部温度同步飙至34.3°C。西班牙塞维利亚冲高38°C，葡萄牙南部出现42°C极端值并触发气象黄色预警，整个西欧—南欧温度异常较常年偏高10—16°C。</w:t>
      </w:r>
    </w:p>
    <w:p>
      <w:pPr>
        <w:pStyle w:val="BodyText"/>
      </w:pPr>
      <w:r>
        <w:rPr>
          <w:rFonts w:hint="eastAsia"/>
        </w:rPr>
        <w:t xml:space="preserve">法国卫生部门统计，截至5月26日已有至少7人死于本轮高温相关事件，其中5人为溺水。欧洲新闻网科学记者Jeremy</w:t>
      </w:r>
      <w:r>
        <w:t xml:space="preserve"> </w:t>
      </w:r>
      <w:r>
        <w:rPr>
          <w:rFonts w:hint="eastAsia"/>
        </w:rPr>
        <w:t xml:space="preserve">Wilks梳理称，本次热浪在5月即出现的强度“接近历年7月峰值”。伦敦帝国理工学院气候归因专家Friederike</w:t>
      </w:r>
      <w:r>
        <w:t xml:space="preserve"> </w:t>
      </w:r>
      <w:r>
        <w:rPr>
          <w:rFonts w:hint="eastAsia"/>
        </w:rPr>
        <w:t xml:space="preserve">Otto表示，事件“满身都是气候变化的指纹”。</w:t>
      </w:r>
    </w:p>
    <w:p>
      <w:pPr>
        <w:pStyle w:val="BodyText"/>
      </w:pPr>
      <w:r>
        <w:rPr>
          <w:rFonts w:hint="eastAsia"/>
        </w:rPr>
        <w:t xml:space="preserve">联合国气候变化负责人Simon</w:t>
      </w:r>
      <w:r>
        <w:t xml:space="preserve"> </w:t>
      </w:r>
      <w:r>
        <w:rPr>
          <w:rFonts w:hint="eastAsia"/>
        </w:rPr>
        <w:t xml:space="preserve">Stiell在声明中称，此次热浪是“气候危机影响不断螺旋上升的残酷提醒”。多国应急部门已启动公共纳凉点、调整学校与户外作业时段，西班牙南部多市要求建筑工地在午后高温时段强制停工。能源侧，南欧电网空调负荷较常年5月均值高出约25%，电力批发价被推升至冬季峰值水平。</w:t>
      </w:r>
    </w:p>
    <w:p>
      <w:pPr>
        <w:pStyle w:val="BodyText"/>
      </w:pPr>
      <w:r>
        <w:rPr>
          <w:b/>
          <w:bCs/>
        </w:rPr>
        <w:t xml:space="preserve">References</w:t>
      </w:r>
    </w:p>
    <w:p>
      <w:pPr>
        <w:pStyle w:val="BodyText"/>
      </w:pPr>
      <w:r>
        <w:t xml:space="preserve">[14] Euronews. (2026, May 29). Podcast: An unusual heatwave, with a sinister twist. Euronews. https://www.euronews.com/my-europe/2026/05/29/podcast-an-unusual-heatwave-with-a-sinister-twist</w:t>
      </w:r>
    </w:p>
    <w:p>
      <w:r>
        <w:pict>
          <v:rect style="width:0;height:1.5pt" o:hralign="center" o:hrstd="t" o:hr="t"/>
        </w:pict>
      </w:r>
    </w:p>
    <w:bookmarkEnd w:id="19"/>
    <w:bookmarkStart w:id="20" w:name="意大利全国24小时大罢工铁路与航空大面积停摆"/>
    <w:p>
      <w:pPr>
        <w:pStyle w:val="Heading3"/>
      </w:pPr>
      <w:r>
        <w:rPr>
          <w:rFonts w:hint="eastAsia"/>
        </w:rPr>
        <w:t xml:space="preserve">意大利全国24小时大罢工，铁路与航空大面积停摆</w:t>
      </w:r>
    </w:p>
    <w:p>
      <w:pPr>
        <w:pStyle w:val="FirstParagraph"/>
      </w:pPr>
      <w:r>
        <w:rPr>
          <w:rFonts w:hint="eastAsia"/>
        </w:rPr>
        <w:t xml:space="preserve">意大利9家基层工会5月29日发起全国24小时大罢工，发起方包括CUB、SGB、ADL</w:t>
      </w:r>
      <w:r>
        <w:t xml:space="preserve"> Varese、SI-COBAS、USI-CIT、USI 1912、CUB </w:t>
      </w:r>
      <w:r>
        <w:rPr>
          <w:rFonts w:hint="eastAsia"/>
        </w:rPr>
        <w:t xml:space="preserve">Trasporti、SBM与FISI。铁路系统自5月28日21时停摆至29日21时，仅保留06:00—09:00与18:00—21:00两个保障班次窗口；高速公路服务区罢工覆盖22时至22时整整一日。</w:t>
      </w:r>
    </w:p>
    <w:p>
      <w:pPr>
        <w:pStyle w:val="BodyText"/>
      </w:pPr>
      <w:r>
        <w:rPr>
          <w:rFonts w:hint="eastAsia"/>
        </w:rPr>
        <w:t xml:space="preserve">空管员实施完整24小时罢工，罗马菲乌米奇诺、米兰马尔彭萨、那不勒斯、威尼斯马可波罗与博洛尼亚机场均受波及，多家航司提前取消或合并航班。罢工诉求集中在实际工资连续多年缩水、生活成本上行、社会福利削减、军费扩张以及加沙问题，工会方称政府“既无力改善劳动条件，也未对中东人道危机表态”。</w:t>
      </w:r>
    </w:p>
    <w:p>
      <w:pPr>
        <w:pStyle w:val="BodyText"/>
      </w:pPr>
      <w:r>
        <w:rPr>
          <w:rFonts w:hint="eastAsia"/>
        </w:rPr>
        <w:t xml:space="preserve">意大利此轮罢工与其他南欧国家的物价—工资压力相互呼应：欧元区核心通胀虽在回落，但实际购买力恢复进度落后于德法。Meloni政府2026年国防开支提升至GDP的2.1%、并削减部分福利补贴的预算决定，被基层工会视为本轮动员的直接导火索。</w:t>
      </w:r>
    </w:p>
    <w:p>
      <w:pPr>
        <w:pStyle w:val="BodyText"/>
      </w:pPr>
      <w:r>
        <w:rPr>
          <w:b/>
          <w:bCs/>
        </w:rPr>
        <w:t xml:space="preserve">References</w:t>
      </w:r>
    </w:p>
    <w:p>
      <w:pPr>
        <w:pStyle w:val="BodyText"/>
      </w:pPr>
      <w:r>
        <w:t xml:space="preserve">[15] The Local Italy. (2026, May 27). How Italy’s general strike will affect travel on Friday. The Local Italy. https://www.thelocal.it/20260527/how-italys-general-strike-will-affect-travel-on-friday</w:t>
      </w:r>
      <w:r>
        <w:t xml:space="preserve"> </w:t>
      </w:r>
      <w:r>
        <w:t xml:space="preserve">[16] Italy on Foot. (2026, May 29). Italy general strike May 29, 2026. Italy on Foot. https://italyonfoot.com/italy/italy-general-strike-may-29-2026/</w:t>
      </w:r>
      <w:r>
        <w:t xml:space="preserve"> </w:t>
      </w:r>
      <w:r>
        <w:t xml:space="preserve">[17] The Florentine. (2026, May 26). May 29 strike Italy. The Florentine. https://www.theflorentine.net/2026/05/26/may-29-strike-italy/</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0"/>
    <w:bookmarkEnd w:id="21"/>
    <w:bookmarkStart w:id="23" w:name="企业ipo与并购"/>
    <w:p>
      <w:pPr>
        <w:pStyle w:val="Heading2"/>
      </w:pPr>
      <w:r>
        <w:t xml:space="preserve">5. </w:t>
      </w:r>
      <w:r>
        <w:rPr>
          <w:rFonts w:hint="eastAsia"/>
        </w:rPr>
        <w:t xml:space="preserve">企业IPO与并购</w:t>
      </w:r>
    </w:p>
    <w:bookmarkStart w:id="22" w:name="欧委会无条件批准arla收购dmk与doc欧洲最大乳业整合落地"/>
    <w:p>
      <w:pPr>
        <w:pStyle w:val="Heading3"/>
      </w:pPr>
      <w:r>
        <w:rPr>
          <w:rFonts w:hint="eastAsia"/>
        </w:rPr>
        <w:t xml:space="preserve">欧委会无条件批准Arla收购DMK与DOC，欧洲最大乳业整合落地</w:t>
      </w:r>
    </w:p>
    <w:p>
      <w:pPr>
        <w:pStyle w:val="FirstParagraph"/>
      </w:pPr>
      <w:r>
        <w:rPr>
          <w:rFonts w:hint="eastAsia"/>
        </w:rPr>
        <w:t xml:space="preserve">欧委会5月29日依据《欧盟并购条例》对丹麦合作社Arla</w:t>
      </w:r>
      <w:r>
        <w:t xml:space="preserve"> Foods </w:t>
      </w:r>
      <w:r>
        <w:rPr>
          <w:rFonts w:hint="eastAsia"/>
        </w:rPr>
        <w:t xml:space="preserve">amba收购德国DMK</w:t>
      </w:r>
      <w:r>
        <w:t xml:space="preserve"> </w:t>
      </w:r>
      <w:r>
        <w:rPr>
          <w:rFonts w:hint="eastAsia"/>
        </w:rPr>
        <w:t xml:space="preserve">eG与荷兰DOC的交易作出无条件批准，认定交易“在欧洲经济区范围内不存在竞争担忧”。三方于4月17日完成正式通报，欧委会调查重点考察了丹麦、芬兰、德国、荷兰、瑞典五国生鲜原奶市场的竞争结构。</w:t>
      </w:r>
    </w:p>
    <w:p>
      <w:pPr>
        <w:pStyle w:val="BodyText"/>
      </w:pPr>
      <w:r>
        <w:rPr>
          <w:rFonts w:hint="eastAsia"/>
        </w:rPr>
        <w:t xml:space="preserve">合并后的实体将整合三家合作社旗下规模：Arla覆盖7个国家的7000余户社员；德国DMK约4000户农户；荷兰DOC约600户荷德农户。年合并原奶池规模约194亿公斤，合并营收超过200亿欧元，将成为欧洲规模最大、全球前列的乳制品合作社。</w:t>
      </w:r>
    </w:p>
    <w:p>
      <w:pPr>
        <w:pStyle w:val="BodyText"/>
      </w:pPr>
      <w:r>
        <w:rPr>
          <w:rFonts w:hint="eastAsia"/>
        </w:rPr>
        <w:t xml:space="preserve">欧委会认定丹麦、德国、荷兰与北欧各原奶采集市场仍保留多个具备议价能力的对手方，集中度上升幅度有限，无须附带补救承诺。交易定于6月1日完成交割，Arla已对外承诺维持各合作社既有的成员价机制与区域加工厂，避免在整合初期触发奶价波动与社员退社风险。</w:t>
      </w:r>
    </w:p>
    <w:p>
      <w:pPr>
        <w:pStyle w:val="BodyText"/>
      </w:pPr>
      <w:r>
        <w:rPr>
          <w:b/>
          <w:bCs/>
        </w:rPr>
        <w:t xml:space="preserve">References</w:t>
      </w:r>
    </w:p>
    <w:p>
      <w:pPr>
        <w:pStyle w:val="BodyText"/>
      </w:pPr>
      <w:r>
        <w:t xml:space="preserve">[18] European Commission. (2026, May 29). Commission unconditionally approves Arla’s acquisition of DMK and DOC. European Commission Press Corner. https://ec.europa.eu/commission/presscorner/detail/en/ip_26_1165</w:t>
      </w:r>
      <w:r>
        <w:t xml:space="preserve"> </w:t>
      </w:r>
      <w:r>
        <w:t xml:space="preserve">[19] Copenhagen Post. (2026, May 29). EU approves Arla’s major merger with German and Dutch group. Copenhagen Post. https://cphpost.dk/2026-05-29/news/round-up/eu-approves-arlas-major-merger-with-german-and-dutch-group/</w:t>
      </w:r>
      <w:r>
        <w:t xml:space="preserve"> </w:t>
      </w:r>
      <w:r>
        <w:t xml:space="preserve">[20] European Sting. (2026, May 29). Commission unconditionally approves Arla’s acquisition of DMK and DOC. European Sting. https://europeansting.com/2026/05/29/commission-unconditionally-approves-arlas-acquisition-of-dmk-and-doc/</w:t>
      </w:r>
      <w:r>
        <w:t xml:space="preserve"> </w:t>
      </w:r>
      <w:r>
        <w:t xml:space="preserve">[21] MLex. (2026, May 29). EU clears Arla’s acquisition of DMK and DOC unconditionally. MLex. https://www.mlex.com/mlex/mergers-acquisitions/articles/2483048</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2"/>
    <w:bookmarkEnd w:id="23"/>
    <w:bookmarkStart w:id="25" w:name="其他重要事件"/>
    <w:p>
      <w:pPr>
        <w:pStyle w:val="Heading2"/>
      </w:pPr>
      <w:r>
        <w:t xml:space="preserve">6. </w:t>
      </w:r>
      <w:r>
        <w:rPr>
          <w:rFonts w:hint="eastAsia"/>
        </w:rPr>
        <w:t xml:space="preserve">其他重要事件</w:t>
      </w:r>
    </w:p>
    <w:bookmarkStart w:id="24" w:name="欧洲国防开支四年增75五大产业链分享3810亿欧元订单"/>
    <w:p>
      <w:pPr>
        <w:pStyle w:val="Heading3"/>
      </w:pPr>
      <w:r>
        <w:rPr>
          <w:rFonts w:hint="eastAsia"/>
        </w:rPr>
        <w:t xml:space="preserve">欧洲国防开支四年增75%，五大产业链分享3810亿欧元订单</w:t>
      </w:r>
    </w:p>
    <w:p>
      <w:pPr>
        <w:pStyle w:val="FirstParagraph"/>
      </w:pPr>
      <w:r>
        <w:rPr>
          <w:rFonts w:hint="eastAsia"/>
        </w:rPr>
        <w:t xml:space="preserve">欧盟国防开支已从2021年的两千一百八十亿欧元跃升至2025年的三千八百一十亿欧元，四年累计增幅约四分之三。包含非欧盟欧洲国家在内，欧洲整体军费按年增长一成有余，总额达到八千六百四十亿欧元。北约32个成员国2025年首次全部达到GDP两个点的开支门槛，海牙2025年峰会进一步将目标上调至2035年GDP的五个点。</w:t>
      </w:r>
    </w:p>
    <w:p>
      <w:pPr>
        <w:pStyle w:val="BodyText"/>
      </w:pPr>
      <w:r>
        <w:rPr>
          <w:rFonts w:hint="eastAsia"/>
        </w:rPr>
        <w:t xml:space="preserve">欧委会“ReArm</w:t>
      </w:r>
      <w:r>
        <w:t xml:space="preserve"> </w:t>
      </w:r>
      <w:r>
        <w:rPr>
          <w:rFonts w:hint="eastAsia"/>
        </w:rPr>
        <w:t xml:space="preserve">Europe”计划拟动用八千亿欧元工具箱，并测算若各国将国防开支再上调一个半点，未来四年可释放约六千五百亿欧元财政空间。欧洲新闻网点名五大受益产业链：弹药等防务邻接制造（产能由2022年约三十万发/年增至2025年底的约两百万发/年）、无人机（欧盟“EDDI”反无人机盾计划2027年成型）、网络安全、工业金属、半导体。</w:t>
      </w:r>
    </w:p>
    <w:p>
      <w:pPr>
        <w:pStyle w:val="BodyText"/>
      </w:pPr>
      <w:r>
        <w:rPr>
          <w:rFonts w:hint="eastAsia"/>
        </w:rPr>
        <w:t xml:space="preserve">国别层面，德国2026年防务预算升至一千一百七十二亿欧元（GDP占比约三点二个点），法国为六百八十五亿欧元（占比略高于两个点）。欧洲防务局警告：“欧洲防务工业基础仍然碎片化，并依赖非欧洲微电子。”换言之，半导体、关键金属与精密制造的本土化将决定这一轮军费扩张能否真正转化为欧洲产业能力，而非美韩台供应商的订单簿。</w:t>
      </w:r>
    </w:p>
    <w:p>
      <w:pPr>
        <w:pStyle w:val="BodyText"/>
      </w:pPr>
      <w:r>
        <w:rPr>
          <w:b/>
          <w:bCs/>
        </w:rPr>
        <w:t xml:space="preserve">References</w:t>
      </w:r>
    </w:p>
    <w:p>
      <w:pPr>
        <w:pStyle w:val="BodyText"/>
      </w:pPr>
      <w:r>
        <w:t xml:space="preserve">[22] Hajdari, U. (2026, May 29). Five industries benefiting from Europe’s defence spending boom. Euronews. https://www.euronews.com/business/2026/05/29/five-industries-benefiting-from-europes-defence-spending-boom</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2026-05-29T12:39:37Z</dcterms:created>
  <dcterms:modified xsi:type="dcterms:W3CDTF">2026-05-29T12:39:37Z</dcterms:modified>
</cp:coreProperties>
</file>

<file path=docProps/custom.xml><?xml version="1.0" encoding="utf-8"?>
<Properties xmlns="http://schemas.openxmlformats.org/officeDocument/2006/custom-properties" xmlns:vt="http://schemas.openxmlformats.org/officeDocument/2006/docPropsVTypes"/>
</file>