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c9e7eb0e5499f19f41171662d873f4cfd98fb8"/>
    <w:p>
      <w:pPr>
        <w:pStyle w:val="Heading1"/>
      </w:pPr>
      <w:r>
        <w:t xml:space="preserve">China Daily News Intelligence — June 23, 2026</w:t>
      </w:r>
    </w:p>
    <w:bookmarkStart w:id="11" w:name="economy-markets"/>
    <w:p>
      <w:pPr>
        <w:pStyle w:val="Heading2"/>
      </w:pPr>
      <w:r>
        <w:t xml:space="preserve">1. Economy &amp; Markets</w:t>
      </w:r>
    </w:p>
    <w:bookmarkStart w:id="9" w:name="X839846d05b829ef5b6bb05e758b245b4a334d4c"/>
    <w:p>
      <w:pPr>
        <w:pStyle w:val="Heading3"/>
      </w:pPr>
      <w:r>
        <w:t xml:space="preserve">People’s Bank of China lets six state banks trade offshore yuan from Shanghai zone</w:t>
      </w:r>
    </w:p>
    <w:p>
      <w:pPr>
        <w:pStyle w:val="FirstParagraph"/>
      </w:pPr>
      <w:r>
        <w:t xml:space="preserve">The People’s Bank of China has authorized six major Chinese banks to conduct offshore yuan trading directly from Shanghai’s Free Trade Zone, a policy change announced June 23 that lets the banks quote and settle offshore yuan (CNH) transactions from onshore accounts. The mechanism effectively bridges the previously walled-off onshore (CNY) and offshore (CNH) markets — two prices for the same currency that have traded separately for over a decade. The authorized banks include ICBC, Bank of China and China Construction Bank, with the pilot running through the China Foreign Exchange Trade System.</w:t>
      </w:r>
    </w:p>
    <w:p>
      <w:pPr>
        <w:pStyle w:val="BodyText"/>
      </w:pPr>
      <w:r>
        <w:t xml:space="preserve">PBoC Governor Pan Gongsheng said the move is intended to improve yuan pricing efficiency and widen the currency’s use in cross-border trade settlement. The step is incremental, not a leap: Beijing is creating a controlled channel that can feed offshore CNH liquidity without dismantling its capital controls or surrendering monetary sovereignty. The authorization sits alongside a broader policy package unveiled at the Lujiazui Forum days earlier, where the central bank also moved to expand cross-border payments using the digital yuan.</w:t>
      </w:r>
    </w:p>
    <w:p>
      <w:pPr>
        <w:pStyle w:val="BodyText"/>
      </w:pPr>
      <w:r>
        <w:t xml:space="preserve">The push reflects China’s long campaign to lift the yuan’s role in global trade, particularly with Belt and Road partners and BRICS nations, as it seeks alternatives to dollar-dominated settlement. The measure stops well short of full capital account liberalization, which Beijing has avoided for fear of triggering destabilizing outflows.</w:t>
      </w:r>
    </w:p>
    <w:p>
      <w:pPr>
        <w:pStyle w:val="BodyText"/>
      </w:pPr>
      <w:r>
        <w:rPr>
          <w:b/>
          <w:bCs/>
        </w:rPr>
        <w:t xml:space="preserve">References</w:t>
      </w:r>
    </w:p>
    <w:p>
      <w:pPr>
        <w:pStyle w:val="BodyText"/>
      </w:pPr>
      <w:r>
        <w:t xml:space="preserve">[1] Miller, P. (2026, June 23). China pushes yuan internationalization with major banking initiative. Value The Markets. https://www.valuethemarkets.com/analysis/china-pushes-yuan-internationalisation-with-major-banking-initiative</w:t>
      </w:r>
      <w:r>
        <w:t xml:space="preserve"> </w:t>
      </w:r>
      <w:r>
        <w:t xml:space="preserve">[2] Bloomberg. (2026, June 23). China links offshore-onshore yuan in tweak toward broader use. Bloomberg. https://www.bloomberg.com/news/articles/2026-06-23/china-links-offshore-onshore-yuan-in-tweak-toward-broader-use</w:t>
      </w:r>
      <w:r>
        <w:t xml:space="preserve"> </w:t>
      </w:r>
      <w:r>
        <w:t xml:space="preserve">[3] Pudong Government. (2026, June 18). PBOC announces six financial policy measures at Lujiazui Forum. Shanghai Pudong Government. https://english.pudong.gov.cn/chinashftz/2026-06/18/c_1191665.htm</w:t>
      </w:r>
    </w:p>
    <w:p>
      <w:r>
        <w:pict>
          <v:rect style="width:0;height:1.5pt" o:hralign="center" o:hrstd="t" o:hr="t"/>
        </w:pict>
      </w:r>
    </w:p>
    <w:bookmarkEnd w:id="9"/>
    <w:bookmarkStart w:id="10" w:name="Xe76a3dc61f7fd8d16bdad7c8bcd075aa90cd449"/>
    <w:p>
      <w:pPr>
        <w:pStyle w:val="Heading3"/>
      </w:pPr>
      <w:r>
        <w:t xml:space="preserve">China’s 618 shopping festival growth slows to 4% as consumer spending stays weak</w:t>
      </w:r>
    </w:p>
    <w:p>
      <w:pPr>
        <w:pStyle w:val="FirstParagraph"/>
      </w:pPr>
      <w:r>
        <w:t xml:space="preserve">China’s 618 shopping festival recorded gross merchandise volume of roughly 934 billion yuan in 2026, up only 4% year-on-year — a sharp deceleration from the 15.2% growth posted in 2025. The collapse in momentum lays bare the persistence of consumer caution despite repeated rounds of government stimulus aimed at reviving demand. The 618 event, named for its June 18 anchor date, is China’s second-largest annual e-commerce blitz after Singles’ Day.</w:t>
      </w:r>
    </w:p>
    <w:p>
      <w:pPr>
        <w:pStyle w:val="BodyText"/>
      </w:pPr>
      <w:r>
        <w:t xml:space="preserve">JD.com, Tmall (owned by Alibaba) and Pinduoduo all ran promotions, with JD.com stretching its window to a record 30 days in an attempt to coax more spending out of hesitant shoppers. The longer runway did little for the headline number. Analysts pointed to weak household confidence, subdued wage growth and a still-deflating property market as the drag on sentiment.</w:t>
      </w:r>
    </w:p>
    <w:p>
      <w:pPr>
        <w:pStyle w:val="BodyText"/>
      </w:pPr>
      <w:r>
        <w:t xml:space="preserve">The data lands as Beijing tries to pivot the economy toward consumption-led growth under the 15th Five-Year Plan, a rebalancing that the festival’s flat showing suggests remains a long way off.</w:t>
      </w:r>
    </w:p>
    <w:p>
      <w:pPr>
        <w:pStyle w:val="BodyText"/>
      </w:pPr>
      <w:r>
        <w:rPr>
          <w:b/>
          <w:bCs/>
        </w:rPr>
        <w:t xml:space="preserve">References</w:t>
      </w:r>
    </w:p>
    <w:p>
      <w:pPr>
        <w:pStyle w:val="BodyText"/>
      </w:pPr>
      <w:r>
        <w:t xml:space="preserve">[4] Cheng, E. (2026, June 23). China’s 618 shopping festival growth slows sharply. CNBC. https://www.cnbc.com/2026/06/23/chinas-618-shopping-festival-growth-slows-sharply.html</w:t>
      </w:r>
    </w:p>
    <w:p>
      <w:r>
        <w:pict>
          <v:rect style="width:0;height:1.5pt" o:hralign="center" o:hrstd="t" o:hr="t"/>
        </w:pict>
      </w:r>
    </w:p>
    <w:p>
      <w:pPr>
        <w:pStyle w:val="FirstParagraph"/>
      </w:pPr>
      <w:r>
        <w:rPr>
          <w:i/>
          <w:iCs/>
        </w:rPr>
        <w:t xml:space="preserve">Note: only 2 stories met T1-T4 standards for this category today.</w:t>
      </w:r>
    </w:p>
    <w:bookmarkEnd w:id="10"/>
    <w:bookmarkEnd w:id="11"/>
    <w:bookmarkStart w:id="14" w:name="politics-diplomacy"/>
    <w:p>
      <w:pPr>
        <w:pStyle w:val="Heading2"/>
      </w:pPr>
      <w:r>
        <w:t xml:space="preserve">2. Politics &amp; Diplomacy</w:t>
      </w:r>
    </w:p>
    <w:bookmarkStart w:id="12" w:name="X7835f00a92be0adff268865d4a338bd18adc3d5"/>
    <w:p>
      <w:pPr>
        <w:pStyle w:val="Heading3"/>
      </w:pPr>
      <w:r>
        <w:t xml:space="preserve">Summer Davos opens in Dalian as Premier Li Qiang delivers special address</w:t>
      </w:r>
    </w:p>
    <w:p>
      <w:pPr>
        <w:pStyle w:val="FirstParagraph"/>
      </w:pPr>
      <w:r>
        <w:t xml:space="preserve">The 17th Annual Meeting of the New Champions — Summer Davos — opened June 23, 2026 in Dalian, Liaoning province, under the theme</w:t>
      </w:r>
      <w:r>
        <w:t xml:space="preserve"> </w:t>
      </w:r>
      <w:r>
        <w:t xml:space="preserve">“Innovating at Scale,”</w:t>
      </w:r>
      <w:r>
        <w:t xml:space="preserve"> </w:t>
      </w:r>
      <w:r>
        <w:t xml:space="preserve">convening more than 1,700 leaders from business, government, science and academia across 90+ countries. Premier Li Qiang attended the opening plenary and delivered a special address, with the World Economic Forum gathering set to run through June 25.</w:t>
      </w:r>
    </w:p>
    <w:p>
      <w:pPr>
        <w:pStyle w:val="BodyText"/>
      </w:pPr>
      <w:r>
        <w:t xml:space="preserve">Day 1 featured the launch of the WEF</w:t>
      </w:r>
      <w:r>
        <w:t xml:space="preserve"> </w:t>
      </w:r>
      <w:r>
        <w:t xml:space="preserve">“Top 10 Emerging Technologies 2026”</w:t>
      </w:r>
      <w:r>
        <w:t xml:space="preserve"> </w:t>
      </w:r>
      <w:r>
        <w:t xml:space="preserve">report and a flagship session titled</w:t>
      </w:r>
      <w:r>
        <w:t xml:space="preserve"> </w:t>
      </w:r>
      <w:r>
        <w:t xml:space="preserve">“No Power, No AI”</w:t>
      </w:r>
      <w:r>
        <w:t xml:space="preserve"> </w:t>
      </w:r>
      <w:r>
        <w:t xml:space="preserve">featuring Robin Zeng, founder and CEO of battery giant CATL. The programme is organized around five questions: finding prosperity amid shifting trade patterns, decoding China’s next economic chapter, applying technology in the real economy, generating jobs for the next generation, and turning the energy transition into a competitive edge.</w:t>
      </w:r>
    </w:p>
    <w:p>
      <w:pPr>
        <w:pStyle w:val="BodyText"/>
      </w:pPr>
      <w:r>
        <w:t xml:space="preserve">The Dalian forum, the summer counterpart to the January gathering in the Swiss Alps, is a recurring stage on which Beijing courts foreign business at a moment of strained trade ties. Organizers said the main venue and core facilities would run entirely on renewable electricity.</w:t>
      </w:r>
    </w:p>
    <w:p>
      <w:pPr>
        <w:pStyle w:val="BodyText"/>
      </w:pPr>
      <w:r>
        <w:rPr>
          <w:b/>
          <w:bCs/>
        </w:rPr>
        <w:t xml:space="preserve">References</w:t>
      </w:r>
    </w:p>
    <w:p>
      <w:pPr>
        <w:pStyle w:val="BodyText"/>
      </w:pPr>
      <w:r>
        <w:t xml:space="preserve">[5] World Economic Forum. (2026, June 23). Summer Davos Day 1: AI race, trade strain, future. Mirage News. https://www.miragenews.com/summer-davos-day-1-ai-race-trade-strain-future-1696899/</w:t>
      </w:r>
      <w:r>
        <w:t xml:space="preserve"> </w:t>
      </w:r>
      <w:r>
        <w:t xml:space="preserve">[6] Digitimes. (2026, June 23). China industrial manufacturing equipment Dalian. Digitimes. https://www.digitimes.com/news/a20260623PD225/china-industrial-manufacturing-equipment-dalian.html</w:t>
      </w:r>
      <w:r>
        <w:t xml:space="preserve"> </w:t>
      </w:r>
      <w:r>
        <w:t xml:space="preserve">[7] World Economic Forum. (2026, June 22). Summer Davos 2026: What to expect as leaders arrive in Dalian. World Economic Forum. https://www.weforum.org/stories/2026/06/summer-davos-amnc-2026-preview-live-updates/</w:t>
      </w:r>
    </w:p>
    <w:p>
      <w:r>
        <w:pict>
          <v:rect style="width:0;height:1.5pt" o:hralign="center" o:hrstd="t" o:hr="t"/>
        </w:pict>
      </w:r>
    </w:p>
    <w:bookmarkEnd w:id="12"/>
    <w:bookmarkStart w:id="13" w:name="X2ee8f64c2122ca84da210da863a880ed557f734"/>
    <w:p>
      <w:pPr>
        <w:pStyle w:val="Heading3"/>
      </w:pPr>
      <w:r>
        <w:t xml:space="preserve">India and China say ties moving toward improvement after Wang Yi-Doval BRICS talks</w:t>
      </w:r>
    </w:p>
    <w:p>
      <w:pPr>
        <w:pStyle w:val="FirstParagraph"/>
      </w:pPr>
      <w:r>
        <w:t xml:space="preserve">Indian National Security Adviser Ajit Doval met Chinese Foreign Minister Wang Yi on June 22 on the sidelines of the 16th Meeting of BRICS National Security Advisors in New Delhi, with both sides saying relations were moving toward gradual normalisation. India holds the rotating BRICS presidency. India’s Ministry of External Affairs spokesman Randhir Jaiswal described the talks as constructive and forward-looking, saying the two sides reviewed bilateral relations and noted progress.</w:t>
      </w:r>
    </w:p>
    <w:p>
      <w:pPr>
        <w:pStyle w:val="BodyText"/>
      </w:pPr>
      <w:r>
        <w:t xml:space="preserve">Doval stressed that stable, predictable and constructive ties between the two countries help build trust and cooperation. Wang Yi — who also directs the Office of the Central Foreign Affairs Commission and serves as Beijing’s special representative on the India-China boundary question — said the two nations should regard each other as partners. Senior Indian officials at the meeting included Foreign Secretary Vikram Misri and Ambassador Vikram Doraiswami.</w:t>
      </w:r>
    </w:p>
    <w:p>
      <w:pPr>
        <w:pStyle w:val="BodyText"/>
      </w:pPr>
      <w:r>
        <w:t xml:space="preserve">The thaw traces back to the deadly 2020 Galwan Valley clash, the worst border violence between the two armies in decades, and a 2024 de-escalation agreement that ended the eastern Ladakh standoff. Since then the neighbours have resumed direct flights, eased visa restrictions and restarted the Kailash-Mansarovar pilgrimage. At their last New Delhi meeting, the two established an expert group to explore an</w:t>
      </w:r>
      <w:r>
        <w:t xml:space="preserve"> </w:t>
      </w:r>
      <w:r>
        <w:t xml:space="preserve">“early harvest”</w:t>
      </w:r>
      <w:r>
        <w:t xml:space="preserve"> </w:t>
      </w:r>
      <w:r>
        <w:t xml:space="preserve">on boundary delimitation and agreed to begin discussions on de-escalation along the Line of Actual Control.</w:t>
      </w:r>
    </w:p>
    <w:p>
      <w:pPr>
        <w:pStyle w:val="BodyText"/>
      </w:pPr>
      <w:r>
        <w:rPr>
          <w:b/>
          <w:bCs/>
        </w:rPr>
        <w:t xml:space="preserve">References</w:t>
      </w:r>
    </w:p>
    <w:p>
      <w:pPr>
        <w:pStyle w:val="BodyText"/>
      </w:pPr>
      <w:r>
        <w:t xml:space="preserve">[8] Bloomberg. (2026, June 23). India and China say ties are moving toward improvement. Bloomberg. https://www.bloomberg.com/news/articles/2026-06-23/india-and-china-say-ties-are-moving-toward-improvement</w:t>
      </w:r>
      <w:r>
        <w:t xml:space="preserve"> </w:t>
      </w:r>
      <w:r>
        <w:t xml:space="preserve">[9] Tribune India. (2026, June 23). Ajit Doval and Wang Yi hold constructive talks on normalising India-China ties. The Tribune. https://www.tribuneindia.com/news/world/ajit-doval-and-wang-yi-hold-constructive-talks-on-normalising-india-china-ties/</w:t>
      </w:r>
      <w:r>
        <w:t xml:space="preserve"> </w:t>
      </w:r>
      <w:r>
        <w:t xml:space="preserve">[10] Daily Pioneer. (2026, June 23). Chinese FM to attend BRICS meeting in Delhi. The Pioneer. https://www.dailypioneer.com/news/slug-lite/chinese-fm-to-attend-brics-meeting-in-delhi?year=2026</w:t>
      </w:r>
      <w:r>
        <w:t xml:space="preserve"> </w:t>
      </w:r>
      <w:r>
        <w:t xml:space="preserve">[11] The Wire. (2026, June 23). Doval, Wang Yi note progress towards gradual normalisation of ties: India. The Wire. https://m.thewire.in/article/diplomacy/doval-wang-yi-note-progress-gradual-normalisation-says-india</w:t>
      </w:r>
    </w:p>
    <w:p>
      <w:r>
        <w:pict>
          <v:rect style="width:0;height:1.5pt" o:hralign="center" o:hrstd="t" o:hr="t"/>
        </w:pict>
      </w:r>
    </w:p>
    <w:p>
      <w:pPr>
        <w:pStyle w:val="FirstParagraph"/>
      </w:pPr>
      <w:r>
        <w:rPr>
          <w:i/>
          <w:iCs/>
        </w:rPr>
        <w:t xml:space="preserve">Note: only 2 stories met T1-T4 standards for this category today.</w:t>
      </w:r>
    </w:p>
    <w:bookmarkEnd w:id="13"/>
    <w:bookmarkEnd w:id="14"/>
    <w:bookmarkStart w:id="18" w:name="technology-industry"/>
    <w:p>
      <w:pPr>
        <w:pStyle w:val="Heading2"/>
      </w:pPr>
      <w:r>
        <w:t xml:space="preserve">3. Technology &amp; Industry</w:t>
      </w:r>
    </w:p>
    <w:bookmarkStart w:id="15" w:name="X0322b01fa2af92cfa62bb4dbc036dcb32deb518"/>
    <w:p>
      <w:pPr>
        <w:pStyle w:val="Heading3"/>
      </w:pPr>
      <w:r>
        <w:t xml:space="preserve">Beijing steps up tech scrutiny but a repeat of the 2021 crackdown looks unlikely</w:t>
      </w:r>
    </w:p>
    <w:p>
      <w:pPr>
        <w:pStyle w:val="FirstParagraph"/>
      </w:pPr>
      <w:r>
        <w:t xml:space="preserve">Beijing has intensified corporate regulatory enforcement through 2026, yet analysts say it is unlikely to reprise the 2021 crackdown that wiped out more than $1 trillion from Chinese tech stocks. Since January, officials opened a formal antitrust probe into Trip.com, China’s largest online travel agency, over alleged abuse of market dominance — forcing merchants into exclusive deals before raising commission fees. Citi analysts estimate the probe could bring a fine of up to 4.9 billion yuan ($723 million).</w:t>
      </w:r>
    </w:p>
    <w:p>
      <w:pPr>
        <w:pStyle w:val="BodyText"/>
      </w:pPr>
      <w:r>
        <w:t xml:space="preserve">Regulators also summoned a dozen tech giants — including Alibaba, Tencent, ByteDance’s Douyin, Baidu, JD.com and Meituan — over aggressive price competition ahead of the June 618 festival. In May, market regulators levied food-safety penalties totalling 3.6 billion yuan against e-commerce and food-delivery platforms.</w:t>
      </w:r>
    </w:p>
    <w:p>
      <w:pPr>
        <w:pStyle w:val="BodyText"/>
      </w:pPr>
      <w:r>
        <w:t xml:space="preserve">The actions fall under Beijing’s</w:t>
      </w:r>
      <w:r>
        <w:t xml:space="preserve"> </w:t>
      </w:r>
      <w:r>
        <w:t xml:space="preserve">“anti-involution”</w:t>
      </w:r>
      <w:r>
        <w:t xml:space="preserve"> </w:t>
      </w:r>
      <w:r>
        <w:t xml:space="preserve">drive to curb the destructive, deflation-fuelling price wars and overcapacity spreading across industries. But the regulatory posture is calibrated, not scorched-earth. The 2021 episode blocked Ant Group’s record IPO, forced Didi to delist from New York and swept from after-school tutoring to property — erasing as much as $1.5 trillion at its worst. This time analysts argue regulators are far more constrained: Beijing needs these same platform firms to keep pouring capital into AI infrastructure, cloud and logistics, leaving little appetite for another value-destroying assault.</w:t>
      </w:r>
    </w:p>
    <w:p>
      <w:pPr>
        <w:pStyle w:val="BodyText"/>
      </w:pPr>
      <w:r>
        <w:rPr>
          <w:b/>
          <w:bCs/>
        </w:rPr>
        <w:t xml:space="preserve">References</w:t>
      </w:r>
    </w:p>
    <w:p>
      <w:pPr>
        <w:pStyle w:val="BodyText"/>
      </w:pPr>
      <w:r>
        <w:t xml:space="preserve">[12] CNBC. (2026, June 23). Beijing boosts tech scrutiny but repeat of 2021 crackdown is unlikely. CNBC. https://www.cnbc.com/2026/06/23/china-tech-crackdown-antitrust-tripcom-meituan-food-delivery-anti-involution-deflation-.html</w:t>
      </w:r>
      <w:r>
        <w:t xml:space="preserve"> </w:t>
      </w:r>
      <w:r>
        <w:t xml:space="preserve">[13] South China Morning Post. (2023, July 11). A timeline of China’s 32-month Big Tech crackdown that killed the world’s largest IPO and wiped out trillions in value. South China Morning Post. https://www.scmp.com/tech/big-tech/article/3227753/timeline-chinas-32-month-big-tech-crackdown-killed-worlds-largest-ipo-and-wiped-out-trillions-value</w:t>
      </w:r>
    </w:p>
    <w:p>
      <w:r>
        <w:pict>
          <v:rect style="width:0;height:1.5pt" o:hralign="center" o:hrstd="t" o:hr="t"/>
        </w:pict>
      </w:r>
    </w:p>
    <w:bookmarkEnd w:id="15"/>
    <w:bookmarkStart w:id="16" w:name="Xc47c6f6e92306a2fd76b4ff23dca1f40d130874"/>
    <w:p>
      <w:pPr>
        <w:pStyle w:val="Heading3"/>
      </w:pPr>
      <w:r>
        <w:t xml:space="preserve">Inside China’s race for tech self-reliance, from the Hefei Model to iFlytek and Gotion</w:t>
      </w:r>
    </w:p>
    <w:p>
      <w:pPr>
        <w:pStyle w:val="FirstParagraph"/>
      </w:pPr>
      <w:r>
        <w:t xml:space="preserve">China’s drive for technological self-sufficiency is crystallizing around state-backed regional strategies and a clutch of globally competitive firms, with Anhui province’s</w:t>
      </w:r>
      <w:r>
        <w:t xml:space="preserve"> </w:t>
      </w:r>
      <w:r>
        <w:t xml:space="preserve">“Hefei Model”</w:t>
      </w:r>
      <w:r>
        <w:t xml:space="preserve"> </w:t>
      </w:r>
      <w:r>
        <w:t xml:space="preserve">— government funds investing directly in tech companies rather than handing out subsidies — serving as the template. The approach, aligned with the 15th Five-Year Plan, prioritizes energy, batteries and solar, with the city’s state platforms acting as venture capitalists that take equity stakes and emphasize exit mechanisms.</w:t>
      </w:r>
    </w:p>
    <w:p>
      <w:pPr>
        <w:pStyle w:val="BodyText"/>
      </w:pPr>
      <w:r>
        <w:t xml:space="preserve">AI company iFlytek, founded in 1999 and partnered with Huawei, trained its</w:t>
      </w:r>
      <w:r>
        <w:t xml:space="preserve"> </w:t>
      </w:r>
      <w:r>
        <w:t xml:space="preserve">“Spark”</w:t>
      </w:r>
      <w:r>
        <w:t xml:space="preserve"> </w:t>
      </w:r>
      <w:r>
        <w:t xml:space="preserve">large language model on China’s first domestically built 10,000-card computing cluster and says it surpassed OpenAI’s GPT-4 Turbo on seven Chinese-language benchmarks. Its products now integrate with more than 50 automakers, including Hyundai, Toyota, Ford, BMW and Audi.</w:t>
      </w:r>
    </w:p>
    <w:p>
      <w:pPr>
        <w:pStyle w:val="BodyText"/>
      </w:pPr>
      <w:r>
        <w:t xml:space="preserve">Battery maker Gotion High-tech, in which Volkswagen has been the largest shareholder since 2020, ranked third in China’s EV battery market from January to April 2026 and operates or is building 10 overseas bases across Germany, Morocco, Slovakia, Thailand and Vietnam; its all-solid-state battery reaches 350 Wh/kg. Energy-storage firm Sungrow holds a 9% share of the global ESS integrator market across roughly 100 countries, putting it in direct competition with Tesla. Together the three companies show how Beijing’s industrial bet is producing exporters built to operate inside markets — the US, the EU — that Washington’s controls aim to wall off.</w:t>
      </w:r>
    </w:p>
    <w:p>
      <w:pPr>
        <w:pStyle w:val="BodyText"/>
      </w:pPr>
      <w:r>
        <w:rPr>
          <w:b/>
          <w:bCs/>
        </w:rPr>
        <w:t xml:space="preserve">References</w:t>
      </w:r>
    </w:p>
    <w:p>
      <w:pPr>
        <w:pStyle w:val="BodyText"/>
      </w:pPr>
      <w:r>
        <w:t xml:space="preserve">[14] Byun, H. (2026, June 23). Inside China’s race for tech self-reliance. The Korea Herald. https://m.koreaherald.com/article/10785321</w:t>
      </w:r>
    </w:p>
    <w:p>
      <w:r>
        <w:pict>
          <v:rect style="width:0;height:1.5pt" o:hralign="center" o:hrstd="t" o:hr="t"/>
        </w:pict>
      </w:r>
    </w:p>
    <w:bookmarkEnd w:id="16"/>
    <w:bookmarkStart w:id="17" w:name="Xbd9763dda77c2908cb71a555cd276b2eabcbe18"/>
    <w:p>
      <w:pPr>
        <w:pStyle w:val="Heading3"/>
      </w:pPr>
      <w:r>
        <w:t xml:space="preserve">48 Chinese developers seek antitrust probe into Apple over App Store fees</w:t>
      </w:r>
    </w:p>
    <w:p>
      <w:pPr>
        <w:pStyle w:val="FirstParagraph"/>
      </w:pPr>
      <w:r>
        <w:t xml:space="preserve">Forty-eight Chinese app developers filed an antitrust complaint against Apple Inc. with China’s market regulator on June 23, 2026, alleging the App Store charges commissions of up to 30% on digital purchases and subscriptions and abuses its dominant position in iOS distribution. The complaint, published on the WeChat blog of developer Tian Junwei, one of the signatories, accuses Apple of failing to deliver on a promise to offer the lowest commission rates in the Chinese market and of imposing unfair, excessively high costs on smaller developers.</w:t>
      </w:r>
    </w:p>
    <w:p>
      <w:pPr>
        <w:pStyle w:val="BodyText"/>
      </w:pPr>
      <w:r>
        <w:t xml:space="preserve">The developers asked the State Administration for Market Regulation to investigate and penalize Apple for using its control over the iOS distribution channel to limit competition. As of publication, neither Apple nor the regulator had commented.</w:t>
      </w:r>
    </w:p>
    <w:p>
      <w:pPr>
        <w:pStyle w:val="BodyText"/>
      </w:pPr>
      <w:r>
        <w:t xml:space="preserve">The filing adds China to a widening front of App Store challenges. Apple already faces antitrust pressure over its commission structure from the European Union, the United States and other Asian jurisdictions, and a separate class-action-style consumer suit over the so-called</w:t>
      </w:r>
      <w:r>
        <w:t xml:space="preserve"> </w:t>
      </w:r>
      <w:r>
        <w:t xml:space="preserve">“Apple tax”</w:t>
      </w:r>
      <w:r>
        <w:t xml:space="preserve"> </w:t>
      </w:r>
      <w:r>
        <w:t xml:space="preserve">surfaced in China in late 2025. The 30% cut — and Apple’s tight grip on what software iPhone users can install — sits at the center of each.</w:t>
      </w:r>
    </w:p>
    <w:p>
      <w:pPr>
        <w:pStyle w:val="BodyText"/>
      </w:pPr>
      <w:r>
        <w:rPr>
          <w:b/>
          <w:bCs/>
        </w:rPr>
        <w:t xml:space="preserve">References</w:t>
      </w:r>
    </w:p>
    <w:p>
      <w:pPr>
        <w:pStyle w:val="BodyText"/>
      </w:pPr>
      <w:r>
        <w:t xml:space="preserve">[15] Anadolu Agency. (2026, June 23). Chinese developers seek antitrust probe into Apple over App Store fees. Anadolu Agency. https://www.aa.com.tr/en/asia-pacific/chinese-developers-seek-antitrust-probe-into-apple-over-app-store-fees/3975167</w:t>
      </w:r>
      <w:r>
        <w:t xml:space="preserve"> </w:t>
      </w:r>
      <w:r>
        <w:t xml:space="preserve">[16] South China Morning Post. (2026, June 23). Apple faces fresh antitrust complaint from Chinese developers over</w:t>
      </w:r>
      <w:r>
        <w:t xml:space="preserve"> </w:t>
      </w:r>
      <w:r>
        <w:t xml:space="preserve">‘unfair’</w:t>
      </w:r>
      <w:r>
        <w:t xml:space="preserve"> </w:t>
      </w:r>
      <w:r>
        <w:t xml:space="preserve">App Store fees. South China Morning Post. https://www.scmp.com/tech/big-tech/article/3358024/apple-faces-fresh-antitrust-complaint-chinese-developers-over-unfair-app-store-fees</w:t>
      </w:r>
    </w:p>
    <w:p>
      <w:r>
        <w:pict>
          <v:rect style="width:0;height:1.5pt" o:hralign="center" o:hrstd="t" o:hr="t"/>
        </w:pict>
      </w:r>
    </w:p>
    <w:bookmarkEnd w:id="17"/>
    <w:bookmarkEnd w:id="18"/>
    <w:bookmarkStart w:id="20" w:name="society-livelihood"/>
    <w:p>
      <w:pPr>
        <w:pStyle w:val="Heading2"/>
      </w:pPr>
      <w:r>
        <w:t xml:space="preserve">4. Society &amp; Livelihood</w:t>
      </w:r>
    </w:p>
    <w:bookmarkStart w:id="19" w:name="X321baabd9ad2617743bc209a9d00e1ef9622452"/>
    <w:p>
      <w:pPr>
        <w:pStyle w:val="Heading3"/>
      </w:pPr>
      <w:r>
        <w:t xml:space="preserve">China launches probe after media reports of formamide in infant diapers</w:t>
      </w:r>
    </w:p>
    <w:p>
      <w:pPr>
        <w:pStyle w:val="FirstParagraph"/>
      </w:pPr>
      <w:r>
        <w:t xml:space="preserve">China’s State Administration for Market Regulation announced on June 23, 2026 that it had opened an investigation, with national health authorities, after a media report alleged the presence of formamide — a toxic substance that can cause dizziness and skin rashes — in infant diapers from three brands: Huggies, Babycare and Bibabebe. The original report, by the state-affiliated Economic Information Daily, said it commissioned third-party laboratory testing after receiving consumer complaints about infants developing repeated diaper rash and skin damage, and that the substance was detected in the blood and urine of some children who used the products.</w:t>
      </w:r>
    </w:p>
    <w:p>
      <w:pPr>
        <w:pStyle w:val="BodyText"/>
      </w:pPr>
      <w:r>
        <w:t xml:space="preserve">The regulator said it would promptly publish its findings but gave no timeline. All three manufacturers denied the allegations. Huggies said it was pursuing legal action against false, misleading and malicious brand-damaging information, and the companies said independent retesting found no formamide.</w:t>
      </w:r>
    </w:p>
    <w:p>
      <w:pPr>
        <w:pStyle w:val="BodyText"/>
      </w:pPr>
      <w:r>
        <w:t xml:space="preserve">The episode is acutely sensitive in China, where consumer-safety scandals involving children carry the long shadow of the 2008 contaminated infant milk powder catastrophe — in which melamine-adulterated formula sickened roughly 300,000 children, killed several infants and shattered public trust in domestic brands for years. Formamide, an industrial solvent used in some paper-making processes, is what regulators will now be testing for as parents across the country watch for the official result.</w:t>
      </w:r>
    </w:p>
    <w:p>
      <w:pPr>
        <w:pStyle w:val="BodyText"/>
      </w:pPr>
      <w:r>
        <w:rPr>
          <w:b/>
          <w:bCs/>
        </w:rPr>
        <w:t xml:space="preserve">References</w:t>
      </w:r>
    </w:p>
    <w:p>
      <w:pPr>
        <w:pStyle w:val="BodyText"/>
      </w:pPr>
      <w:r>
        <w:t xml:space="preserve">[17] AFP. (2026, June 23). China launches probe after media reports of contaminated diapers. Hong Kong Free Press. https://hongkongfp.com/2026/06/23/china-launches-probe-after-media-reports-of-contaminated-diapers/</w:t>
      </w:r>
      <w:r>
        <w:t xml:space="preserve"> </w:t>
      </w:r>
      <w:r>
        <w:t xml:space="preserve">[18] Global Times. (2026, June 23). Major diaper producers deny formamide claims as safety dispute awaits official test. Global Times. https://www.globaltimes.cn/page/202606/1364018.shtml</w:t>
      </w:r>
    </w:p>
    <w:p>
      <w:r>
        <w:pict>
          <v:rect style="width:0;height:1.5pt" o:hralign="center" o:hrstd="t" o:hr="t"/>
        </w:pict>
      </w:r>
    </w:p>
    <w:p>
      <w:pPr>
        <w:pStyle w:val="FirstParagraph"/>
      </w:pPr>
      <w:r>
        <w:rPr>
          <w:i/>
          <w:iCs/>
        </w:rPr>
        <w:t xml:space="preserve">Note: only 1 story met T1-T4 standards for this category today.</w:t>
      </w:r>
    </w:p>
    <w:bookmarkEnd w:id="19"/>
    <w:bookmarkEnd w:id="20"/>
    <w:bookmarkStart w:id="24" w:name="china-nexus-finance-investment"/>
    <w:p>
      <w:pPr>
        <w:pStyle w:val="Heading2"/>
      </w:pPr>
      <w:r>
        <w:t xml:space="preserve">5. China-Nexus Finance &amp; Investment</w:t>
      </w:r>
    </w:p>
    <w:bookmarkStart w:id="21" w:name="Xdd01436f3c8c1b930640668069e04e160bdeeec"/>
    <w:p>
      <w:pPr>
        <w:pStyle w:val="Heading3"/>
      </w:pPr>
      <w:r>
        <w:t xml:space="preserve">China sanctions US defense and rare earth firms in retaliation for Pentagon’s military list</w:t>
      </w:r>
    </w:p>
    <w:p>
      <w:pPr>
        <w:pStyle w:val="FirstParagraph"/>
      </w:pPr>
      <w:r>
        <w:t xml:space="preserve">China’s Ministry of Commerce on June 23, 2026 placed 10 US entities on its export control list, targeting rare earth and defense-linked firms including MP Materials, USA Rare Earth, Red Cat Holdings, Teal Drones and Ball Aerospace. Simultaneously, the Ministry of Finance barred 46 US defense contractors from government procurement, among them Lockheed Martin, Raytheon, General Dynamics and Boeing Defense. MP Materials and USA Rare Earth rank among the largest US rare earth producers, making the export controls a pointed strike at Washington’s bid to build a domestic critical-minerals supply chain.</w:t>
      </w:r>
    </w:p>
    <w:p>
      <w:pPr>
        <w:pStyle w:val="BodyText"/>
      </w:pPr>
      <w:r>
        <w:t xml:space="preserve">Beijing framed the measures as retaliation for the US Department of Defense’s June 8, 2026 expansion of its Chinese military company list to 188 entities — up from 134 a year earlier — which swept in prominent civilian names Alibaba, BYD and Baidu, extending the blacklist well beyond defense.</w:t>
      </w:r>
    </w:p>
    <w:p>
      <w:pPr>
        <w:pStyle w:val="BodyText"/>
      </w:pPr>
      <w:r>
        <w:t xml:space="preserve">The actions rely on China’s 2020 Export Control Law and 2021 Anti-Foreign Sanctions Law, the legal scaffolding Beijing has built to wield economic statecraft against foreign firms. The timing is awkward for China’s own pitch to investors: foreign direct investment inflows fell 8.6% year-on-year in the first five months of 2026, even as the government rolled out fresh measures the same week to lure overseas capital back.</w:t>
      </w:r>
    </w:p>
    <w:p>
      <w:pPr>
        <w:pStyle w:val="BodyText"/>
      </w:pPr>
      <w:r>
        <w:rPr>
          <w:b/>
          <w:bCs/>
        </w:rPr>
        <w:t xml:space="preserve">References</w:t>
      </w:r>
    </w:p>
    <w:p>
      <w:pPr>
        <w:pStyle w:val="BodyText"/>
      </w:pPr>
      <w:r>
        <w:t xml:space="preserve">[19] Pao, J. (2026, June 23). China sanctions US defense, rare earth firms in retaliation. Asia Times. https://asiatimes.com/2026/06/china-sanctions-us-defense-rare-earth-firms-in-retaliation/</w:t>
      </w:r>
      <w:r>
        <w:t xml:space="preserve"> </w:t>
      </w:r>
      <w:r>
        <w:t xml:space="preserve">[20] MINING.COM. (2026, June 22). China blacklists MP Materials, USA Rare Earth in critical minerals war. MINING.COM. https://www.mining.com/china-blacklists-mp-materials-usa-rare-earth-in-critical-minerals-war/</w:t>
      </w:r>
    </w:p>
    <w:p>
      <w:r>
        <w:pict>
          <v:rect style="width:0;height:1.5pt" o:hralign="center" o:hrstd="t" o:hr="t"/>
        </w:pict>
      </w:r>
    </w:p>
    <w:bookmarkEnd w:id="21"/>
    <w:bookmarkStart w:id="22" w:name="X3f06cfffa15bbd87e24fa5f1527b6dc82c34a37"/>
    <w:p>
      <w:pPr>
        <w:pStyle w:val="Heading3"/>
      </w:pPr>
      <w:r>
        <w:t xml:space="preserve">Chinese EV brands surge in Europe as BYD, Leapmotor and Chery expand share</w:t>
      </w:r>
    </w:p>
    <w:p>
      <w:pPr>
        <w:pStyle w:val="FirstParagraph"/>
      </w:pPr>
      <w:r>
        <w:t xml:space="preserve">Total new car registrations across the EU, UK and EFTA rose 3.6% to 1,152,523 vehicles in May 2026, with the first five months up 4.6% versus 2025 — and the growth was overwhelmingly electric. Battery-electric vehicles climbed 39.1%, plug-in hybrids 13.2% and hybrids 8.2%, together more than two-thirds of new registrations, while petrol and diesel each fell about 19%.</w:t>
      </w:r>
    </w:p>
    <w:p>
      <w:pPr>
        <w:pStyle w:val="BodyText"/>
      </w:pPr>
      <w:r>
        <w:t xml:space="preserve">Chinese automakers drove the standout numbers. Leapmotor registrations surged 465.1%, Chery 244.1%, BYD 136.6%, SAIC 13.9% and Geely 12.6%, even as legacy European carmakers Renault, Stellantis and Volkswagen each posted declines of 1-3% in their home market. Tesla registrations rose 107.9% to 28,610 units, a fourth straight month of growth.</w:t>
      </w:r>
    </w:p>
    <w:p>
      <w:pPr>
        <w:pStyle w:val="BodyText"/>
      </w:pPr>
      <w:r>
        <w:t xml:space="preserve">The figures harden a structural shift: Chinese brands are displacing European incumbents on their own turf, an export-led offensive accelerated by China’s domestic EV price wars and excess capacity. The advance comes despite EU tariffs of 17.0% to 35.3% imposed in late 2024 on China-made EVs — duties that have pushed BYD, Chery and others to build local plants in Hungary, Spain and elsewhere to sidestep the levies. Brussels is expected to review its trade-defence tools in the third quarter, a step that could extend duties to plug-in hybrids.</w:t>
      </w:r>
    </w:p>
    <w:p>
      <w:pPr>
        <w:pStyle w:val="BodyText"/>
      </w:pPr>
      <w:r>
        <w:rPr>
          <w:b/>
          <w:bCs/>
        </w:rPr>
        <w:t xml:space="preserve">References</w:t>
      </w:r>
    </w:p>
    <w:p>
      <w:pPr>
        <w:pStyle w:val="BodyText"/>
      </w:pPr>
      <w:r>
        <w:t xml:space="preserve">[21] Orusov, A. (2026, June 23). EV demand powers Europe car market in May, Chinese rivals expand share. Reuters. https://www.reuters.com/world/china/ev-demand-powers-europe-car-market-may-chinese-rivals-expand-share-2026-06-23/</w:t>
      </w:r>
      <w:r>
        <w:t xml:space="preserve"> </w:t>
      </w:r>
      <w:r>
        <w:t xml:space="preserve">[22] Global Banking &amp; Finance Review. (2026, June 23). EV demand powers Europe car market, Chinese rivals expand. Global Banking &amp; Finance Review. https://www.globalbankingandfinance.com/ev-demand-powers-europe-car-market-chinese-rivals-expand/</w:t>
      </w:r>
      <w:r>
        <w:t xml:space="preserve"> </w:t>
      </w:r>
      <w:r>
        <w:t xml:space="preserve">[23] Euronews. (2026, May 27). Chinese carmakers double EU market share as EVs drive sales growth. Euronews. https://www.euronews.com/business/2026/05/27/chinese-carmakers-double-eu-market-share-as-evs-drive-sales-growth</w:t>
      </w:r>
    </w:p>
    <w:p>
      <w:r>
        <w:pict>
          <v:rect style="width:0;height:1.5pt" o:hralign="center" o:hrstd="t" o:hr="t"/>
        </w:pict>
      </w:r>
    </w:p>
    <w:bookmarkEnd w:id="22"/>
    <w:bookmarkStart w:id="23" w:name="Xde5943a87c5e485f72585aa69bd24762439be33"/>
    <w:p>
      <w:pPr>
        <w:pStyle w:val="Heading3"/>
      </w:pPr>
      <w:r>
        <w:t xml:space="preserve">China unveils 15-measure action plan to revive foreign investment</w:t>
      </w:r>
    </w:p>
    <w:p>
      <w:pPr>
        <w:pStyle w:val="FirstParagraph"/>
      </w:pPr>
      <w:r>
        <w:t xml:space="preserve">China’s Commerce Ministry, the National Development and Reform Commission and the Finance Ministry jointly released a 15-measure action plan on June 23, 2026 to reverse a slide in foreign direct investment and encourage qualified overseas companies to list on domestic exchanges. Vice Minister of Commerce Ling Ji said nearly 4,000 foreign-funded companies added investment in China in the first five months of 2026, but total foreign investment flows fell 8.6% to 327.3 billion yuan over the same period.</w:t>
      </w:r>
    </w:p>
    <w:p>
      <w:pPr>
        <w:pStyle w:val="BodyText"/>
      </w:pPr>
      <w:r>
        <w:t xml:space="preserve">The measures include supporting qualified foreign firms to list on Chinese exchanges; allowing foreign equity investment firms to join listed companies’ share issuances as strategic investors; expanding market access in services, finance and pharmaceuticals; enabling foreign institutions to use risk-management instruments including treasury bonds and futures; and speeding up M&amp;A and cross-border payment procedures. The plan is built around five pillars — market access, investment facilitation, promotion capacity, service guarantees for foreign-invested firms, and investment administration.</w:t>
      </w:r>
    </w:p>
    <w:p>
      <w:pPr>
        <w:pStyle w:val="BodyText"/>
      </w:pPr>
      <w:r>
        <w:t xml:space="preserve">China hosts about 533,000 foreign companies, with foreign investment stock reaching US$4 trillion by end-2025. The package arrives the same week Beijing sanctioned dozens of US firms — a contradiction at the heart of its message, as the government simultaneously courts foreign capital and signals it will retaliate against companies caught in geopolitical crossfire.</w:t>
      </w:r>
    </w:p>
    <w:p>
      <w:pPr>
        <w:pStyle w:val="BodyText"/>
      </w:pPr>
      <w:r>
        <w:rPr>
          <w:b/>
          <w:bCs/>
        </w:rPr>
        <w:t xml:space="preserve">References</w:t>
      </w:r>
    </w:p>
    <w:p>
      <w:pPr>
        <w:pStyle w:val="BodyText"/>
      </w:pPr>
      <w:r>
        <w:t xml:space="preserve">[24] Staff reporter and Reuters. (2026, June 23). China unveils action plan to strengthen foreign investment. The Standard. https://www.thestandard.com.hk/finance/article/335266/China-unveils-action-plan-to-strengthen-foreign-investment</w:t>
      </w:r>
      <w:r>
        <w:t xml:space="preserve"> </w:t>
      </w:r>
      <w:r>
        <w:t xml:space="preserve">[25] CGTN. (2026, June 22). China unveils 15 measures to optimize foreign investment. CGTN. https://news.cgtn.com/news/2026-06-22/China-unveils-15-measures-to-optimize-foreign-investment-1Obm5e4BJvO/p.html</w:t>
      </w:r>
    </w:p>
    <w:p>
      <w:r>
        <w:pict>
          <v:rect style="width:0;height:1.5pt" o:hralign="center" o:hrstd="t" o:hr="t"/>
        </w:pict>
      </w:r>
    </w:p>
    <w:bookmarkEnd w:id="23"/>
    <w:bookmarkEnd w:id="24"/>
    <w:bookmarkStart w:id="27" w:name="corporate-ipo-ma"/>
    <w:p>
      <w:pPr>
        <w:pStyle w:val="Heading2"/>
      </w:pPr>
      <w:r>
        <w:t xml:space="preserve">6. Corporate IPO &amp; M&amp;A</w:t>
      </w:r>
    </w:p>
    <w:bookmarkStart w:id="25" w:name="X5fb841c1603fd9aaa529c4a010b904d88a56cb1"/>
    <w:p>
      <w:pPr>
        <w:pStyle w:val="Heading3"/>
      </w:pPr>
      <w:r>
        <w:t xml:space="preserve">CR New Energy raises $3.6B in China’s largest-ever Shenzhen IPO</w:t>
      </w:r>
    </w:p>
    <w:p>
      <w:pPr>
        <w:pStyle w:val="FirstParagraph"/>
      </w:pPr>
      <w:r>
        <w:t xml:space="preserve">CR New Energy Holdings Co. raised approximately RMB 24.5 billion (USD 3.6 billion) in its initial public offering on the Shenzhen Stock Exchange on June 23, 2026, making it the largest IPO in the bourse’s history. The wind and solar power producer — spun off from state-backed China Resources Power Holdings — priced 2.42 billion shares at RMB 10.11 each, with the retail tranche 683 times oversubscribed even after a clawback, a measure of the ferocious domestic appetite for the deal.</w:t>
      </w:r>
    </w:p>
    <w:p>
      <w:pPr>
        <w:pStyle w:val="BodyText"/>
      </w:pPr>
      <w:r>
        <w:t xml:space="preserve">CR New Energy is China’s third-largest renewable energy producer by installed capacity. It plans to channel the proceeds into roughly 7.18 GW of new wind and solar projects across the country, advancing its parent’s strategy of carving out and separately listing its clean-energy arm on the mainland.</w:t>
      </w:r>
    </w:p>
    <w:p>
      <w:pPr>
        <w:pStyle w:val="BodyText"/>
      </w:pPr>
      <w:r>
        <w:t xml:space="preserve">The record raise underscores how state-linked renewable champions are tapping deep onshore retail demand at a time when offshore listings remain constrained, and how Beijing’s clean-energy buildout continues to absorb vast capital even as the broader IPO market stays cautious.</w:t>
      </w:r>
    </w:p>
    <w:p>
      <w:pPr>
        <w:pStyle w:val="BodyText"/>
      </w:pPr>
      <w:r>
        <w:rPr>
          <w:b/>
          <w:bCs/>
        </w:rPr>
        <w:t xml:space="preserve">References</w:t>
      </w:r>
    </w:p>
    <w:p>
      <w:pPr>
        <w:pStyle w:val="BodyText"/>
      </w:pPr>
      <w:r>
        <w:t xml:space="preserve">[26] Bloomberg. (2026, June 23). CR New Energy raises $3.6 billion in Shenzhen IPO. Bloomberg. https://www.bloomberg.com/news/articles/2026-06-23/cr-new-energy-raises-3-6-billion-in-shenzhen-ipo</w:t>
      </w:r>
      <w:r>
        <w:t xml:space="preserve"> </w:t>
      </w:r>
      <w:r>
        <w:t xml:space="preserve">[27] Bloomberg. (2026, June 23). CR New Energy’s record IPO gets strong retail demand in Shenzhen. Bloomberg. https://www.bloomberg.com/news/articles/2026-06-23/cr-new-energy-s-record-ipo-gets-strong-retail-demand-in-shenzhen</w:t>
      </w:r>
      <w:r>
        <w:t xml:space="preserve"> </w:t>
      </w:r>
      <w:r>
        <w:t xml:space="preserve">[28] South China Morning Post. (2026, June 23). China Resources New Energy’s US$3.6 billion IPO smashes records on Shenzhen exchange. South China Morning Post. https://www.scmp.com/business/china-business/article/3356694/china-resources-new-energys-us36-billion-ipo-smashes-records-shenzhen-exchange</w:t>
      </w:r>
    </w:p>
    <w:p>
      <w:r>
        <w:pict>
          <v:rect style="width:0;height:1.5pt" o:hralign="center" o:hrstd="t" o:hr="t"/>
        </w:pict>
      </w:r>
    </w:p>
    <w:bookmarkEnd w:id="25"/>
    <w:bookmarkStart w:id="26" w:name="X82df35351b577e1fe85297929f235e1ed61c1c3"/>
    <w:p>
      <w:pPr>
        <w:pStyle w:val="Heading3"/>
      </w:pPr>
      <w:r>
        <w:t xml:space="preserve">Shenzhen Senior Technology lists on HKEX raising HK$1.34B as world’s No.2 separator maker</w:t>
      </w:r>
    </w:p>
    <w:p>
      <w:pPr>
        <w:pStyle w:val="FirstParagraph"/>
      </w:pPr>
      <w:r>
        <w:t xml:space="preserve">Shenzhen Senior Technology Material Co., Ltd. (SEHK: 6067) began trading on the Hong Kong Stock Exchange Main Board on June 23, 2026, after an H-share offering of 149.52 million primary shares priced at HK$8.98 each, raising approximately HK$1.34 billion (about USD 171 million). Founded in 2003 and headquartered in Shenzhen, the company makes lithium-ion battery separators via dry, wet and coated processes for electric vehicles, consumer electronics, energy storage and aerospace.</w:t>
      </w:r>
    </w:p>
    <w:p>
      <w:pPr>
        <w:pStyle w:val="BodyText"/>
      </w:pPr>
      <w:r>
        <w:t xml:space="preserve">Senior Technology has ranked second globally by lithium-ion battery separator shipment volume for six consecutive years, holding an 11.6% global market share in 2025. The separator — a thin membrane that keeps a battery’s electrodes apart while letting ions pass — is a critical and technically demanding component of the EV supply chain, which qualified the deal for primary-band treatment.</w:t>
      </w:r>
    </w:p>
    <w:p>
      <w:pPr>
        <w:pStyle w:val="BodyText"/>
      </w:pPr>
      <w:r>
        <w:t xml:space="preserve">The company operates five manufacturing bases in China and is building overseas sites in Europe, Southeast Asia and the United States, with R&amp;D centres in China, Japan and Sweden. Proceeds are earmarked for global expansion, R&amp;D, working capital and added capacity, extending a Chinese supply-chain footprint into the same Western markets where battery localization is becoming a policy priority.</w:t>
      </w:r>
    </w:p>
    <w:p>
      <w:pPr>
        <w:pStyle w:val="BodyText"/>
      </w:pPr>
      <w:r>
        <w:rPr>
          <w:b/>
          <w:bCs/>
        </w:rPr>
        <w:t xml:space="preserve">References</w:t>
      </w:r>
    </w:p>
    <w:p>
      <w:pPr>
        <w:pStyle w:val="BodyText"/>
      </w:pPr>
      <w:r>
        <w:t xml:space="preserve">[29] Ashurst. (2026, June 23). Ashurst guides Shenzhen Senior Tech on HK IPO. Mirage News. https://www.miragenews.com/ashurst-guides-shenzhen-senior-tech-on-hk-ipo-1697037/</w:t>
      </w:r>
      <w:r>
        <w:t xml:space="preserve"> </w:t>
      </w:r>
      <w:r>
        <w:t xml:space="preserve">[30] HKEX. (2026, June 23). Newly Listed Securities. Hong Kong Exchanges and Clearing. https://www.hkex.com.hk/Services/Trading/Securities/Trading-News/Newly-Listed-Securities?sc_lang=en</w:t>
      </w:r>
      <w:r>
        <w:t xml:space="preserve"> </w:t>
      </w:r>
      <w:r>
        <w:t xml:space="preserve">[31] Bamboo Works. (2026, June 23). Senior Tech launches $170 million Hong Kong IPO. Bamboo Works. https://thebambooworks.com/senior-tech-launches-170-million-hong-kong-ipo/</w:t>
      </w:r>
    </w:p>
    <w:p>
      <w:r>
        <w:pict>
          <v:rect style="width:0;height:1.5pt" o:hralign="center" o:hrstd="t" o:hr="t"/>
        </w:pict>
      </w:r>
    </w:p>
    <w:p>
      <w:pPr>
        <w:pStyle w:val="FirstParagraph"/>
      </w:pPr>
      <w:r>
        <w:rPr>
          <w:i/>
          <w:iCs/>
        </w:rPr>
        <w:t xml:space="preserve">Note: only 2 stories met T1-T4 standards for this category today.</w:t>
      </w:r>
    </w:p>
    <w:bookmarkEnd w:id="26"/>
    <w:bookmarkEnd w:id="27"/>
    <w:bookmarkStart w:id="29" w:name="other-notable-events"/>
    <w:p>
      <w:pPr>
        <w:pStyle w:val="Heading2"/>
      </w:pPr>
      <w:r>
        <w:t xml:space="preserve">7. Other Notable Events</w:t>
      </w:r>
    </w:p>
    <w:bookmarkStart w:id="28" w:name="Xcf7c68088f482c0c7669d14dd107e0a2bd677ea"/>
    <w:p>
      <w:pPr>
        <w:pStyle w:val="Heading3"/>
      </w:pPr>
      <w:r>
        <w:t xml:space="preserve">China launches Long March 7A from Wenchang carrying communications technology satellite</w:t>
      </w:r>
    </w:p>
    <w:p>
      <w:pPr>
        <w:pStyle w:val="FirstParagraph"/>
      </w:pPr>
      <w:r>
        <w:t xml:space="preserve">China’s Long March 7A rocket lifted off from the Wenchang Space Launch Centre, Launch Complex 201, in Hainan at approximately 02:10 UTC (10:10 Philippine Standard Time) on June 23, 2026, delivering Communications Technology Experimental Satellite No. 26A to geostationary transfer orbit in a successful mission. The satellite, operated by the China National Space Administration (CNSA), is designed for satellite communication, broadcasting, data transmission and related technology testing.</w:t>
      </w:r>
    </w:p>
    <w:p>
      <w:pPr>
        <w:pStyle w:val="BodyText"/>
      </w:pPr>
      <w:r>
        <w:t xml:space="preserve">The Philippine Space Agency issued a pre-launch advisory warning that unburned debris from rocket boosters and fairings was projected to fall in drop zones within the Philippine Exclusive Economic Zone, roughly 42–65 nautical miles from northern Philippine locations, and coordinated with coast guard and aviation authorities. Such advisories have become routine as Wenchang’s location funnels spent stages toward waters near the northern Philippines.</w:t>
      </w:r>
    </w:p>
    <w:p>
      <w:pPr>
        <w:pStyle w:val="BodyText"/>
      </w:pPr>
      <w:r>
        <w:t xml:space="preserve">The Long March 7A is China’s primary medium-lift vehicle for geostationary missions, standing 60.1 metres tall and capable of lofting up to 7,000 kilograms to that orbit. The launch feeds a punishing 2026 cadence as China pushes toward a target of roughly 140 orbital launches for the year, with the 7A primarily carrying classified government communications and technology-demonstration payloads.</w:t>
      </w:r>
    </w:p>
    <w:p>
      <w:pPr>
        <w:pStyle w:val="BodyText"/>
      </w:pPr>
      <w:r>
        <w:rPr>
          <w:b/>
          <w:bCs/>
        </w:rPr>
        <w:t xml:space="preserve">References</w:t>
      </w:r>
    </w:p>
    <w:p>
      <w:pPr>
        <w:pStyle w:val="BodyText"/>
      </w:pPr>
      <w:r>
        <w:t xml:space="preserve">[32] Philippine Space Agency. (2026, June 22). Advisory on the Long March 7A rocket launch. Philippine Space Agency. https://philsa.gov.ph/news/advisory-on-the-long-march-7a-rocket-launch-9/</w:t>
      </w:r>
      <w:r>
        <w:t xml:space="preserve"> </w:t>
      </w:r>
      <w:r>
        <w:t xml:space="preserve">[33] SpaceNews. (2026, June 17). China conducts 4 launches in 3 days but silence follows Kuaizhou-11 launch. SpaceNews. https://spacenews.com/china-conducts-4-launches-in-3-days-but-silence-follows-kuaizhou-11-launch/</w:t>
      </w:r>
    </w:p>
    <w:p>
      <w:r>
        <w:pict>
          <v:rect style="width:0;height:1.5pt" o:hralign="center" o:hrstd="t" o:hr="t"/>
        </w:pict>
      </w:r>
    </w:p>
    <w:p>
      <w:pPr>
        <w:pStyle w:val="FirstParagraph"/>
      </w:pPr>
      <w:r>
        <w:rPr>
          <w:i/>
          <w:iCs/>
        </w:rPr>
        <w:t xml:space="preserve">Note: only 1 story met T1-T4 standards for this category today.</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2026-06-23T09:10:01Z</dcterms:created>
  <dcterms:modified xsi:type="dcterms:W3CDTF">2026-06-23T09:10:01Z</dcterms:modified>
</cp:coreProperties>
</file>

<file path=docProps/custom.xml><?xml version="1.0" encoding="utf-8"?>
<Properties xmlns="http://schemas.openxmlformats.org/officeDocument/2006/custom-properties" xmlns:vt="http://schemas.openxmlformats.org/officeDocument/2006/docPropsVTypes"/>
</file>