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日本每日热点新闻-2026年5月27日"/>
    <w:p>
      <w:pPr>
        <w:pStyle w:val="Heading1"/>
      </w:pPr>
      <w:r>
        <w:rPr>
          <w:rFonts w:hint="eastAsia"/>
        </w:rPr>
        <w:t xml:space="preserve">日本每日热点新闻</w:t>
      </w:r>
      <w:r>
        <w:t xml:space="preserve"> — </w:t>
      </w:r>
      <w:r>
        <w:rPr>
          <w:rFonts w:hint="eastAsia"/>
        </w:rPr>
        <w:t xml:space="preserve">2026年5月27日</w:t>
      </w:r>
    </w:p>
    <w:bookmarkStart w:id="12" w:name="一经济与市场"/>
    <w:p>
      <w:pPr>
        <w:pStyle w:val="Heading2"/>
      </w:pPr>
      <w:r>
        <w:rPr>
          <w:rFonts w:hint="eastAsia"/>
        </w:rPr>
        <w:t xml:space="preserve">一、经济与市场</w:t>
      </w:r>
    </w:p>
    <w:bookmarkStart w:id="9" w:name="年期日债收益率攀至2.8日银缩表节奏面临两难"/>
    <w:p>
      <w:pPr>
        <w:pStyle w:val="Heading3"/>
      </w:pPr>
      <w:r>
        <w:rPr>
          <w:rFonts w:hint="eastAsia"/>
        </w:rPr>
        <w:t xml:space="preserve">10年期日债收益率攀至2.8%，日银缩表节奏面临两难</w:t>
      </w:r>
    </w:p>
    <w:p>
      <w:pPr>
        <w:pStyle w:val="FirstParagraph"/>
      </w:pPr>
      <w:r>
        <w:rPr>
          <w:rFonts w:hint="eastAsia"/>
        </w:rPr>
        <w:t xml:space="preserve">10年期日本国债收益率升至2.8%，触及上世纪90年代以来罕见的高位，把日银的缩表（QT）计划逼到了风口浪尖。作为日债市场最大的单一持有人，日银被业内戏称为债市“巨鲸”，如今却不得不在自身减持节奏与市场承接能力之间寻找平衡。</w:t>
      </w:r>
    </w:p>
    <w:p>
      <w:pPr>
        <w:pStyle w:val="BodyText"/>
      </w:pPr>
      <w:r>
        <w:rPr>
          <w:rFonts w:hint="eastAsia"/>
        </w:rPr>
        <w:t xml:space="preserve">行长植田和男正与政府密切沟通，逐日盯盘债市动向。这一表态本身就反映出，原本被视为机械、可预测的缩表路径，已被收益率快速上行打乱节奏。日银自2024年8月启动缩表以来，将月度购债规模从5.7万亿日元逐季压减，至2026年第一季度降至2.9万亿日元；2025年6月又宣布从2026年第二季度起放缓减码节奏，每季度仅减200亿日元。但即便如此，长端利率仍持续向上突破。</w:t>
      </w:r>
    </w:p>
    <w:p>
      <w:pPr>
        <w:pStyle w:val="BodyText"/>
      </w:pPr>
      <w:r>
        <w:rPr>
          <w:rFonts w:hint="eastAsia"/>
        </w:rPr>
        <w:t xml:space="preserve">副行长冰见野5月25日明确表示加息进程将继续，但同时把中东局势列为最大的外部变量。市场普遍把6月15日至16日的日银议息会议视为下一个关键观察点——届时管理层须在收益率压力、汇率走向与通胀路径之间做出新的取舍。</w:t>
      </w:r>
    </w:p>
    <w:p>
      <w:pPr>
        <w:pStyle w:val="BodyText"/>
      </w:pPr>
      <w:r>
        <w:rPr>
          <w:b/>
          <w:bCs/>
        </w:rPr>
        <w:t xml:space="preserve">References</w:t>
      </w:r>
    </w:p>
    <w:p>
      <w:pPr>
        <w:pStyle w:val="BodyText"/>
      </w:pPr>
      <w:r>
        <w:t xml:space="preserve">[1] Kitajima, S. (2026, May 27). Rising bond yields put pressure on BOJ’s taper plan. Nikkei Asia. https://asia.nikkei.com/economy/bank-of-japan/rising-bond-yields-put-pressure-on-boj-s-taper-plan</w:t>
      </w:r>
      <w:r>
        <w:t xml:space="preserve"> </w:t>
      </w:r>
      <w:r>
        <w:t xml:space="preserve">[2] Wolf Richter. (2026, April 7). Bank of Japan Accelerated QT Further, Started Selling Equity ETFs &amp; J-REITs, Shed 12.6% of its Assets since the Peak. Wolf Street. https://wolfstreet.com/2026/04/07/bank-of-japan-accelerated-qt-further-started-selling-equity-etfs-j-reits-shed-12-6-of-its-assets-since-the-peak/</w:t>
      </w:r>
    </w:p>
    <w:p>
      <w:r>
        <w:pict>
          <v:rect style="width:0;height:1.5pt" o:hralign="center" o:hrstd="t" o:hr="t"/>
        </w:pict>
      </w:r>
    </w:p>
    <w:bookmarkEnd w:id="9"/>
    <w:bookmarkStart w:id="10" w:name="中东铝供应中断料延至2027年丰田本田铃木利润承压"/>
    <w:p>
      <w:pPr>
        <w:pStyle w:val="Heading3"/>
      </w:pPr>
      <w:r>
        <w:rPr>
          <w:rFonts w:hint="eastAsia"/>
        </w:rPr>
        <w:t xml:space="preserve">中东铝供应中断料延至2027年，丰田、本田、铃木利润承压</w:t>
      </w:r>
    </w:p>
    <w:p>
      <w:pPr>
        <w:pStyle w:val="FirstParagraph"/>
      </w:pPr>
      <w:r>
        <w:rPr>
          <w:rFonts w:hint="eastAsia"/>
        </w:rPr>
        <w:t xml:space="preserve">伊朗战事打断中东铝供应，市场紧平衡预计将延续至2027年，日本整车厂被迫直面成本端的长期冲击。日本约七成原铝依赖中东进口，霍尔木兹海峡通行受阻后，海湾主要冶炼厂宣布不可抗力，全球约10%的铝供应一度悬空。</w:t>
      </w:r>
    </w:p>
    <w:p>
      <w:pPr>
        <w:pStyle w:val="BodyText"/>
      </w:pPr>
      <w:r>
        <w:rPr>
          <w:rFonts w:hint="eastAsia"/>
        </w:rPr>
        <w:t xml:space="preserve">丰田、本田和铃木被点名为本财年净利受拖累的代表性厂商。伦敦金属交易所铝价自冲突爆发的2月28日以来上涨约13.7%，从每吨3,157.5美元升至3,590美元附近，整车厂的原材料成本压力直接传导至季度业绩。丰田已削减面向中东市场的车型产量近4万辆，日产也同步收缩排产。</w:t>
      </w:r>
    </w:p>
    <w:p>
      <w:pPr>
        <w:pStyle w:val="BodyText"/>
      </w:pPr>
      <w:r>
        <w:rPr>
          <w:rFonts w:hint="eastAsia"/>
        </w:rPr>
        <w:t xml:space="preserve">铝是车身板、发动机零件与电动化部件的关键金属，库存可缓冲数周，难以缓冲数年。若供应缺口确如行业预期持续至2027年，日系车企将不得不重新配置北美、东南亚乃至非洲的替代货源，并把更高的原材料价格逐步转嫁至终端售价。</w:t>
      </w:r>
    </w:p>
    <w:p>
      <w:pPr>
        <w:pStyle w:val="BodyText"/>
      </w:pPr>
      <w:r>
        <w:rPr>
          <w:b/>
          <w:bCs/>
        </w:rPr>
        <w:t xml:space="preserve">References</w:t>
      </w:r>
    </w:p>
    <w:p>
      <w:pPr>
        <w:pStyle w:val="BodyText"/>
      </w:pPr>
      <w:r>
        <w:t xml:space="preserve">[3] Okutsu, A., &amp; Yoneda, Y. (2026, May 27). Japan carmakers squeezed by high aluminum prices, possible shortages. Nikkei Asia. https://asia.nikkei.com/business/markets/commodities/japan-carmakers-squeezed-by-high-aluminum-prices-possible-shortages</w:t>
      </w:r>
      <w:r>
        <w:t xml:space="preserve"> </w:t>
      </w:r>
      <w:r>
        <w:t xml:space="preserve">[4] AlCircle. (2026). Japan automotive sector faces aluminium supply strain amid Middle East disruptions. AlCircle. https://www.alcircle.com/news/japan-automotive-sector-faces-aluminium-supply-strain-amid-middle-east-disruptions-118136</w:t>
      </w:r>
      <w:r>
        <w:t xml:space="preserve"> </w:t>
      </w:r>
      <w:r>
        <w:t xml:space="preserve">[5] Bloomberg. (2026, April 19). Aluminum Supply Disruption Hits Japan Carmakers Toyota, Denso Hardest. Bloomberg. https://www.bloomberg.com/news/articles/2026-04-19/japan-manufacturers-hurt-most-by-aluminum-shortage-from-iran-war</w:t>
      </w:r>
    </w:p>
    <w:p>
      <w:r>
        <w:pict>
          <v:rect style="width:0;height:1.5pt" o:hralign="center" o:hrstd="t" o:hr="t"/>
        </w:pict>
      </w:r>
    </w:p>
    <w:bookmarkEnd w:id="10"/>
    <w:bookmarkStart w:id="11" w:name="日经225冲上65800点新高ai资本开支点燃东亚科技股"/>
    <w:p>
      <w:pPr>
        <w:pStyle w:val="Heading3"/>
      </w:pPr>
      <w:r>
        <w:rPr>
          <w:rFonts w:hint="eastAsia"/>
        </w:rPr>
        <w:t xml:space="preserve">日经225冲上65,800点新高，AI资本开支点燃东亚科技股</w:t>
      </w:r>
    </w:p>
    <w:p>
      <w:pPr>
        <w:pStyle w:val="FirstParagraph"/>
      </w:pPr>
      <w:r>
        <w:rPr>
          <w:rFonts w:hint="eastAsia"/>
        </w:rPr>
        <w:t xml:space="preserve">日经225指数5月27日盘中升破65,800点，单日上涨约1.49%，再创历史新高。同日韩国SK海力士市值正式跨入万亿美元俱乐部，东亚科技板块在伊朗局势缓和与全球巨头AI资本开支承诺的双重推动下集体走强。</w:t>
      </w:r>
    </w:p>
    <w:p>
      <w:pPr>
        <w:pStyle w:val="BodyText"/>
      </w:pPr>
      <w:r>
        <w:rPr>
          <w:rFonts w:hint="eastAsia"/>
        </w:rPr>
        <w:t xml:space="preserve">半导体与AI基础设施供应链是当日上涨的主引擎：铠侠（Kioxia</w:t>
      </w:r>
      <w:r>
        <w:t xml:space="preserve"> </w:t>
      </w:r>
      <w:r>
        <w:rPr>
          <w:rFonts w:hint="eastAsia"/>
        </w:rPr>
        <w:t xml:space="preserve">Holdings）涨2.1%，藤仓涨2.4%，爱德万测试涨5.3%，东京电子涨3.8%，Lasertec涨2.5%。市场援引英伟达每年最多向台湾AI产业链投入1,500亿美元的支出预期，作为这一波涨势延续的核心逻辑。</w:t>
      </w:r>
    </w:p>
    <w:p>
      <w:pPr>
        <w:pStyle w:val="BodyText"/>
      </w:pPr>
      <w:r>
        <w:rPr>
          <w:rFonts w:hint="eastAsia"/>
        </w:rPr>
        <w:t xml:space="preserve">与科技股形成鲜明反差的是金融板块。受日债收益率攀升拖累，三菱UFJ跌1.1%，三井住友跌1.7%，瑞穗金融跌2.2%——长端利率本应利好银行净息差，但在曲线陡峭化伴随债券持仓浮亏的格局下，账面冲击先一步反映在股价上。</w:t>
      </w:r>
    </w:p>
    <w:p>
      <w:pPr>
        <w:pStyle w:val="BodyText"/>
      </w:pPr>
      <w:r>
        <w:rPr>
          <w:rFonts w:hint="eastAsia"/>
        </w:rPr>
        <w:t xml:space="preserve">本月以来日经225已多次刷新纪录：5月25日首破65,000点，27日再上一个台阶，年内涨幅超过22%。市场关注的下一个问题，是AI驱动的估值扩张能否抵消日银收紧周期与日元波动带来的逆风。</w:t>
      </w:r>
    </w:p>
    <w:p>
      <w:pPr>
        <w:pStyle w:val="BodyText"/>
      </w:pPr>
      <w:r>
        <w:rPr>
          <w:b/>
          <w:bCs/>
        </w:rPr>
        <w:t xml:space="preserve">References</w:t>
      </w:r>
    </w:p>
    <w:p>
      <w:pPr>
        <w:pStyle w:val="BodyText"/>
      </w:pPr>
      <w:r>
        <w:t xml:space="preserve">[6] Nagumo, J. (2026, May 27). SK Hynix joins trillion-dollar club as AI fires up East Asian stocks. Nikkei Asia. https://asia.nikkei.com/business/markets/sk-hynix-joins-trillion-dollar-club-as-ai-fires-up-east-asian-stocks</w:t>
      </w:r>
      <w:r>
        <w:t xml:space="preserve"> </w:t>
      </w:r>
      <w:r>
        <w:t xml:space="preserve">[7] CNBC. (2026, May 27). Asia markets live updates: Nikkei 225, Hang Seng Index, Kospi, CSI, Nifty, Hari Raya Haji. CNBC. https://www.cnbc.com/2026/05/27/asia-markets-live-updates-nikkei-225-hang-seng-index-kospi-csi-nifty-hari-raya-haji.html</w:t>
      </w:r>
      <w:r>
        <w:t xml:space="preserve"> </w:t>
      </w:r>
      <w:r>
        <w:t xml:space="preserve">[8] IndexBox. (2026, May 25). Nikkei Surpasses 65,000 for First Time: Tokyo Stocks Close Higher on May 25, 2026. IndexBox. https://www.indexbox.io/blog/tokyo-stocks-hit-record-high-as-nikkei-breaches-65000-on-ai-led-rally/</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日本战后最大情报架构改革落地参议院通过国家情报会议法案"/>
    <w:p>
      <w:pPr>
        <w:pStyle w:val="Heading3"/>
      </w:pPr>
      <w:r>
        <w:rPr>
          <w:rFonts w:hint="eastAsia"/>
        </w:rPr>
        <w:t xml:space="preserve">日本战后最大情报架构改革落地，参议院通过国家情报会议法案</w:t>
      </w:r>
    </w:p>
    <w:p>
      <w:pPr>
        <w:pStyle w:val="FirstParagraph"/>
      </w:pPr>
      <w:r>
        <w:rPr>
          <w:rFonts w:hint="eastAsia"/>
        </w:rPr>
        <w:t xml:space="preserve">日本参议院5月27日通过设立“国家情报会议”的法案，由首相亲自挂帅，下设“国家情报局”作为常设秘书处。这是日本自二战结束以来规模最大的情报体系重组，被外界视为东京向“日本版CIA”迈出的关键一步。</w:t>
      </w:r>
    </w:p>
    <w:p>
      <w:pPr>
        <w:pStyle w:val="BodyText"/>
      </w:pPr>
      <w:r>
        <w:rPr>
          <w:rFonts w:hint="eastAsia"/>
        </w:rPr>
        <w:t xml:space="preserve">该法案由首相高市早苗主导推进，4月已在众议院获通过，本日参议院二读完成后正式成为法律。新设立的国家情报会议将由首相主持，由核心阁僚组成，统筹国家安全、反恐及涉外情报活动，并作为所有关键安全数据汇聚的“咽喉点”。</w:t>
      </w:r>
    </w:p>
    <w:p>
      <w:pPr>
        <w:pStyle w:val="BodyText"/>
      </w:pPr>
      <w:r>
        <w:rPr>
          <w:rFonts w:hint="eastAsia"/>
        </w:rPr>
        <w:t xml:space="preserve">为缓和外界对侵蚀公民自由的担忧，法案明确禁止情报机构介入国内选举相关信息的搜集——这一条款被视为对“执政党滥用国家安全名义”的制度性约束。但批评者仍指出，扩权后的情报机构可能强化对普通公民的监控，部分论者更担忧此举与战前日本军部情报体制存在结构相似性。</w:t>
      </w:r>
    </w:p>
    <w:p>
      <w:pPr>
        <w:pStyle w:val="BodyText"/>
      </w:pPr>
      <w:r>
        <w:rPr>
          <w:rFonts w:hint="eastAsia"/>
        </w:rPr>
        <w:t xml:space="preserve">未来一年，新机构的预算分配、人员招募与跨部门数据共享机制将成为观察改革成败的关键指标，也将决定东京在美日澳印、五眼联盟等情报合作框架中的实际话语权。</w:t>
      </w:r>
    </w:p>
    <w:p>
      <w:pPr>
        <w:pStyle w:val="BodyText"/>
      </w:pPr>
      <w:r>
        <w:rPr>
          <w:b/>
          <w:bCs/>
        </w:rPr>
        <w:t xml:space="preserve">References</w:t>
      </w:r>
    </w:p>
    <w:p>
      <w:pPr>
        <w:pStyle w:val="BodyText"/>
      </w:pPr>
      <w:r>
        <w:t xml:space="preserve">[9] Tani, S. (2026, May 27). Japan’s biggest intelligence reform since WWII: 5 things to know. Nikkei Asia. https://asia.nikkei.com/politics/japan-s-biggest-intelligence-reform-since-wwii-5-things-to-know2</w:t>
      </w:r>
      <w:r>
        <w:t xml:space="preserve"> </w:t>
      </w:r>
      <w:r>
        <w:t xml:space="preserve">[10] Xinhua. (2026, May 27). Japan enacts intelligence council bill. Xinhua. https://english.news.cn/asiapacific/20260527/c46f00c54ced425781a5d1464f3497c7/c.html</w:t>
      </w:r>
      <w:r>
        <w:t xml:space="preserve"> </w:t>
      </w:r>
      <w:r>
        <w:t xml:space="preserve">[11] Nippon.com. (2026, May 26). Japan Upper House Panel OKs Intelligence Council Bill. Nippon.com. https://www.nippon.com/en/news/yjj2026052600676/japan-upper-house-panel-oks-intelligence-council-bill.html</w:t>
      </w:r>
      <w:r>
        <w:t xml:space="preserve"> </w:t>
      </w:r>
      <w:r>
        <w:t xml:space="preserve">[12] The Diplomat. (2026, April). Japan’s Intelligence Reform: Securitization, Oversight, and the Cost of Consensus. The Diplomat. https://thediplomat.com/2026/04/japans-intelligence-reform-securitization-oversight-and-the-cost-of-consensus/</w:t>
      </w:r>
    </w:p>
    <w:p>
      <w:r>
        <w:pict>
          <v:rect style="width:0;height:1.5pt" o:hralign="center" o:hrstd="t" o:hr="t"/>
        </w:pict>
      </w:r>
    </w:p>
    <w:bookmarkEnd w:id="13"/>
    <w:bookmarkStart w:id="14" w:name="高市与马科斯东京峰会启动gsomia谈判菲律宾拟加入powerr-asia"/>
    <w:p>
      <w:pPr>
        <w:pStyle w:val="Heading3"/>
      </w:pPr>
      <w:r>
        <w:rPr>
          <w:rFonts w:hint="eastAsia"/>
        </w:rPr>
        <w:t xml:space="preserve">高市与马科斯东京峰会，启动GSOMIA谈判，菲律宾拟加入POWERR</w:t>
      </w:r>
      <w:r>
        <w:t xml:space="preserve"> Asia</w:t>
      </w:r>
    </w:p>
    <w:p>
      <w:pPr>
        <w:pStyle w:val="FirstParagraph"/>
      </w:pPr>
      <w:r>
        <w:rPr>
          <w:rFonts w:hint="eastAsia"/>
        </w:rPr>
        <w:t xml:space="preserve">菲律宾总统小费迪南德·马科斯（Ferdinand</w:t>
      </w:r>
      <w:r>
        <w:t xml:space="preserve"> Marcos </w:t>
      </w:r>
      <w:r>
        <w:rPr>
          <w:rFonts w:hint="eastAsia"/>
        </w:rPr>
        <w:t xml:space="preserve">Jr.）5月26日开启为期四天的访日行程，27日与日本首相高市早苗在东京举行峰会，两国宣布启动《军事情报保护协定》（GSOMIA）正式谈判，并就能源安全合作达成新的政治共识。</w:t>
      </w:r>
    </w:p>
    <w:p>
      <w:pPr>
        <w:pStyle w:val="BodyText"/>
      </w:pPr>
      <w:r>
        <w:rPr>
          <w:rFonts w:hint="eastAsia"/>
        </w:rPr>
        <w:t xml:space="preserve">峰会决定全面落实2024年签署的《互惠准入协定》（RAA）及自卫队—菲律宾武装部队后勤互助协议——前者允许双方部队以更便捷的方式进入对方领土训练演习，后者则解决海上、空中行动的补给和油料对接。GSOMIA谈判一旦完成，菲律宾将成为继美国、英国、澳大利亚之后与日本建立机密情报共享机制的少数国家之一，也是首个东盟成员。</w:t>
      </w:r>
    </w:p>
    <w:p>
      <w:pPr>
        <w:pStyle w:val="BodyText"/>
      </w:pPr>
      <w:r>
        <w:rPr>
          <w:rFonts w:hint="eastAsia"/>
        </w:rPr>
        <w:t xml:space="preserve">能源方面，马科斯明确表达加入“POWERR</w:t>
      </w:r>
      <w:r>
        <w:t xml:space="preserve"> </w:t>
      </w:r>
      <w:r>
        <w:rPr>
          <w:rFonts w:hint="eastAsia"/>
        </w:rPr>
        <w:t xml:space="preserve">Asia”的意愿。这是高市政府4月15日推出的100亿美元“能源与资源韧性广泛合作伙伴关系”，旨在帮助亚洲国家稳定油气供应、强化供应链。中东局势持续动荡的背景下，菲律宾将该框架视为分散能源风险的关键平台。</w:t>
      </w:r>
    </w:p>
    <w:p>
      <w:pPr>
        <w:pStyle w:val="BodyText"/>
      </w:pPr>
      <w:r>
        <w:rPr>
          <w:rFonts w:hint="eastAsia"/>
        </w:rPr>
        <w:t xml:space="preserve">天皇德仁与皇后雅子27日为马科斯夫妇举行正式欢迎仪式与国宴，仪式规格凸显双边关系的战略重量。不过，日本企业界对扩大对菲投资仍显谨慎，税制与腐败问题被多次提及，成为防务、能源高调升温背景下唯一的“冷声音”。</w:t>
      </w:r>
    </w:p>
    <w:p>
      <w:pPr>
        <w:pStyle w:val="BodyText"/>
      </w:pPr>
      <w:r>
        <w:rPr>
          <w:b/>
          <w:bCs/>
        </w:rPr>
        <w:t xml:space="preserve">References</w:t>
      </w:r>
    </w:p>
    <w:p>
      <w:pPr>
        <w:pStyle w:val="BodyText"/>
      </w:pPr>
      <w:r>
        <w:t xml:space="preserve">[13] Fujita, Y. (2026, May 27). Japan Inc. cautious on Philippine business as Ferdinand Marcos visits Tokyo. Nikkei Asia. https://asia.nikkei.com/politics/japan-inc-cautious-on-philippine-business-as-ferdinand-marcos-visits-tokyo</w:t>
      </w:r>
      <w:r>
        <w:t xml:space="preserve"> </w:t>
      </w:r>
      <w:r>
        <w:t xml:space="preserve">[14] Japan Today. (2026, May 27). Philippine President Marcos, wife welcomed to Japan by Imperial couple. Japan Today. https://japantoday.com/category/national/philippine-president-marcos-wife-welcomed-to-japan-by-imperial-couple</w:t>
      </w:r>
      <w:r>
        <w:t xml:space="preserve"> </w:t>
      </w:r>
      <w:r>
        <w:t xml:space="preserve">[15] The Manila Times. (2026, May 27). Marcos Japan visit to boost ties in defense, energy, trade. The Manila Times. https://www.manilatimes.net/2026/05/27/news/national/marcos-japan-visit-to-boost-ties-in-defense-energy-trade/2351945</w:t>
      </w:r>
      <w:r>
        <w:t xml:space="preserve"> </w:t>
      </w:r>
      <w:r>
        <w:t xml:space="preserve">[16] The Diplomat. (2026, May). Japan, Philippines to Begin Negotiations on Intelligence Sharing Agreement. The Diplomat. https://thediplomat.com/2026/05/japan-philippines-to-begin-negotiations-on-intelligence-sharing-agreement/</w:t>
      </w:r>
    </w:p>
    <w:p>
      <w:r>
        <w:pict>
          <v:rect style="width:0;height:1.5pt" o:hralign="center" o:hrstd="t" o:hr="t"/>
        </w:pict>
      </w:r>
    </w:p>
    <w:bookmarkEnd w:id="14"/>
    <w:bookmarkStart w:id="15" w:name="自民党拟建外国儿童日语教育国家框架2028财年开始试点"/>
    <w:p>
      <w:pPr>
        <w:pStyle w:val="Heading3"/>
      </w:pPr>
      <w:r>
        <w:rPr>
          <w:rFonts w:hint="eastAsia"/>
        </w:rPr>
        <w:t xml:space="preserve">自民党拟建外国儿童日语教育国家框架，2028财年开始试点</w:t>
      </w:r>
    </w:p>
    <w:p>
      <w:pPr>
        <w:pStyle w:val="FirstParagraph"/>
      </w:pPr>
      <w:r>
        <w:rPr>
          <w:rFonts w:hint="eastAsia"/>
        </w:rPr>
        <w:t xml:space="preserve">执政党自民党“外国人政策本部”提出建立全国统一的外国儿童日语教育框架，核心方案是开发一套按需调用的日语与沉浸式教学体系，并自2028财年起在地方试点运行。这是日本面对外国人口快速增长、首次以中央政府层面统筹基础语言教育的系统性政策草案。</w:t>
      </w:r>
    </w:p>
    <w:p>
      <w:pPr>
        <w:pStyle w:val="BodyText"/>
      </w:pPr>
      <w:r>
        <w:rPr>
          <w:rFonts w:hint="eastAsia"/>
        </w:rPr>
        <w:t xml:space="preserve">草案还包括：在外国人入境前提供预先的日语学习项目、对承担教育职责的市町村提供专项财政补助，以及开发供外国居民与出入国在留管理厅沟通使用的智能手机应用。自民党将在政府夏季“骨太方针”出台前敲定具体措施。</w:t>
      </w:r>
    </w:p>
    <w:p>
      <w:pPr>
        <w:pStyle w:val="BodyText"/>
      </w:pPr>
      <w:r>
        <w:rPr>
          <w:rFonts w:hint="eastAsia"/>
        </w:rPr>
        <w:t xml:space="preserve">驱动政策的核心数据是：在日本公立中小学就读、需要日语支援的学龄外国儿童已达约8.5万人，较2023年调查增加15,636人，创历史新高。换言之，平均每个工作日都有数十名新增儿童因语言障碍而难以跟上常规课程。教育现场普遍依赖兼职日语指导员和NPO志愿者，制度性供给长期不足。</w:t>
      </w:r>
    </w:p>
    <w:p>
      <w:pPr>
        <w:pStyle w:val="BodyText"/>
      </w:pPr>
      <w:r>
        <w:rPr>
          <w:rFonts w:hint="eastAsia"/>
        </w:rPr>
        <w:t xml:space="preserve">如何把“试点”做成全国可复制的标准化方案、谁来承担长期师资成本，将决定这套框架能否真正回应外国劳动力家庭子女面临的入学与升学瓶颈。</w:t>
      </w:r>
    </w:p>
    <w:p>
      <w:pPr>
        <w:pStyle w:val="BodyText"/>
      </w:pPr>
      <w:r>
        <w:rPr>
          <w:b/>
          <w:bCs/>
        </w:rPr>
        <w:t xml:space="preserve">References</w:t>
      </w:r>
    </w:p>
    <w:p>
      <w:pPr>
        <w:pStyle w:val="BodyText"/>
      </w:pPr>
      <w:r>
        <w:t xml:space="preserve">[17] Kyodo. (2026, May 27). Ruling LDP seeks push for Japanese language program for foreign children. Japan Today. https://japantoday.com/category/national/ruling-ldp-seeks-push-for-japanese-language-program-for-foreign-children</w:t>
      </w:r>
      <w:r>
        <w:t xml:space="preserve"> </w:t>
      </w:r>
      <w:r>
        <w:t xml:space="preserve">[18] Nippon.com. (n.d.). Lagging in Language Skills: Foreign Children Being Left Behind in Education. Nippon.com. https://www.nippon.com/en/in-depth/c15501/</w:t>
      </w:r>
    </w:p>
    <w:p>
      <w:r>
        <w:pict>
          <v:rect style="width:0;height:1.5pt" o:hralign="center" o:hrstd="t" o:hr="t"/>
        </w:pict>
      </w:r>
    </w:p>
    <w:bookmarkEnd w:id="15"/>
    <w:bookmarkEnd w:id="16"/>
    <w:bookmarkStart w:id="18" w:name="三科技与产业"/>
    <w:p>
      <w:pPr>
        <w:pStyle w:val="Heading2"/>
      </w:pPr>
      <w:r>
        <w:rPr>
          <w:rFonts w:hint="eastAsia"/>
        </w:rPr>
        <w:t xml:space="preserve">三、科技与产业</w:t>
      </w:r>
    </w:p>
    <w:bookmarkStart w:id="17" w:name="富士通同日签下与anthropicopenai双重ai合作瞄准日企数字化转型"/>
    <w:p>
      <w:pPr>
        <w:pStyle w:val="Heading3"/>
      </w:pPr>
      <w:r>
        <w:rPr>
          <w:rFonts w:hint="eastAsia"/>
        </w:rPr>
        <w:t xml:space="preserve">富士通同日签下与Anthropic、OpenAI双重AI合作，瞄准日企数字化转型</w:t>
      </w:r>
    </w:p>
    <w:p>
      <w:pPr>
        <w:pStyle w:val="FirstParagraph"/>
      </w:pPr>
      <w:r>
        <w:rPr>
          <w:rFonts w:hint="eastAsia"/>
        </w:rPr>
        <w:t xml:space="preserve">富士通5月27日同时宣布与Anthropic、OpenAI达成战略合作，把两家全球头部生成式AI公司的旗舰模型同步引入企业级服务体系，目标是重塑日本制造、医疗与关键基础设施的数字化路径。</w:t>
      </w:r>
    </w:p>
    <w:p>
      <w:pPr>
        <w:pStyle w:val="BodyText"/>
      </w:pPr>
      <w:r>
        <w:rPr>
          <w:rFonts w:hint="eastAsia"/>
        </w:rPr>
        <w:t xml:space="preserve">与Anthropic的合作中，富士通将把Claude模型集成进其“前线驻场工程师”（Forward</w:t>
      </w:r>
      <w:r>
        <w:t xml:space="preserve"> Deployed </w:t>
      </w:r>
      <w:r>
        <w:rPr>
          <w:rFonts w:hint="eastAsia"/>
        </w:rPr>
        <w:t xml:space="preserve">Engineer，FDE）业务，预计约10万名富士通员工将日常使用Claude，重点应用场景覆盖关键基础设施的网络安全、制造与医疗。同日宣布的与OpenAI合作，则把ChatGPT</w:t>
      </w:r>
      <w:r>
        <w:t xml:space="preserve"> </w:t>
      </w:r>
      <w:r>
        <w:rPr>
          <w:rFonts w:hint="eastAsia"/>
        </w:rPr>
        <w:t xml:space="preserve">Enterprise与Codex纳入富士通的服务组合，富士通自身将作为“Customer</w:t>
      </w:r>
      <w:r>
        <w:t xml:space="preserve"> </w:t>
      </w:r>
      <w:r>
        <w:rPr>
          <w:rFonts w:hint="eastAsia"/>
        </w:rPr>
        <w:t xml:space="preserve">Zero”率先在制造、医疗及制药领域落地实践。</w:t>
      </w:r>
    </w:p>
    <w:p>
      <w:pPr>
        <w:pStyle w:val="BodyText"/>
      </w:pPr>
      <w:r>
        <w:rPr>
          <w:rFonts w:hint="eastAsia"/>
        </w:rPr>
        <w:t xml:space="preserve">CEO时田隆仁（Takahito</w:t>
      </w:r>
      <w:r>
        <w:t xml:space="preserve"> </w:t>
      </w:r>
      <w:r>
        <w:rPr>
          <w:rFonts w:hint="eastAsia"/>
        </w:rPr>
        <w:t xml:space="preserve">Tokita）表示，此次双线布局的目标是“支撑各产业创造新价值，实现值得信赖的、由AI驱动的社会”。这一组合罕见——同一家系统集成商在同一日与Anthropic与OpenAI同步深度绑定，意味着日本企业级AI市场已进入“多模型并行”阶段，富士通试图通过中立平台地位锁定行业话语权。</w:t>
      </w:r>
    </w:p>
    <w:p>
      <w:pPr>
        <w:pStyle w:val="BodyText"/>
      </w:pPr>
      <w:r>
        <w:rPr>
          <w:rFonts w:hint="eastAsia"/>
        </w:rPr>
        <w:t xml:space="preserve">值得关注的是，过去半年Anthropic在企业级合作上明显提速，并在5月超越ChatGPT成为美国企业AI付费市场份额第一；OpenAI则于本月初成立“OpenAI</w:t>
      </w:r>
      <w:r>
        <w:t xml:space="preserve"> Deployment </w:t>
      </w:r>
      <w:r>
        <w:rPr>
          <w:rFonts w:hint="eastAsia"/>
        </w:rPr>
        <w:t xml:space="preserve">Company”专攻顾问式落地。富士通同时握手两强，意在让日企客户在合规、行业know-how与模型能力之间获得选择权。</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[19] Fujitsu. (2026, May 27). Fujitsu and Anthropic announce strategic partnership. Fujitsu Global. https://global.fujitsu/en-global/pr/news/2026/05/27-01</w:t>
      </w:r>
      <w:r>
        <w:t xml:space="preserve"> </w:t>
      </w:r>
      <w:r>
        <w:t xml:space="preserve">[20] Fujitsu. (2026, May 27). Fujitsu and OpenAI announce strategic partnership. Fujitsu Global. https://global.fujitsu/en-global/pr/news/2026/05/27-02</w:t>
      </w:r>
      <w:r>
        <w:t xml:space="preserve"> </w:t>
      </w:r>
      <w:r>
        <w:t xml:space="preserve">[21] TechCrunch. (2026, May 4). Anthropic and OpenAI are both launching joint ventures for enterprise AI services. TechCrunch. https://techcrunch.com/2026/05/04/anthropic-and-openai-are-both-launching-joint-ventures-for-enterprise-ai-services/</w:t>
      </w:r>
    </w:p>
    <w:p>
      <w:r>
        <w:pict>
          <v:rect style="width:0;height:1.5pt" o:hralign="center" o:hrstd="t" o:hr="t"/>
        </w:pict>
      </w:r>
    </w:p>
    <w:bookmarkEnd w:id="17"/>
    <w:bookmarkEnd w:id="18"/>
    <w:bookmarkStart w:id="20" w:name="四社会与民生"/>
    <w:p>
      <w:pPr>
        <w:pStyle w:val="Heading2"/>
      </w:pPr>
      <w:r>
        <w:rPr>
          <w:rFonts w:hint="eastAsia"/>
        </w:rPr>
        <w:t xml:space="preserve">四、社会与民生</w:t>
      </w:r>
    </w:p>
    <w:bookmarkStart w:id="19" w:name="美国华盛顿州日资纸厂化学罐内爆1死9人失踪"/>
    <w:p>
      <w:pPr>
        <w:pStyle w:val="Heading3"/>
      </w:pPr>
      <w:r>
        <w:rPr>
          <w:rFonts w:hint="eastAsia"/>
        </w:rPr>
        <w:t xml:space="preserve">美国华盛顿州日资纸厂化学罐内爆，1死9人失踪</w:t>
      </w:r>
    </w:p>
    <w:p>
      <w:pPr>
        <w:pStyle w:val="FirstParagraph"/>
      </w:pPr>
      <w:r>
        <w:rPr>
          <w:rFonts w:hint="eastAsia"/>
        </w:rPr>
        <w:t xml:space="preserve">日本制纸集团在美国华盛顿州朗维尤的子公司Nippon</w:t>
      </w:r>
      <w:r>
        <w:t xml:space="preserve"> Dynawave Packaging </w:t>
      </w:r>
      <w:r>
        <w:rPr>
          <w:rFonts w:hint="eastAsia"/>
        </w:rPr>
        <w:t xml:space="preserve">Co.工厂内，一座容量约90万加仑的化学储罐于5月26日（周二）发生内爆，1名工人确认死亡，另有9人失踪，当局已表示“无生还希望”，9名工人与1名消防员受伤。该厂员工约1,000人。</w:t>
      </w:r>
    </w:p>
    <w:p>
      <w:pPr>
        <w:pStyle w:val="BodyText"/>
      </w:pPr>
      <w:r>
        <w:rPr>
          <w:rFonts w:hint="eastAsia"/>
        </w:rPr>
        <w:t xml:space="preserve">爆炸物为造纸工艺中常用的“白液”，主要由氢氧化钠与硫化钠水溶液构成，腐蚀性极强。事故发生后，白液泄入排水沟，约40名消防员与区域危险品处置组到场，但腐蚀性化学品大幅拖累了搜救进度，使行动从“救援”快速转入“遗体回收”阶段。</w:t>
      </w:r>
    </w:p>
    <w:p>
      <w:pPr>
        <w:pStyle w:val="BodyText"/>
      </w:pPr>
      <w:r>
        <w:rPr>
          <w:rFonts w:hint="eastAsia"/>
        </w:rPr>
        <w:t xml:space="preserve">监管记录显示，该厂自2021年以来累计被处以仅3,400美元的安全违规罚款——金额之低与事故规模形成强烈反差，已引发对联邦及州级安全执法力度的质疑。事故原因尚在调查中，但储罐结构、化学品浓度与压力监控将是工程层面的核心方向。</w:t>
      </w:r>
    </w:p>
    <w:p>
      <w:pPr>
        <w:pStyle w:val="BodyText"/>
      </w:pPr>
      <w:r>
        <w:rPr>
          <w:rFonts w:hint="eastAsia"/>
        </w:rPr>
        <w:t xml:space="preserve">母公司日本制纸集团需同时应对北美业务的合规风险与可能的赔偿诉讼，该公司在美国包装业务的运营成本与保险费率预计将面临系统性重估。</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[22] Kyodo. (2026, May 27). 1 killed, 9 missing after explosion at Japanese-owned paper mill in Washington state. Japan Today. https://japantoday.com/category/world/1-killed-9-missing-after-explosion-at-Japanese-owned-paper-mill-in-Washington-state</w:t>
      </w:r>
      <w:r>
        <w:t xml:space="preserve"> </w:t>
      </w:r>
      <w:r>
        <w:t xml:space="preserve">[23] ABC News. (2026, May 26). Chemical tank implosion in Washington state kills 1, leaves multiple missing. ABC News. https://abcnews.com/Business/wireStory/chemical-tank-implosion-washington-state-kills-1-leaves-133322707</w:t>
      </w:r>
      <w:r>
        <w:t xml:space="preserve"> </w:t>
      </w:r>
      <w:r>
        <w:t xml:space="preserve">[24] PBS NewsHour. (2026, May 26). Deaths are reported after a tank imploded at a Washington pulp and paper mill. PBS. https://www.pbs.org/newshour/nation/deaths-are-reported-after-a-tank-imploded-at-a-washington-pulp-and-paper-mill</w:t>
      </w:r>
      <w:r>
        <w:t xml:space="preserve"> </w:t>
      </w:r>
      <w:r>
        <w:t xml:space="preserve">[25] OPB. (2026, May 26). Corrosive chemicals hamper recovery efforts at Longview industrial site; 9 people still unaccounted for after tank rupture. OPB. https://www.opb.org/article/2026/05/26/longview-chemical-explosion-nippon/</w:t>
      </w:r>
    </w:p>
    <w:p>
      <w:r>
        <w:pict>
          <v:rect style="width:0;height:1.5pt" o:hralign="center" o:hrstd="t" o:hr="t"/>
        </w:pict>
      </w:r>
    </w:p>
    <w:bookmarkEnd w:id="19"/>
    <w:bookmarkEnd w:id="20"/>
    <w:bookmarkStart w:id="21"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Start w:id="22"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2026-05-27T08:41:50Z</dcterms:created>
  <dcterms:modified xsi:type="dcterms:W3CDTF">2026-05-27T08:41:50Z</dcterms:modified>
</cp:coreProperties>
</file>

<file path=docProps/custom.xml><?xml version="1.0" encoding="utf-8"?>
<Properties xmlns="http://schemas.openxmlformats.org/officeDocument/2006/custom-properties" xmlns:vt="http://schemas.openxmlformats.org/officeDocument/2006/docPropsVTypes"/>
</file>