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欧洲每日热点新闻"/>
    <w:p>
      <w:pPr>
        <w:pStyle w:val="Heading1"/>
      </w:pPr>
      <w:r>
        <w:rPr>
          <w:rFonts w:hint="eastAsia"/>
        </w:rPr>
        <w:t xml:space="preserve">欧洲每日热点新闻</w:t>
      </w:r>
    </w:p>
    <w:p>
      <w:pPr>
        <w:pStyle w:val="FirstParagraph"/>
      </w:pPr>
      <w:r>
        <w:rPr>
          <w:rFonts w:hint="eastAsia"/>
          <w:b/>
          <w:bCs/>
        </w:rPr>
        <w:t xml:space="preserve">日期：2026年4月22日</w:t>
      </w:r>
    </w:p>
    <w:p>
      <w:r>
        <w:pict>
          <v:rect style="width:0;height:1.5pt" o:hralign="center" o:hrstd="t" o:hr="t"/>
        </w:pict>
      </w:r>
    </w:p>
    <w:bookmarkStart w:id="13" w:name="经济与市场"/>
    <w:p>
      <w:pPr>
        <w:pStyle w:val="Heading2"/>
      </w:pPr>
      <w:r>
        <w:rPr>
          <w:rFonts w:hint="eastAsia"/>
        </w:rPr>
        <w:t xml:space="preserve">经济与市场</w:t>
      </w:r>
    </w:p>
    <w:bookmarkStart w:id="9" w:name="欧洲央行行长拉加德发出警报能源冲击为史上最大欧元区经济承压"/>
    <w:p>
      <w:pPr>
        <w:pStyle w:val="Heading3"/>
      </w:pPr>
      <w:r>
        <w:t xml:space="preserve">1. </w:t>
      </w:r>
      <w:r>
        <w:rPr>
          <w:rFonts w:hint="eastAsia"/>
        </w:rPr>
        <w:t xml:space="preserve">欧洲央行行长拉加德发出警报：能源冲击为史上最大，欧元区经济承压</w:t>
      </w:r>
    </w:p>
    <w:p>
      <w:pPr>
        <w:pStyle w:val="FirstParagraph"/>
      </w:pPr>
      <w:r>
        <w:rPr>
          <w:rFonts w:hint="eastAsia"/>
        </w:rPr>
        <w:t xml:space="preserve">欧洲央行行长克里斯蒂娜·拉加德于4月20日在柏林就伊朗战争引发的能源冲击向欧元区经济发出严重警告。拉加德将此次全球石油供应中断规模定性为”历史上最大”，约占全球石油消费量的13%被扰乱。她指出，此前欧洲央行3月份宏观经济预测中的所有情景——基准、不利及严峻——均显示通胀更高、增长更低。当前欧元区基准GDP增速预测仅为0.9%（2026年），通胀已从2月的1.9%攀升至3月的2.6%。拉加德警告称，广泛的财政支持政策虽在政治上具有吸引力，但存在延续通胀的风险，强调政府补贴应”临时、有针对性且保留价格信号”。欧洲央行重申将坚守2%的价格稳定目标，并视情况采取适当行动。</w:t>
      </w:r>
    </w:p>
    <w:p>
      <w:pPr>
        <w:pStyle w:val="BodyText"/>
      </w:pPr>
      <w:r>
        <w:rPr>
          <w:b/>
          <w:bCs/>
        </w:rPr>
        <w:t xml:space="preserve">References</w:t>
      </w:r>
    </w:p>
    <w:p>
      <w:pPr>
        <w:pStyle w:val="BodyText"/>
      </w:pPr>
      <w:r>
        <w:t xml:space="preserve">[1] European Central Bank. (2026, April 20).</w:t>
      </w:r>
      <w:r>
        <w:t xml:space="preserve"> </w:t>
      </w:r>
      <w:r>
        <w:rPr>
          <w:i/>
          <w:iCs/>
        </w:rPr>
        <w:t xml:space="preserve">The energy shock: where we stand and what we need to know</w:t>
      </w:r>
      <w:r>
        <w:t xml:space="preserve"> </w:t>
      </w:r>
      <w:r>
        <w:t xml:space="preserve">[Speech by Christine Lagarde]. https://www.ecb.europa.eu/press/key/date/2026/html/ecb.sp260420~cdf674023e.en.html</w:t>
      </w:r>
      <w:r>
        <w:t xml:space="preserve"> </w:t>
      </w:r>
      <w:r>
        <w:t xml:space="preserve">[2] IndexBox.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[3] Lombard Odier.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9"/>
    <w:bookmarkStart w:id="10" w:name="imf将欧元区增速预测下调至1.1伊朗战争冲击全面显现"/>
    <w:p>
      <w:pPr>
        <w:pStyle w:val="Heading3"/>
      </w:pPr>
      <w:r>
        <w:t xml:space="preserve">2. </w:t>
      </w:r>
      <w:r>
        <w:rPr>
          <w:rFonts w:hint="eastAsia"/>
        </w:rPr>
        <w:t xml:space="preserve">IMF将欧元区增速预测下调至1.1%，伊朗战争冲击全面显现</w:t>
      </w:r>
    </w:p>
    <w:p>
      <w:pPr>
        <w:pStyle w:val="FirstParagraph"/>
      </w:pPr>
      <w:r>
        <w:rPr>
          <w:rFonts w:hint="eastAsia"/>
        </w:rPr>
        <w:t xml:space="preserve">国际货币基金组织在4月14日发布的《世界经济展望》中，将欧元区2026年实际GDP增速预测由1.4%下调至1.1%，直接援引伊朗战争对能源供应链的持续干扰为主要原因。霍尔木兹海峡封锁导致全球能源市场剧烈动荡，布伦特原油价格峰值接近120美元/桶，当前在停火到期前夕再度逼近100美元。欧盟能源价格目前大约是2022年前水平的两倍，远高于美国同类工业能源成本。此外，全球约三分之一氦气产量来自海湾地区，肥料海运贸易亦有相近比例途经霍尔木兹海峡，对全球食品价格形成额外冲击。世界银行亦在4月8日发出预警，指出欧洲与中亚地区经济增速将进一步放缓，风险持续上升。</w:t>
      </w:r>
    </w:p>
    <w:p>
      <w:pPr>
        <w:pStyle w:val="BodyText"/>
      </w:pPr>
      <w:r>
        <w:rPr>
          <w:b/>
          <w:bCs/>
        </w:rPr>
        <w:t xml:space="preserve">References</w:t>
      </w:r>
    </w:p>
    <w:p>
      <w:pPr>
        <w:pStyle w:val="BodyText"/>
      </w:pPr>
      <w:r>
        <w:t xml:space="preserve">[4] International Monetary Fund. (2026, April 14).</w:t>
      </w:r>
      <w:r>
        <w:t xml:space="preserve"> </w:t>
      </w:r>
      <w:r>
        <w:rPr>
          <w:i/>
          <w:iCs/>
        </w:rPr>
        <w:t xml:space="preserve">World Economic Outlook, April 2026: Global Economy in the Shadow of War</w:t>
      </w:r>
      <w:r>
        <w:t xml:space="preserve">. https://www.imf.org/en/publications/weo/issues/2026/04/14/world-economic-outlook-april-2026</w:t>
      </w:r>
      <w:r>
        <w:t xml:space="preserve"> </w:t>
      </w:r>
      <w:r>
        <w:t xml:space="preserve">[5] Euronews. (2026, April 14).</w:t>
      </w:r>
      <w:r>
        <w:t xml:space="preserve"> </w:t>
      </w:r>
      <w:r>
        <w:rPr>
          <w:i/>
          <w:iCs/>
        </w:rPr>
        <w:t xml:space="preserve">IMF drops Eurozone’s economic growth forecast to 1.1% from 1.4% amid Iran war</w:t>
      </w:r>
      <w:r>
        <w:t xml:space="preserve">. https://www.euronews.com/business/2026/04/14/imf-drops-eurozones-economic-growth-forecast-to-11-from-14-amid-iran-war</w:t>
      </w:r>
      <w:r>
        <w:t xml:space="preserve"> </w:t>
      </w:r>
      <w:r>
        <w:t xml:space="preserve">[6] World Bank. (2026, April 8).</w:t>
      </w:r>
      <w:r>
        <w:t xml:space="preserve"> </w:t>
      </w:r>
      <w:r>
        <w:rPr>
          <w:i/>
          <w:iCs/>
        </w:rPr>
        <w:t xml:space="preserve">Economic growth to slow in Europe and Central Asia as risks rise</w:t>
      </w:r>
      <w:r>
        <w:t xml:space="preserve"> </w:t>
      </w:r>
      <w:r>
        <w:t xml:space="preserve">[Press Release]. https://www.worldbank.org/en/news/press-release/2026/04/08/economic-growth-to-slow-in-europe-and-central-asia-as-risks-rise</w:t>
      </w:r>
    </w:p>
    <w:p>
      <w:r>
        <w:pict>
          <v:rect style="width:0;height:1.5pt" o:hralign="center" o:hrstd="t" o:hr="t"/>
        </w:pict>
      </w:r>
    </w:p>
    <w:bookmarkEnd w:id="10"/>
    <w:bookmarkStart w:id="11" w:name="欧洲股市下挫停火到期忧虑拖累情绪stoxx-600收跌0.7"/>
    <w:p>
      <w:pPr>
        <w:pStyle w:val="Heading3"/>
      </w:pPr>
      <w:r>
        <w:t xml:space="preserve">3. </w:t>
      </w:r>
      <w:r>
        <w:rPr>
          <w:rFonts w:hint="eastAsia"/>
        </w:rPr>
        <w:t xml:space="preserve">欧洲股市下挫，停火到期忧虑拖累情绪，Stoxx</w:t>
      </w:r>
      <w:r>
        <w:t xml:space="preserve"> </w:t>
      </w:r>
      <w:r>
        <w:rPr>
          <w:rFonts w:hint="eastAsia"/>
        </w:rPr>
        <w:t xml:space="preserve">600收跌0.7%</w:t>
      </w:r>
    </w:p>
    <w:p>
      <w:pPr>
        <w:pStyle w:val="FirstParagraph"/>
      </w:pPr>
      <w:r>
        <w:rPr>
          <w:rFonts w:hint="eastAsia"/>
        </w:rPr>
        <w:t xml:space="preserve">4月21日，泛欧斯托克600指数（Stoxx</w:t>
      </w:r>
      <w:r>
        <w:t xml:space="preserve"> </w:t>
      </w:r>
      <w:r>
        <w:rPr>
          <w:rFonts w:hint="eastAsia"/>
        </w:rPr>
        <w:t xml:space="preserve">600）收盘下跌约0.7%，此前早盘走高后午后翻空。市场情绪受到美伊两周停火协议即将于本周到期消息的压制——特朗普总统向媒体明确表示”无意延长”停火期。主要市场方面，德国DAX、法国CAC及英国富时100均呈现区间震荡后小幅走低格局。欧洲劳动力市场仍具韧性，欧元区2月失业率小幅上升至6.2%，但整体尚属稳健。此外，英国2月份失业率出人意料地降至4.9%，优于市场预期的5.2%。分析师普遍关注本轮停火到期后伊朗局势走向对原油价格及欧洲金融市场的潜在二次冲击。</w:t>
      </w:r>
    </w:p>
    <w:p>
      <w:pPr>
        <w:pStyle w:val="BodyText"/>
      </w:pPr>
      <w:r>
        <w:rPr>
          <w:b/>
          <w:bCs/>
        </w:rPr>
        <w:t xml:space="preserve">References</w:t>
      </w:r>
    </w:p>
    <w:p>
      <w:pPr>
        <w:pStyle w:val="BodyText"/>
      </w:pPr>
      <w:r>
        <w:t xml:space="preserve">[7] CNBC. (2026, April 21).</w:t>
      </w:r>
      <w:r>
        <w:t xml:space="preserve"> </w:t>
      </w:r>
      <w:r>
        <w:rPr>
          <w:i/>
          <w:iCs/>
        </w:rPr>
        <w:t xml:space="preserve">European markets: Stoxx 600, FTSE, DAX, CAC, Iran latest, oil prices</w:t>
      </w:r>
      <w:r>
        <w:t xml:space="preserve">. https://www.cnbc.com/2026/04/21/european-markets-stoxx-600-ftse-dax-cac-iran-latest-oil-prices.html</w:t>
      </w:r>
      <w:r>
        <w:t xml:space="preserve"> </w:t>
      </w:r>
      <w:r>
        <w:t xml:space="preserve">[8] CNBC. (2026, April 21).</w:t>
      </w:r>
      <w:r>
        <w:t xml:space="preserve"> </w:t>
      </w:r>
      <w:r>
        <w:rPr>
          <w:i/>
          <w:iCs/>
        </w:rPr>
        <w:t xml:space="preserve">Brent oil nears $100 as doubts grow about Iran peace talks with ceasefire set to end soon</w:t>
      </w:r>
      <w:r>
        <w:t xml:space="preserve">. https://www.cnbc.com/2026/04/21/oil-price-iran-war-strait-hormuz-tanker-ceasefire-peace-talks.html</w:t>
      </w:r>
      <w:r>
        <w:t xml:space="preserve"> </w:t>
      </w:r>
      <w:r>
        <w:t xml:space="preserve">[9] Conference Board.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11"/>
    <w:bookmarkStart w:id="12" w:name="德国财政扩张为欧元区提供缓冲西班牙增速维持相对强劲"/>
    <w:p>
      <w:pPr>
        <w:pStyle w:val="Heading3"/>
      </w:pPr>
      <w:r>
        <w:t xml:space="preserve">4. </w:t>
      </w:r>
      <w:r>
        <w:rPr>
          <w:rFonts w:hint="eastAsia"/>
        </w:rPr>
        <w:t xml:space="preserve">德国财政扩张为欧元区提供缓冲，西班牙增速维持相对强劲</w:t>
      </w:r>
    </w:p>
    <w:p>
      <w:pPr>
        <w:pStyle w:val="FirstParagraph"/>
      </w:pPr>
      <w:r>
        <w:rPr>
          <w:rFonts w:hint="eastAsia"/>
        </w:rPr>
        <w:t xml:space="preserve">在欧元区普遍承压的背景下，德国新一轮财政刺激计划正在为欧洲经济提供难得支撑。标普全球评级预测，德国财政冲动将抵消法国、意大利和西班牙的财政收紧影响，为欧元区2026年整体财政立场贡献约0.2个百分点的正向拉动。制造业订单数据显示，德国工厂订单在2025年第四季度同比增长9.6%，为多年来罕见强劲表现。相比之下，西班牙经济相对韧性较强，实际GDP增速预计在2026年维持在2.3%左右，政府财政赤字亦有望进一步收窄至GDP的2.1%。不过，国际货币基金组织在4月17日的评估报告中警告称，欧洲各国政府应借当前能源危机压力之机推进结构性改革，以免窗口期过后”改革意愿随危机消退而减弱”。</w:t>
      </w:r>
    </w:p>
    <w:p>
      <w:pPr>
        <w:pStyle w:val="BodyText"/>
      </w:pPr>
      <w:r>
        <w:rPr>
          <w:b/>
          <w:bCs/>
        </w:rPr>
        <w:t xml:space="preserve">References</w:t>
      </w:r>
    </w:p>
    <w:p>
      <w:pPr>
        <w:pStyle w:val="BodyText"/>
      </w:pPr>
      <w:r>
        <w:t xml:space="preserve">[10] S&amp;P Global Ratings. (2026).</w:t>
      </w:r>
      <w:r>
        <w:t xml:space="preserve"> </w:t>
      </w:r>
      <w:r>
        <w:rPr>
          <w:i/>
          <w:iCs/>
        </w:rPr>
        <w:t xml:space="preserve">Economic outlook Europe Q1 2026: Germany’s fiscal reawakening</w:t>
      </w:r>
      <w:r>
        <w:t xml:space="preserve">. https://www.spglobal.com/ratings/en/regulatory/article/economic-research-economic-outlook-europe-q1-2026-germanys-fiscal-reawakening-s101657610</w:t>
      </w:r>
      <w:r>
        <w:t xml:space="preserve"> </w:t>
      </w:r>
      <w:r>
        <w:t xml:space="preserve">[11] International Monetary Fund. (2026, April 17).</w:t>
      </w:r>
      <w:r>
        <w:t xml:space="preserve"> </w:t>
      </w:r>
      <w:r>
        <w:rPr>
          <w:i/>
          <w:iCs/>
        </w:rPr>
        <w:t xml:space="preserve">Reforming Europe under pressure</w:t>
      </w:r>
      <w:r>
        <w:t xml:space="preserve"> </w:t>
      </w:r>
      <w:r>
        <w:t xml:space="preserve">[IMF Blog]. https://www.imf.org/en/blogs/articles/2026/04/17/reforming-europe-under-pressure</w:t>
      </w:r>
      <w:r>
        <w:t xml:space="preserve"> </w:t>
      </w:r>
      <w:r>
        <w:t xml:space="preserve">[12] European Commission – Spain Economic Forecast.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12"/>
    <w:bookmarkEnd w:id="13"/>
    <w:bookmarkStart w:id="18" w:name="政治与外交"/>
    <w:p>
      <w:pPr>
        <w:pStyle w:val="Heading2"/>
      </w:pPr>
      <w:r>
        <w:rPr>
          <w:rFonts w:hint="eastAsia"/>
        </w:rPr>
        <w:t xml:space="preserve">政治与外交</w:t>
      </w:r>
    </w:p>
    <w:bookmarkStart w:id="14" w:name="欧盟非正式峰会明日开幕塞浦路斯接棒伊朗局势与乌克兰问题双重考验"/>
    <w:p>
      <w:pPr>
        <w:pStyle w:val="Heading3"/>
      </w:pPr>
      <w:r>
        <w:t xml:space="preserve">1. </w:t>
      </w:r>
      <w:r>
        <w:rPr>
          <w:rFonts w:hint="eastAsia"/>
        </w:rPr>
        <w:t xml:space="preserve">欧盟非正式峰会明日开幕：塞浦路斯接棒，伊朗局势与乌克兰问题双重考验</w:t>
      </w:r>
    </w:p>
    <w:p>
      <w:pPr>
        <w:pStyle w:val="FirstParagraph"/>
      </w:pPr>
      <w:r>
        <w:rPr>
          <w:rFonts w:hint="eastAsia"/>
        </w:rPr>
        <w:t xml:space="preserve">欧洲理事会主席安东尼奥·科斯塔定于4月23日至24日在塞浦路斯主持欧盟国家元首和政府首脑非正式会议，本届峰会由塞浦路斯主席尼科斯·赫里斯托杜利季斯承办，会议地点设于尼科西亚与阿依纳帕。会议核心议题涵盖三大方向：一是欧盟对伊朗战争引发的中东局势变化的战略回应，包括推动停火后的外交解决机制；二是乌克兰问题——泽连斯基总统将于23日晚宴出席并就俄乌战争进行专题阐述；三是2028—2034年多年期财政框架（MFF）谈判的早期磋商。此外，与会领导人将于24日与中东地区关键合作伙伴举行非正式工作午餐，探讨航运自由与地区合作前景。气候团体”气候行动网络欧洲”已向欧盟领导人发出公开信，呼吁峰会将能源转型与气候投资纳入MFF核心优先事项。</w:t>
      </w:r>
    </w:p>
    <w:p>
      <w:pPr>
        <w:pStyle w:val="BodyText"/>
      </w:pPr>
      <w:r>
        <w:rPr>
          <w:b/>
          <w:bCs/>
        </w:rPr>
        <w:t xml:space="preserve">References</w:t>
      </w:r>
    </w:p>
    <w:p>
      <w:pPr>
        <w:pStyle w:val="BodyText"/>
      </w:pPr>
      <w:r>
        <w:t xml:space="preserve">[13] Council of the European Union. (2026, April).</w:t>
      </w:r>
      <w:r>
        <w:t xml:space="preserve"> </w:t>
      </w:r>
      <w:r>
        <w:rPr>
          <w:i/>
          <w:iCs/>
        </w:rPr>
        <w:t xml:space="preserve">Informal meeting of heads of state or government, 23–24 April 2026</w:t>
      </w:r>
      <w:r>
        <w:t xml:space="preserve">. https://www.consilium.europa.eu/en/meetings/european-council/2026/04/23-24/</w:t>
      </w:r>
      <w:r>
        <w:t xml:space="preserve"> </w:t>
      </w:r>
      <w:r>
        <w:t xml:space="preserve">[14] Ukrinform. (2026, April).</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[15] CAN Europe. (2026, April).</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14"/>
    <w:bookmarkStart w:id="15" w:name="停火岌岌可危欧盟紧急筹谋喷气燃料供应应对潜在缺口"/>
    <w:p>
      <w:pPr>
        <w:pStyle w:val="Heading3"/>
      </w:pPr>
      <w:r>
        <w:t xml:space="preserve">2. </w:t>
      </w:r>
      <w:r>
        <w:rPr>
          <w:rFonts w:hint="eastAsia"/>
        </w:rPr>
        <w:t xml:space="preserve">停火岌岌可危：欧盟紧急筹谋喷气燃料供应，应对潜在缺口</w:t>
      </w:r>
    </w:p>
    <w:p>
      <w:pPr>
        <w:pStyle w:val="FirstParagraph"/>
      </w:pPr>
      <w:r>
        <w:rPr>
          <w:rFonts w:hint="eastAsia"/>
        </w:rPr>
        <w:t xml:space="preserve">随着美伊停火协议本周面临到期，欧盟正积极评估喷气燃料进口替代方案，以应对可能的供应断档。欧盟委员会正研究两套应急预案：一是扩大从美国进口喷气燃料；二是设立成员国最低喷气燃料储备配额。数据显示，欧盟目前每年进口总需求量的30%至40%，其中约一半来自中东地区，伊朗战争爆发后这一供应链已持续承压。欧盟能源专员丹·约根森此前明确表示，</w:t>
      </w:r>
      <w:r>
        <w:rPr>
          <w:rFonts w:hint="eastAsia"/>
        </w:rPr>
        <w:t xml:space="preserve">“即便明天和平到来，短期内也不可能恢复正常。”</w:t>
      </w:r>
      <w:r>
        <w:rPr>
          <w:rFonts w:hint="eastAsia"/>
        </w:rPr>
        <w:t xml:space="preserve">与此同时，欧盟成员国正争分夺秒地通过谈判推动外交解决，但多国内部对于若停火失败是否应对伊朗实施更严厉制裁存在分歧。停火协议到期的直接后果将直接影响布伦特原油走势与欧洲通胀预期。</w:t>
      </w:r>
    </w:p>
    <w:p>
      <w:pPr>
        <w:pStyle w:val="BodyText"/>
      </w:pPr>
      <w:r>
        <w:rPr>
          <w:b/>
          <w:bCs/>
        </w:rPr>
        <w:t xml:space="preserve">References</w:t>
      </w:r>
    </w:p>
    <w:p>
      <w:pPr>
        <w:pStyle w:val="BodyText"/>
      </w:pPr>
      <w:r>
        <w:t xml:space="preserve">[16] Al Jazeera. (2026, April 21).</w:t>
      </w:r>
      <w:r>
        <w:t xml:space="preserve"> </w:t>
      </w:r>
      <w:r>
        <w:rPr>
          <w:i/>
          <w:iCs/>
        </w:rPr>
        <w:t xml:space="preserve">EU eyes options as Iran conflict threatens jet fuel shortages</w:t>
      </w:r>
      <w:r>
        <w:t xml:space="preserve">. https://www.aljazeera.com/news/2026/4/21/eu-eyes-options-as-iran-conflict-threatens-jet-fuel-shortages</w:t>
      </w:r>
      <w:r>
        <w:t xml:space="preserve"> </w:t>
      </w:r>
      <w:r>
        <w:t xml:space="preserve">[17] Euronews Business. (2026, April 9).</w:t>
      </w:r>
      <w:r>
        <w:t xml:space="preserve"> </w:t>
      </w:r>
      <w:r>
        <w:rPr>
          <w:i/>
          <w:iCs/>
        </w:rPr>
        <w:t xml:space="preserve">Why oil and gas prices could stay high in Europe even if the Iran war ends</w:t>
      </w:r>
      <w:r>
        <w:t xml:space="preserve">. https://www.euronews.com/business/2026/04/09/why-oil-and-gas-prices-could-stay-high-in-europe-even-if-the-iran-war-ends</w:t>
      </w:r>
      <w:r>
        <w:t xml:space="preserve"> </w:t>
      </w:r>
      <w:r>
        <w:t xml:space="preserve">[18] CNBC. (2026, April 21).</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15"/>
    <w:bookmarkStart w:id="16" w:name="欧洲议会通过2028-2034年mff谈判立场要求预算较委员会方案上调10"/>
    <w:p>
      <w:pPr>
        <w:pStyle w:val="Heading3"/>
      </w:pPr>
      <w:r>
        <w:t xml:space="preserve">3. </w:t>
      </w:r>
      <w:r>
        <w:rPr>
          <w:rFonts w:hint="eastAsia"/>
        </w:rPr>
        <w:t xml:space="preserve">欧洲议会通过2028-2034年MFF谈判立场，要求预算较委员会方案上调10%</w:t>
      </w:r>
    </w:p>
    <w:p>
      <w:pPr>
        <w:pStyle w:val="FirstParagraph"/>
      </w:pPr>
      <w:r>
        <w:rPr>
          <w:rFonts w:hint="eastAsia"/>
        </w:rPr>
        <w:t xml:space="preserve">欧洲议会预算委员会于4月20日以26票赞成、9票反对、5票弃权通过了2028—2034年多年期财政框架（MFF）的谈判立场，拟于4月29日提交全体会议表决。欧洲议会在报告中要求将下一轮七年预算总额设定为1.93万亿欧元（占欧盟GNI的1.38%），比欧委会方案高出约10%。此外，议会提案要求将”下一代欧盟”（NextGenerationEU）复苏基金的偿债支出（约占GNI的0.11%）设于预算上限之外单独列支。谈判共同报告员穆雷沙努（罗马尼亚，欧洲人民党）与塔瓦雷斯（葡萄牙，社民党）主导了该立场的起草。预计正式谈判将于2026—2028年与欧盟理事会逐步展开；由于MFF须经成员国一致通过，加之欧洲议会须表示同意，谈判难度不容小觑，各方博弈将持续至2027年底。</w:t>
      </w:r>
    </w:p>
    <w:p>
      <w:pPr>
        <w:pStyle w:val="BodyText"/>
      </w:pPr>
      <w:r>
        <w:rPr>
          <w:b/>
          <w:bCs/>
        </w:rPr>
        <w:t xml:space="preserve">References</w:t>
      </w:r>
    </w:p>
    <w:p>
      <w:pPr>
        <w:pStyle w:val="BodyText"/>
      </w:pPr>
      <w:r>
        <w:t xml:space="preserve">[19] GovPing – ChangeFlow. (2026, April 20).</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[20] European Parliament Think Tank.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[21] Agence Europe.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16"/>
    <w:bookmarkStart w:id="17" w:name="希腊拒绝对英国游客执行eu生物识别入境系统引发布鲁塞尔外交摩擦"/>
    <w:p>
      <w:pPr>
        <w:pStyle w:val="Heading3"/>
      </w:pPr>
      <w:r>
        <w:t xml:space="preserve">4. </w:t>
      </w:r>
      <w:r>
        <w:rPr>
          <w:rFonts w:hint="eastAsia"/>
        </w:rPr>
        <w:t xml:space="preserve">希腊拒绝对英国游客执行EU生物识别入境系统，引发布鲁塞尔外交摩擦</w:t>
      </w:r>
    </w:p>
    <w:p>
      <w:pPr>
        <w:pStyle w:val="FirstParagraph"/>
      </w:pPr>
      <w:r>
        <w:rPr>
          <w:rFonts w:hint="eastAsia"/>
        </w:rPr>
        <w:t xml:space="preserve">欧盟《入境/出境系统》（EES）于2026年4月10日正式启用，要求申根区所有边境对第三国公民采集生物识别数据。然而，希腊随即宣布英国护照持有人豁免于生物识别登记，此举在法律层面与欧盟统一规则直接冲突，引发布鲁塞尔方面的严重关切。希腊方面的单边豁免决定被解读为向英国游客释放的经济信号——旅游业贡献约占希腊GDP的25%，英国游客是最重要客源之一。欧盟委员会尚未就此发表正式回应，但多位欧盟官员私下表示，若豁免措施延续，申根区边境管理的统一性将受到根本性挑战。各成员国是否会效仿希腊，已成为EES实施监督机制面临的首个重大考验。</w:t>
      </w:r>
    </w:p>
    <w:p>
      <w:pPr>
        <w:pStyle w:val="BodyText"/>
      </w:pPr>
      <w:r>
        <w:rPr>
          <w:b/>
          <w:bCs/>
        </w:rPr>
        <w:t xml:space="preserve">References</w:t>
      </w:r>
    </w:p>
    <w:p>
      <w:pPr>
        <w:pStyle w:val="BodyText"/>
      </w:pPr>
      <w:r>
        <w:t xml:space="preserve">[22] BritBrief. (2026).</w:t>
      </w:r>
      <w:r>
        <w:t xml:space="preserve"> </w:t>
      </w:r>
      <w:r>
        <w:rPr>
          <w:i/>
          <w:iCs/>
        </w:rPr>
        <w:t xml:space="preserve">Greece drops EU biometric requirements for British visitors, creating diplomatic tension with Brussels</w:t>
      </w:r>
      <w:r>
        <w:t xml:space="preserve">. https://britbrief.co.uk/politics/diplomacy/greece-defies-eu-biometric-rules-for-british-tourists.html</w:t>
      </w:r>
      <w:r>
        <w:t xml:space="preserve"> </w:t>
      </w:r>
      <w:r>
        <w:t xml:space="preserve">[23] Council of the European Union. (2026, EES).</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17"/>
    <w:bookmarkEnd w:id="18"/>
    <w:bookmarkStart w:id="22" w:name="科技与产业"/>
    <w:p>
      <w:pPr>
        <w:pStyle w:val="Heading2"/>
      </w:pPr>
      <w:r>
        <w:rPr>
          <w:rFonts w:hint="eastAsia"/>
        </w:rPr>
        <w:t xml:space="preserve">科技与产业</w:t>
      </w:r>
    </w:p>
    <w:bookmarkStart w:id="19" w:name="欧盟ai法案高风险条款8月2日起全面执行企业合规窗口日益收窄"/>
    <w:p>
      <w:pPr>
        <w:pStyle w:val="Heading3"/>
      </w:pPr>
      <w:r>
        <w:t xml:space="preserve">1. </w:t>
      </w:r>
      <w:r>
        <w:rPr>
          <w:rFonts w:hint="eastAsia"/>
        </w:rPr>
        <w:t xml:space="preserve">欧盟AI法案高风险条款8月2日起全面执行，企业合规窗口日益收窄</w:t>
      </w:r>
    </w:p>
    <w:p>
      <w:pPr>
        <w:pStyle w:val="FirstParagraph"/>
      </w:pPr>
      <w:r>
        <w:rPr>
          <w:rFonts w:hint="eastAsia"/>
        </w:rPr>
        <w:t xml:space="preserve">欧盟《人工智能法案》于2024年8月1日正式生效，2026年8月2日将迎来最关键的执法里程碑——附件三（Annex</w:t>
      </w:r>
      <w:r>
        <w:t xml:space="preserve"> </w:t>
      </w:r>
      <w:r>
        <w:rPr>
          <w:rFonts w:hint="eastAsia"/>
        </w:rPr>
        <w:t xml:space="preserve">III）所列高风险AI系统的全部合规要求届时强制适用。涵盖范围包括：生物特征识别、关键基础设施、教育职业培训、就业与劳动管理、基本公共和私人服务、执法、移民边境管理及司法行政等领域的AI系统。从处罚力度看，违反禁止性AI规定最高可处3500万欧元或全球年营业额7%的罚款（取高值）；违反高风险义务最高可处1500万欧元或全球年营业额3%的罚款。同时，各成员国须在8月2日前建立至少一个国家级AI监管沙盒。法律专家普遍警示企业，距合规截止日仅剩约100天，高风险AI供应商与部署企业应立即启动合规自查，重点核查数据质量文件、人工监督机制和透明度说明文件。</w:t>
      </w:r>
    </w:p>
    <w:p>
      <w:pPr>
        <w:pStyle w:val="BodyText"/>
      </w:pPr>
      <w:r>
        <w:rPr>
          <w:b/>
          <w:bCs/>
        </w:rPr>
        <w:t xml:space="preserve">References</w:t>
      </w:r>
    </w:p>
    <w:p>
      <w:pPr>
        <w:pStyle w:val="BodyText"/>
      </w:pPr>
      <w:r>
        <w:t xml:space="preserve">[24] Kennedys Law. (2026).</w:t>
      </w:r>
      <w:r>
        <w:t xml:space="preserve"> </w:t>
      </w:r>
      <w:r>
        <w:rPr>
          <w:i/>
          <w:iCs/>
        </w:rPr>
        <w:t xml:space="preserve">The EU AI Act implementation timeline: understanding the next deadline for compliance</w:t>
      </w:r>
      <w:r>
        <w:t xml:space="preserve">. https://www.kennedyslaw.com/en/thought-leadership/article/2026/the-eu-ai-act-implementation-timeline-understanding-the-next-deadline-for-compliance/</w:t>
      </w:r>
      <w:r>
        <w:t xml:space="preserve"> </w:t>
      </w:r>
      <w:r>
        <w:t xml:space="preserve">[25] Perspective Labs.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[26] Legal Nodes.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[27] Secure Privacy.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19"/>
    <w:bookmarkStart w:id="20" w:name="欧洲ai风投q1-2026创纪录融资额176亿美元ai首占总量逾半"/>
    <w:p>
      <w:pPr>
        <w:pStyle w:val="Heading3"/>
      </w:pPr>
      <w:r>
        <w:t xml:space="preserve">2. </w:t>
      </w:r>
      <w:r>
        <w:rPr>
          <w:rFonts w:hint="eastAsia"/>
        </w:rPr>
        <w:t xml:space="preserve">欧洲AI风投Q1</w:t>
      </w:r>
      <w:r>
        <w:t xml:space="preserve"> </w:t>
      </w:r>
      <w:r>
        <w:rPr>
          <w:rFonts w:hint="eastAsia"/>
        </w:rPr>
        <w:t xml:space="preserve">2026创纪录：融资额176亿美元，AI首占总量逾半</w:t>
      </w:r>
    </w:p>
    <w:p>
      <w:pPr>
        <w:pStyle w:val="FirstParagraph"/>
      </w:pPr>
      <w:r>
        <w:rPr>
          <w:rFonts w:hint="eastAsia"/>
        </w:rPr>
        <w:t xml:space="preserve">Crunchbase最新数据显示，2026年第一季度欧洲风险投资融资总额达176亿美元，同比增长近30%，连续第二个季度实现增长。其中，AI领域融资约92亿美元，首次超过欧洲VC总融资的50%，刷新历史纪录。值得注意的是，资金向少数企业高度集中的趋势明显——交易数量同比骤降40%，但单笔规模显著扩大。法国成为欧洲大模型研发的核心阵地：Mistral</w:t>
      </w:r>
      <w:r>
        <w:t xml:space="preserve"> </w:t>
      </w:r>
      <w:r>
        <w:rPr>
          <w:rFonts w:hint="eastAsia"/>
        </w:rPr>
        <w:t xml:space="preserve">AI于3月底完成8.3亿美元数据中心债务融资，将在巴黎近郊建设超大型AI算力集群；巴黎新兴公司Advanced</w:t>
      </w:r>
      <w:r>
        <w:t xml:space="preserve"> Machine </w:t>
      </w:r>
      <w:r>
        <w:rPr>
          <w:rFonts w:hint="eastAsia"/>
        </w:rPr>
        <w:t xml:space="preserve">Intelligence则完成10亿美元种子轮融资，创欧洲史上最大种子轮纪录。欧洲整体AI支出预计到2029年将达到2900亿美元，其中软件占比约58.5%，年均增速高达42.9%。防务科技与工业深科技是驱动本季度融资的另外两大宏观主题。</w:t>
      </w:r>
    </w:p>
    <w:p>
      <w:pPr>
        <w:pStyle w:val="BodyText"/>
      </w:pPr>
      <w:r>
        <w:rPr>
          <w:b/>
          <w:bCs/>
        </w:rPr>
        <w:t xml:space="preserve">References</w:t>
      </w:r>
    </w:p>
    <w:p>
      <w:pPr>
        <w:pStyle w:val="BodyText"/>
      </w:pPr>
      <w:r>
        <w:t xml:space="preserve">[28] Crunchbase.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[29] Crowdfund Insider.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[30] EU-Startups. (2026, March).</w:t>
      </w:r>
      <w:r>
        <w:t xml:space="preserve"> </w:t>
      </w:r>
      <w:r>
        <w:rPr>
          <w:i/>
          <w:iCs/>
        </w:rPr>
        <w:t xml:space="preserve">Mistral AI extends a year of outsized expansion with €722 million to deepen Europe’s AI infrastructure</w:t>
      </w:r>
      <w:r>
        <w:t xml:space="preserve">. https://www.eu-startups.com/2026/03/mistral-ai-extends-a-year-of-outsized-expansion-with-e722-million-to-deepen-europes-ai-infrastructure/</w:t>
      </w:r>
      <w:r>
        <w:t xml:space="preserve"> </w:t>
      </w:r>
      <w:r>
        <w:t xml:space="preserve">[31] CNBC. (2026, March 30).</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20"/>
    <w:bookmarkStart w:id="21" w:name="欧委会投入3.07亿欧元支持ai与数字技术深化欧洲战略自主"/>
    <w:p>
      <w:pPr>
        <w:pStyle w:val="Heading3"/>
      </w:pPr>
      <w:r>
        <w:t xml:space="preserve">3. </w:t>
      </w:r>
      <w:r>
        <w:rPr>
          <w:rFonts w:hint="eastAsia"/>
        </w:rPr>
        <w:t xml:space="preserve">欧委会投入3.07亿欧元支持AI与数字技术，深化欧洲战略自主</w:t>
      </w:r>
    </w:p>
    <w:p>
      <w:pPr>
        <w:pStyle w:val="FirstParagraph"/>
      </w:pPr>
      <w:r>
        <w:rPr>
          <w:rFonts w:hint="eastAsia"/>
        </w:rPr>
        <w:t xml:space="preserve">欧盟委员会最新宣布，将通过”数字欧洲”（Digital</w:t>
      </w:r>
      <w:r>
        <w:t xml:space="preserve"> Europe </w:t>
      </w:r>
      <w:r>
        <w:rPr>
          <w:rFonts w:hint="eastAsia"/>
        </w:rPr>
        <w:t xml:space="preserve">Programme）投入逾3.07亿欧元，全面加强欧盟数字创新能力。其中2.218亿欧元专项用于开发”可信赖AI”服务，并支持欧洲在人工智能领域的战略自主性。与此同时，帮助净安全（HelpNet</w:t>
      </w:r>
      <w:r>
        <w:t xml:space="preserve"> </w:t>
      </w:r>
      <w:r>
        <w:rPr>
          <w:rFonts w:hint="eastAsia"/>
        </w:rPr>
        <w:t xml:space="preserve">Security）援引IDC数据预测，欧洲AI市场支出将在2029年突破2900亿美元。从产业格局来看，银行与金融服务业领跑欧洲AI投资，智能代理（Agentic</w:t>
      </w:r>
      <w:r>
        <w:t xml:space="preserve"> </w:t>
      </w:r>
      <w:r>
        <w:rPr>
          <w:rFonts w:hint="eastAsia"/>
        </w:rPr>
        <w:t xml:space="preserve">AI）的企业级应用正在各行各业加速落地。AI监管方面，欧盟委员会发布《AI法案》与《医疗器械法规》（MDR）的交叉合规指南，要求高风险医疗AI软件满足更严格的数据质量标准，并赋予患者对AI临床决策的”可理解解释权”，相关要求与8月2日高风险条款执法时间线高度吻合。</w:t>
      </w:r>
    </w:p>
    <w:p>
      <w:pPr>
        <w:pStyle w:val="BodyText"/>
      </w:pPr>
      <w:r>
        <w:rPr>
          <w:b/>
          <w:bCs/>
        </w:rPr>
        <w:t xml:space="preserve">References</w:t>
      </w:r>
    </w:p>
    <w:p>
      <w:pPr>
        <w:pStyle w:val="BodyText"/>
      </w:pPr>
      <w:r>
        <w:t xml:space="preserve">[32] European Commission Digital Strategy.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[33] Help Net Security. (2026, April 16).</w:t>
      </w:r>
      <w:r>
        <w:t xml:space="preserve"> </w:t>
      </w:r>
      <w:r>
        <w:rPr>
          <w:i/>
          <w:iCs/>
        </w:rPr>
        <w:t xml:space="preserve">European AI spending set to hit $290 billion by 2029</w:t>
      </w:r>
      <w:r>
        <w:t xml:space="preserve">. https://www.helpnetsecurity.com/2026/04/16/european-ai-spending-2029/</w:t>
      </w:r>
      <w:r>
        <w:t xml:space="preserve"> </w:t>
      </w:r>
      <w:r>
        <w:t xml:space="preserve">[34] Healthcare Digital. (2026, April 17).</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21"/>
    <w:bookmarkEnd w:id="22"/>
    <w:bookmarkStart w:id="27" w:name="社会与民生"/>
    <w:p>
      <w:pPr>
        <w:pStyle w:val="Heading2"/>
      </w:pPr>
      <w:r>
        <w:rPr>
          <w:rFonts w:hint="eastAsia"/>
        </w:rPr>
        <w:t xml:space="preserve">社会与民生</w:t>
      </w:r>
    </w:p>
    <w:bookmarkStart w:id="23" w:name="世卫组织欧洲区发布首份eu人工智能医疗快照报告74成员国已使用ai辅助诊断"/>
    <w:p>
      <w:pPr>
        <w:pStyle w:val="Heading3"/>
      </w:pPr>
      <w:r>
        <w:t xml:space="preserve">1. </w:t>
      </w:r>
      <w:r>
        <w:rPr>
          <w:rFonts w:hint="eastAsia"/>
        </w:rPr>
        <w:t xml:space="preserve">世卫组织/欧洲区发布首份EU人工智能医疗快照报告：74%成员国已使用AI辅助诊断</w:t>
      </w:r>
    </w:p>
    <w:p>
      <w:pPr>
        <w:pStyle w:val="FirstParagraph"/>
      </w:pPr>
      <w:r>
        <w:rPr>
          <w:rFonts w:hint="eastAsia"/>
        </w:rPr>
        <w:t xml:space="preserve">世界卫生组织欧洲区于4月20日发布报告《人工智能正在重塑医疗系统：欧盟成员国准备现状》，这是有史以来首次对全部27个欧盟成员国AI医疗应用状况进行系统性评估。报告基于2024年6月至2025年3月间收集的数据，核心发现包括：74%的欧盟成员国已将AI辅助诊断（含医疗影像、疾病检测和临床决策支持工具）纳入临床实践；63%使用聊天机器人支持患者互动；近50%已专设AI与数据科学相关专业岗位；81%在AI卫生治理框架制定中积极引入利益相关方参与。世卫组织提出三大优先建议：一是强化医疗工作者AI素养与伦理培训；二是确保患者与公众在政策制定中的包容性参与；三是建立卓越中心以测试技术、共享最佳实践并制定统一实施标准。报告特别强调，</w:t>
      </w:r>
      <w:r>
        <w:rPr>
          <w:rFonts w:hint="eastAsia"/>
        </w:rPr>
        <w:t xml:space="preserve">“由公众深度参与塑造的系统更能赢得持久信任”</w:t>
      </w:r>
      <w:r>
        <w:t xml:space="preserve">。</w:t>
      </w:r>
    </w:p>
    <w:p>
      <w:pPr>
        <w:pStyle w:val="BodyText"/>
      </w:pPr>
      <w:r>
        <w:rPr>
          <w:b/>
          <w:bCs/>
        </w:rPr>
        <w:t xml:space="preserve">References</w:t>
      </w:r>
    </w:p>
    <w:p>
      <w:pPr>
        <w:pStyle w:val="BodyText"/>
      </w:pPr>
      <w:r>
        <w:t xml:space="preserve">[35] World Health Organization/Europe. (2026, April 20).</w:t>
      </w:r>
      <w:r>
        <w:t xml:space="preserve"> </w:t>
      </w:r>
      <w:r>
        <w:rPr>
          <w:i/>
          <w:iCs/>
        </w:rPr>
        <w:t xml:space="preserve">New WHO/Europe report provides first-ever snapshot of AI in health care across European Union Member States</w:t>
      </w:r>
      <w:r>
        <w:t xml:space="preserve"> </w:t>
      </w:r>
      <w:r>
        <w:t xml:space="preserve">[Press Release]. https://www.who.int/europe/news/item/20-04-2026-new-who-europe-report-provides-first-ever-snapshot-of-ai-in-health-care-across-european-union-member-states</w:t>
      </w:r>
      <w:r>
        <w:t xml:space="preserve"> </w:t>
      </w:r>
      <w:r>
        <w:t xml:space="preserve">[36] ICT&amp;Health.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[37] Digital Health News.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23"/>
    <w:bookmarkStart w:id="24" w:name="欧洲心血管与癌症联盟吁欧盟峰会将健康投资列为核心优先事项年度负担逾5000亿欧元"/>
    <w:p>
      <w:pPr>
        <w:pStyle w:val="Heading3"/>
      </w:pPr>
      <w:r>
        <w:t xml:space="preserve">2. </w:t>
      </w:r>
      <w:r>
        <w:rPr>
          <w:rFonts w:hint="eastAsia"/>
        </w:rPr>
        <w:t xml:space="preserve">欧洲心血管与癌症联盟吁欧盟峰会将健康投资列为核心优先事项，年度负担逾5000亿欧元</w:t>
      </w:r>
    </w:p>
    <w:p>
      <w:pPr>
        <w:pStyle w:val="FirstParagraph"/>
      </w:pPr>
      <w:r>
        <w:rPr>
          <w:rFonts w:hint="eastAsia"/>
        </w:rPr>
        <w:t xml:space="preserve">在塞浦路斯峰会召开前夕，欧洲心血管健康界与癌症研究共同体联合向欧盟成员国领导人发出紧急呼吁，要求将健康投资纳入2028—2034年MFF谈判的核心优先事项。据世界心脏联盟数据，心血管疾病与癌症每年使欧盟付出近5000亿欧元的代价，涵盖医疗直接支出、劳动力生产率损失及社会系统压力三个维度。联合声明指出，当前欧盟部分成员国受财政紧缩压力影响已压缩健康投入，这将导致可预防死亡增加，进而加剧医疗系统长期可持续性危机。伊朗战争引发的能源价格飙升已通过医院供暖、制药供应链及急诊室运营等环节对医疗系统形成传导压力，部分成员国正面临医院运营成本骤升的挑战。各方呼吁欧盟委员会在下一轮预算周期中设立专项健康韧性基金，以应对气候变化、大流行病风险及人口老龄化的叠加冲击。</w:t>
      </w:r>
    </w:p>
    <w:p>
      <w:pPr>
        <w:pStyle w:val="BodyText"/>
      </w:pPr>
      <w:r>
        <w:rPr>
          <w:b/>
          <w:bCs/>
        </w:rPr>
        <w:t xml:space="preserve">References</w:t>
      </w:r>
    </w:p>
    <w:p>
      <w:pPr>
        <w:pStyle w:val="BodyText"/>
      </w:pPr>
      <w:r>
        <w:t xml:space="preserve">[38] World Heart Federation. (2026).</w:t>
      </w:r>
      <w:r>
        <w:t xml:space="preserve"> </w:t>
      </w:r>
      <w:r>
        <w:rPr>
          <w:i/>
          <w:iCs/>
        </w:rPr>
        <w:t xml:space="preserve">€500 billion disease burden: EU leaders urged to protect investment in cancer and cardiovascular health</w:t>
      </w:r>
      <w:r>
        <w:t xml:space="preserve">. https://world-heart-federation.org/news/e500-billion-disease-burden-eu-leaders-urged-to-protect-investment-in-cancer-and-cardiovascular-health/</w:t>
      </w:r>
      <w:r>
        <w:t xml:space="preserve"> </w:t>
      </w:r>
      <w:r>
        <w:t xml:space="preserve">[39] EU4Health.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[40] HaDEA.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24"/>
    <w:bookmarkStart w:id="25" w:name="欧盟移民与庇护公约6月正式生效都柏林规则走入历史"/>
    <w:p>
      <w:pPr>
        <w:pStyle w:val="Heading3"/>
      </w:pPr>
      <w:r>
        <w:t xml:space="preserve">3. </w:t>
      </w:r>
      <w:r>
        <w:rPr>
          <w:rFonts w:hint="eastAsia"/>
        </w:rPr>
        <w:t xml:space="preserve">欧盟《移民与庇护公约》6月正式生效，都柏林规则走入历史</w:t>
      </w:r>
    </w:p>
    <w:p>
      <w:pPr>
        <w:pStyle w:val="FirstParagraph"/>
      </w:pPr>
      <w:r>
        <w:rPr>
          <w:rFonts w:hint="eastAsia"/>
        </w:rPr>
        <w:t xml:space="preserve">欧盟《移民与庇护公约》（EU</w:t>
      </w:r>
      <w:r>
        <w:t xml:space="preserve"> Pact on Migration and </w:t>
      </w:r>
      <w:r>
        <w:rPr>
          <w:rFonts w:hint="eastAsia"/>
        </w:rPr>
        <w:t xml:space="preserve">Asylum）将于2026年6月正式生效，全面取代沿用数十年的”都柏林”体系。新框架的核心变革在于：统一欧盟各成员国的庇护申请审查程序，加快边境决策速度，并引入”团结机制”以更公平地在成员国间分配庇护申请者。移民与就业市场方面，最新数据显示，2019年至2024年间欧盟新增就业的约50%由非欧盟劳动力填补，这一群体虽仅占欧盟劳动力的6.6%，却正在成为老龄化背景下劳动力短缺的关键缓冲力量。移民政策调整同步推进：法国将从5月1日起上调居留许可政府费用，欧洲议会与理事会亦正就社会保险协调规则修订展开谈判，旨在为EU内部流动工人设定更公平的社会福利规则。</w:t>
      </w:r>
    </w:p>
    <w:p>
      <w:pPr>
        <w:pStyle w:val="BodyText"/>
      </w:pPr>
      <w:r>
        <w:rPr>
          <w:b/>
          <w:bCs/>
        </w:rPr>
        <w:t xml:space="preserve">References</w:t>
      </w:r>
    </w:p>
    <w:p>
      <w:pPr>
        <w:pStyle w:val="BodyText"/>
      </w:pPr>
      <w:r>
        <w:t xml:space="preserve">[41] The Workers Rights. (2026).</w:t>
      </w:r>
      <w:r>
        <w:t xml:space="preserve"> </w:t>
      </w:r>
      <w:r>
        <w:rPr>
          <w:i/>
          <w:iCs/>
        </w:rPr>
        <w:t xml:space="preserve">Europe’s 2025–26 migration policy updates explained</w:t>
      </w:r>
      <w:r>
        <w:t xml:space="preserve">. https://www.theworkersrights.com/eu-migration-policy-updates-2025-26-asylum-work-permits/</w:t>
      </w:r>
      <w:r>
        <w:t xml:space="preserve"> </w:t>
      </w:r>
      <w:r>
        <w:t xml:space="preserve">[42] Access Financial.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[43] Clark Hill. (2026, March).</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[44] European Commission – Migration and Labour Market.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25"/>
    <w:bookmarkStart w:id="26" w:name="欧洲劳动力市场ai技能溢价凸显具备ai能力的专业人士薪酬高出56"/>
    <w:p>
      <w:pPr>
        <w:pStyle w:val="Heading3"/>
      </w:pPr>
      <w:r>
        <w:t xml:space="preserve">4. </w:t>
      </w:r>
      <w:r>
        <w:rPr>
          <w:rFonts w:hint="eastAsia"/>
        </w:rPr>
        <w:t xml:space="preserve">欧洲劳动力市场AI技能溢价凸显：具备AI能力的专业人士薪酬高出56%</w:t>
      </w:r>
    </w:p>
    <w:p>
      <w:pPr>
        <w:pStyle w:val="FirstParagraph"/>
      </w:pPr>
      <w:r>
        <w:rPr>
          <w:rFonts w:hint="eastAsia"/>
        </w:rPr>
        <w:t xml:space="preserve">随着人工智能应用加速渗透欧洲企业，AI技能稀缺性正在被劳动力市场价格机制迅速放大。最新行业薪酬调查显示，要求具备AI能力的职位招聘数量在2026年同比增长约70%，而在数据工程、分析工程和机器学习工程等细分领域，永久职位年薪涨幅普遍介于8%至20%之间。具备AI能力的专业人士薪酬溢价高达56%，成为近年来欧洲职场中最显著的结构性薪酬分化现象。根据现有统计，欧洲约有5800家AI企业，位居全球第三、欧洲第一。Thoughtworks在2026年4月发布的《技术雷达》报告指出，整个行业正从”无序实验”阶段转向追求”可重复性与稳定性”，AI系统的一致性和可靠性已成为企业客户评估技术落地的首要指标。医疗健康与金融科技是AI人才需求最旺盛的两大行业，前者受各国数字医疗战略驱动，后者依托欧洲各金融中心的高端需求持续扩大。</w:t>
      </w:r>
    </w:p>
    <w:p>
      <w:pPr>
        <w:pStyle w:val="BodyText"/>
      </w:pPr>
      <w:r>
        <w:rPr>
          <w:b/>
          <w:bCs/>
        </w:rPr>
        <w:t xml:space="preserve">References</w:t>
      </w:r>
    </w:p>
    <w:p>
      <w:pPr>
        <w:pStyle w:val="BodyText"/>
      </w:pPr>
      <w:r>
        <w:t xml:space="preserve">[45] Nucamp.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[46] PRWeb.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[47] Thoughtworks Technology Radar. (2026, April).</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26"/>
    <w:bookmarkEnd w:id="27"/>
    <w:bookmarkStart w:id="32" w:name="其他重要事件"/>
    <w:p>
      <w:pPr>
        <w:pStyle w:val="Heading2"/>
      </w:pPr>
      <w:r>
        <w:rPr>
          <w:rFonts w:hint="eastAsia"/>
        </w:rPr>
        <w:t xml:space="preserve">其他重要事件</w:t>
      </w:r>
    </w:p>
    <w:bookmarkStart w:id="28" w:name="世界地球日2026主题我们的力量我们的星球欧洲掀起气候行动浪潮"/>
    <w:p>
      <w:pPr>
        <w:pStyle w:val="Heading3"/>
      </w:pPr>
      <w:r>
        <w:t xml:space="preserve">1. </w:t>
      </w:r>
      <w:r>
        <w:rPr>
          <w:rFonts w:hint="eastAsia"/>
        </w:rPr>
        <w:t xml:space="preserve">世界地球日2026：主题”我们的力量，我们的星球”，欧洲掀起气候行动浪潮</w:t>
      </w:r>
    </w:p>
    <w:p>
      <w:pPr>
        <w:pStyle w:val="FirstParagraph"/>
      </w:pPr>
      <w:r>
        <w:rPr>
          <w:rFonts w:hint="eastAsia"/>
        </w:rPr>
        <w:t xml:space="preserve">2026年4月22日，第56个世界地球日正式拉开帷幕，今年的主题为”我们的力量，我们的星球”（Our</w:t>
      </w:r>
      <w:r>
        <w:t xml:space="preserve"> Power, Our </w:t>
      </w:r>
      <w:r>
        <w:rPr>
          <w:rFonts w:hint="eastAsia"/>
        </w:rPr>
        <w:t xml:space="preserve">Planet），着重传递一个核心信息：保护地球环境的力量来自公民社会、教育工作者和基层社区，而不仅仅依赖政治领导层。在欧洲，地球日被正式定义为”气候日”，欧盟委员会教育气候行动平台号召各成员国教育机构同步开展活动。全球约10亿人将在今天参与各类环保行动，涵盖清洁家园、气候研讨会、学校教育项目及抗议示威活动。伊朗战争引发的能源价格飙升，令今年地球日的话题焦点更集中于欧洲能源独立与可再生能源加速转型，多个欧洲主要城市将举行由民间社会组织主导的气候游行。</w:t>
      </w:r>
    </w:p>
    <w:p>
      <w:pPr>
        <w:pStyle w:val="BodyText"/>
      </w:pPr>
      <w:r>
        <w:rPr>
          <w:b/>
          <w:bCs/>
        </w:rPr>
        <w:t xml:space="preserve">References</w:t>
      </w:r>
    </w:p>
    <w:p>
      <w:pPr>
        <w:pStyle w:val="BodyText"/>
      </w:pPr>
      <w:r>
        <w:t xml:space="preserve">[48] Earth Day Organization. (2026).</w:t>
      </w:r>
      <w:r>
        <w:t xml:space="preserve"> </w:t>
      </w:r>
      <w:r>
        <w:rPr>
          <w:i/>
          <w:iCs/>
        </w:rPr>
        <w:t xml:space="preserve">Earth Day 2026: Our Power, Our Planet</w:t>
      </w:r>
      <w:r>
        <w:t xml:space="preserve">. https://www.earthday.org/earth-day-2026/</w:t>
      </w:r>
      <w:r>
        <w:t xml:space="preserve"> </w:t>
      </w:r>
      <w:r>
        <w:t xml:space="preserve">[49] The National. (2026, April 22).</w:t>
      </w:r>
      <w:r>
        <w:t xml:space="preserve"> </w:t>
      </w:r>
      <w:r>
        <w:rPr>
          <w:i/>
          <w:iCs/>
        </w:rPr>
        <w:t xml:space="preserve">Earth Day: Meaning behind 2026 slogan Our Power, Our Planet</w:t>
      </w:r>
      <w:r>
        <w:t xml:space="preserve">. https://www.thenationalnews.com/lifestyle/2026/04/22/earth-day-2026-history-of-the-movement/</w:t>
      </w:r>
      <w:r>
        <w:t xml:space="preserve"> </w:t>
      </w:r>
      <w:r>
        <w:t xml:space="preserve">[50] World Economic Forum. (2026, March).</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28"/>
    <w:bookmarkStart w:id="29" w:name="柳叶刀倒计时2026年欧洲报告海德堡发布气候变化对人类健康的威胁全面评估"/>
    <w:p>
      <w:pPr>
        <w:pStyle w:val="Heading3"/>
      </w:pPr>
      <w:r>
        <w:t xml:space="preserve">2. </w:t>
      </w:r>
      <w:r>
        <w:rPr>
          <w:rFonts w:hint="eastAsia"/>
        </w:rPr>
        <w:t xml:space="preserve">《柳叶刀》倒计时2026年欧洲报告海德堡发布：气候变化对人类健康的威胁全面评估</w:t>
      </w:r>
    </w:p>
    <w:p>
      <w:pPr>
        <w:pStyle w:val="FirstParagraph"/>
      </w:pPr>
      <w:r>
        <w:rPr>
          <w:rFonts w:hint="eastAsia"/>
        </w:rPr>
        <w:t xml:space="preserve">《柳叶刀》倒计时健康与气候变化欧洲区报告2026年度版启动活动于今日（4月22日，世界地球日）在德国海德堡以混合形式正式举行。报告对气候变化对欧洲公共卫生的影响进行全面综合评估，核心议题包括：极端高温对脆弱人群死亡率的影响、气候变化加速传染病传播的流行病学证据、城市化与热岛效应的叠加风险，以及欧洲各国医疗系统在气候冲击下的韧性差距。此次活动汇聚欧洲各国公共卫生学者、气候科学家与政策制定者，研究发现将直接为欧盟的气候与健康战略提供科学依据。与当日举行的世界地球日全球活动相呼应，此次报告发布进一步提升了气候健康议题的政策能见度，为下周的塞浦路斯欧盟峰会提供研究背景支撑。</w:t>
      </w:r>
    </w:p>
    <w:p>
      <w:pPr>
        <w:pStyle w:val="BodyText"/>
      </w:pPr>
      <w:r>
        <w:rPr>
          <w:b/>
          <w:bCs/>
        </w:rPr>
        <w:t xml:space="preserve">References</w:t>
      </w:r>
    </w:p>
    <w:p>
      <w:pPr>
        <w:pStyle w:val="BodyText"/>
      </w:pPr>
      <w:r>
        <w:t xml:space="preserve">[51] Lancet Countdown Europe. (2026, April 22).</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[52] EU Education for Climate Platform.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29"/>
    <w:bookmarkStart w:id="30" w:name="欧洲风能大会马德里落幕风电产业转型聚焦供应链自主与融资创新"/>
    <w:p>
      <w:pPr>
        <w:pStyle w:val="Heading3"/>
      </w:pPr>
      <w:r>
        <w:t xml:space="preserve">3. </w:t>
      </w:r>
      <w:r>
        <w:rPr>
          <w:rFonts w:hint="eastAsia"/>
        </w:rPr>
        <w:t xml:space="preserve">欧洲风能大会马德里落幕，风电产业转型聚焦供应链自主与融资创新</w:t>
      </w:r>
    </w:p>
    <w:p>
      <w:pPr>
        <w:pStyle w:val="FirstParagraph"/>
      </w:pPr>
      <w:r>
        <w:rPr>
          <w:rFonts w:hint="eastAsia"/>
        </w:rPr>
        <w:t xml:space="preserve">欧洲风能大会（WindEurope</w:t>
      </w:r>
      <w:r>
        <w:t xml:space="preserve"> </w:t>
      </w:r>
      <w:r>
        <w:rPr>
          <w:rFonts w:hint="eastAsia"/>
        </w:rPr>
        <w:t xml:space="preserve">2026）于4月21日至23日在西班牙马德里IFEMA展览中心举行，这是欧洲风电行业最具规模的年度旗舰峰会。在伊朗战争引发的能源危机背景下，本届会议议题高度聚焦：一是加快欧洲风电产能建设，以部分替代受冲击的化石能源进口；二是解决风电供应链断链隐患，特别是关键矿产、海上风电装备制造及海底电缆的本土化率问题；三是探讨在能源价格高企环境下风电项目融资结构的创新路径。欧盟委员会代表在峰会上重申，在《可再生能源指令》修订框架下，欧盟将继续推进提速审批（不超过两年完成许可），以实现2030年可再生能源占比45%的目标。分析机构预计，此次能源冲击短期内将显著提升成员国政府对风电项目的政治支持力度和财政补贴意愿。</w:t>
      </w:r>
    </w:p>
    <w:p>
      <w:pPr>
        <w:pStyle w:val="BodyText"/>
      </w:pPr>
      <w:r>
        <w:rPr>
          <w:b/>
          <w:bCs/>
        </w:rPr>
        <w:t xml:space="preserve">References</w:t>
      </w:r>
    </w:p>
    <w:p>
      <w:pPr>
        <w:pStyle w:val="BodyText"/>
      </w:pPr>
      <w:r>
        <w:t xml:space="preserve">[53] WindEurope. (2026).</w:t>
      </w:r>
      <w:r>
        <w:t xml:space="preserve"> </w:t>
      </w:r>
      <w:r>
        <w:rPr>
          <w:i/>
          <w:iCs/>
        </w:rPr>
        <w:t xml:space="preserve">WindEurope 2026, Madrid, 21–23 April</w:t>
      </w:r>
      <w:r>
        <w:t xml:space="preserve">. https://windeurope.org/</w:t>
      </w:r>
      <w:r>
        <w:t xml:space="preserve"> </w:t>
      </w:r>
      <w:r>
        <w:t xml:space="preserve">[54] Renewable Matter.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[55] European Commission – Renewable Energy Directive. (n.d.).</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30"/>
    <w:bookmarkStart w:id="31" w:name="欧洲冠军联赛进入半决赛阶段半决赛首回合将于4月28-29日打响"/>
    <w:p>
      <w:pPr>
        <w:pStyle w:val="Heading3"/>
      </w:pPr>
      <w:r>
        <w:t xml:space="preserve">4. </w:t>
      </w:r>
      <w:r>
        <w:rPr>
          <w:rFonts w:hint="eastAsia"/>
        </w:rPr>
        <w:t xml:space="preserve">欧洲冠军联赛进入半决赛阶段，半决赛首回合将于4月28-29日打响</w:t>
      </w:r>
    </w:p>
    <w:p>
      <w:pPr>
        <w:pStyle w:val="FirstParagraph"/>
      </w:pPr>
      <w:r>
        <w:rPr>
          <w:rFonts w:hint="eastAsia"/>
        </w:rPr>
        <w:t xml:space="preserve">2025/26赛季欧洲冠军联赛四强阶段即将到来，根据UEFA赛程安排，半决赛首回合将于4月28日至29日进行，次回合于5月5日至6日举行，决赛将于5月30日在匈牙利布达佩斯普斯卡什竞技场举行。本赛季欧冠采用重新设计的联赛阶段赛制，16支球队晋级淘汰赛，角逐更加激烈。与此同时，欧足联欧罗巴联赛（UEFA</w:t>
      </w:r>
      <w:r>
        <w:t xml:space="preserve"> Europa </w:t>
      </w:r>
      <w:r>
        <w:rPr>
          <w:rFonts w:hint="eastAsia"/>
        </w:rPr>
        <w:t xml:space="preserve">League）半决赛将于4月30日和5月7日分两回合进行，决赛定于5月20日在土耳其伊斯坦布尔举行。今年的欧洲杯俱乐部足球盛宴将在能源危机和地缘政治高压背景下举行，欧洲多个大城市赛事期间的人员流动、安保部署和能源消耗均已提前进入预案演练阶段。</w:t>
      </w:r>
    </w:p>
    <w:p>
      <w:pPr>
        <w:pStyle w:val="BodyText"/>
      </w:pPr>
      <w:r>
        <w:rPr>
          <w:b/>
          <w:bCs/>
        </w:rPr>
        <w:t xml:space="preserve">References</w:t>
      </w:r>
    </w:p>
    <w:p>
      <w:pPr>
        <w:pStyle w:val="BodyText"/>
      </w:pPr>
      <w:r>
        <w:t xml:space="preserve">[56] UEFA. (2026).</w:t>
      </w:r>
      <w:r>
        <w:t xml:space="preserve"> </w:t>
      </w:r>
      <w:r>
        <w:rPr>
          <w:i/>
          <w:iCs/>
        </w:rPr>
        <w:t xml:space="preserve">2025/26 UEFA Champions League: Schedule and format</w:t>
      </w:r>
      <w:r>
        <w:t xml:space="preserve">. https://www.uefa.com/uefachampionsleague/</w:t>
      </w:r>
      <w:r>
        <w:t xml:space="preserve"> </w:t>
      </w:r>
      <w:r>
        <w:t xml:space="preserve">[57] Wikipedia – 2025–26 UEFA Champions League. (n.d.).</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r>
        <w:t xml:space="preserve"> </w:t>
      </w:r>
      <w:r>
        <w:t xml:space="preserve">[58] ESPN. (2026).</w:t>
      </w:r>
      <w:r>
        <w:t xml:space="preserve"> </w:t>
      </w:r>
      <w:r>
        <w:rPr>
          <w:i/>
          <w:iCs/>
        </w:rPr>
        <w:t xml:space="preserve">[URL </w:t>
      </w:r>
      <w:r>
        <w:rPr>
          <w:rFonts w:hint="eastAsia"/>
          <w:i/>
          <w:iCs/>
        </w:rPr>
        <w:t xml:space="preserve">原文件未提供</w:t>
      </w:r>
      <w:r>
        <w:rPr>
          <w:i/>
          <w:iCs/>
        </w:rPr>
        <w:t xml:space="preserve"> — Writer </w:t>
      </w:r>
      <w:r>
        <w:rPr>
          <w:rFonts w:hint="eastAsia"/>
          <w:i/>
          <w:iCs/>
        </w:rPr>
        <w:t xml:space="preserve">未在全局段给出完整</w:t>
      </w:r>
      <w:r>
        <w:rPr>
          <w:i/>
          <w:iCs/>
        </w:rPr>
        <w:t xml:space="preserve"> </w:t>
      </w:r>
      <w:r>
        <w:rPr>
          <w:rFonts w:hint="eastAsia"/>
          <w:i/>
          <w:iCs/>
        </w:rPr>
        <w:t xml:space="preserve">APA；需重跑</w:t>
      </w:r>
      <w:r>
        <w:rPr>
          <w:i/>
          <w:iCs/>
        </w:rPr>
        <w:t xml:space="preserve"> Writer </w:t>
      </w:r>
      <w:r>
        <w:rPr>
          <w:rFonts w:hint="eastAsia"/>
          <w:i/>
          <w:iCs/>
        </w:rPr>
        <w:t xml:space="preserve">补齐]</w:t>
      </w:r>
    </w:p>
    <w:p>
      <w:r>
        <w:pict>
          <v:rect style="width:0;height:1.5pt" o:hralign="center" o:hrstd="t" o:hr="t"/>
        </w:pic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2026-04-23T09:38:13Z</dcterms:created>
  <dcterms:modified xsi:type="dcterms:W3CDTF">2026-04-23T09:38:13Z</dcterms:modified>
</cp:coreProperties>
</file>

<file path=docProps/custom.xml><?xml version="1.0" encoding="utf-8"?>
<Properties xmlns="http://schemas.openxmlformats.org/officeDocument/2006/custom-properties" xmlns:vt="http://schemas.openxmlformats.org/officeDocument/2006/docPropsVTypes"/>
</file>