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英国每日热点新闻-2026年4月23日"/>
    <w:p>
      <w:pPr>
        <w:pStyle w:val="Heading1"/>
      </w:pPr>
      <w:r>
        <w:rPr>
          <w:rFonts w:hint="eastAsia"/>
        </w:rPr>
        <w:t xml:space="preserve">英国每日热点新闻</w:t>
      </w:r>
      <w:r>
        <w:t xml:space="preserve"> — </w:t>
      </w:r>
      <w:r>
        <w:rPr>
          <w:rFonts w:hint="eastAsia"/>
        </w:rPr>
        <w:t xml:space="preserve">2026年4月23日</w:t>
      </w:r>
    </w:p>
    <w:bookmarkStart w:id="13" w:name="一经济与市场"/>
    <w:p>
      <w:pPr>
        <w:pStyle w:val="Heading2"/>
      </w:pPr>
      <w:r>
        <w:rPr>
          <w:rFonts w:hint="eastAsia"/>
        </w:rPr>
        <w:t xml:space="preserve">一、经济与市场</w:t>
      </w:r>
    </w:p>
    <w:bookmarkStart w:id="9" w:name="英国三月公共借款降至2022年以来最低"/>
    <w:p>
      <w:pPr>
        <w:pStyle w:val="Heading3"/>
      </w:pPr>
      <w:r>
        <w:rPr>
          <w:rFonts w:hint="eastAsia"/>
        </w:rPr>
        <w:t xml:space="preserve">英国三月公共借款降至2022年以来最低</w:t>
      </w:r>
    </w:p>
    <w:p>
      <w:pPr>
        <w:pStyle w:val="FirstParagraph"/>
      </w:pPr>
      <w:r>
        <w:rPr>
          <w:rFonts w:hint="eastAsia"/>
          <w:b/>
          <w:bCs/>
        </w:rPr>
        <w:t xml:space="preserve">摘要</w:t>
      </w:r>
    </w:p>
    <w:p>
      <w:pPr>
        <w:pStyle w:val="BodyText"/>
      </w:pPr>
      <w:r>
        <w:rPr>
          <w:rFonts w:hint="eastAsia"/>
        </w:rPr>
        <w:t xml:space="preserve">4月23日，英国国家统计署（ONS）发布2026年3月公共部门财政公报。数据显示，2026年3月单月公共部门净借款为126亿英镑，为2022年以来同期最低水平，较2025年同期减少14亿英镑。2025/26财年全年公共部门净借款初步估计为1320亿英镑，较上一财年减少198亿英镑，降幅达13.1%，且低于英国预算责任办公室（OBR）此前预测的1327亿英镑。以占GDP比重计算，全年借款比率为4.3%，较上年下降0.9个百分点，为2019/20财年以来的最低水平。经常性预算赤字为509亿英镑，较上年减少252亿英镑，降幅达33.1%，占GDP的1.7%，同样为2019/20财年以来最低。公共部门净债务达到GDP的93.8%（29108亿英镑），公共部门净金融负债达GDP的83.3%（25822亿英镑），均处于上世纪60年代初以来的高位。ONS强调，「上述数据均为临时性估算，可能在后续修订中调整」。</w:t>
      </w:r>
    </w:p>
    <w:p>
      <w:pPr>
        <w:pStyle w:val="BodyText"/>
      </w:pPr>
      <w:r>
        <w:rPr>
          <w:b/>
          <w:bCs/>
        </w:rPr>
        <w:t xml:space="preserve">References</w:t>
      </w:r>
    </w:p>
    <w:p>
      <w:pPr>
        <w:pStyle w:val="BodyText"/>
      </w:pPr>
      <w:r>
        <w:t xml:space="preserve">[1] Office for National Statistics. (2026, April 23). Public sector finances, UK: March 2026. Office for National Statistics. https://www.ons.gov.uk/economy/governmentpublicsectorandtaxes/publicsectorfinance/bulletins/publicsectorfinances/march2026</w:t>
      </w:r>
    </w:p>
    <w:p>
      <w:r>
        <w:pict>
          <v:rect style="width:0;height:1.5pt" o:hralign="center" o:hrstd="t" o:hr="t"/>
        </w:pict>
      </w:r>
    </w:p>
    <w:bookmarkEnd w:id="9"/>
    <w:bookmarkStart w:id="10" w:name="英国四月综合pmi意外升至52.0"/>
    <w:p>
      <w:pPr>
        <w:pStyle w:val="Heading3"/>
      </w:pPr>
      <w:r>
        <w:rPr>
          <w:rFonts w:hint="eastAsia"/>
        </w:rPr>
        <w:t xml:space="preserve">英国四月综合PMI意外升至52.0</w:t>
      </w:r>
    </w:p>
    <w:p>
      <w:pPr>
        <w:pStyle w:val="FirstParagraph"/>
      </w:pPr>
      <w:r>
        <w:rPr>
          <w:rFonts w:hint="eastAsia"/>
          <w:b/>
          <w:bCs/>
        </w:rPr>
        <w:t xml:space="preserve">摘要</w:t>
      </w:r>
    </w:p>
    <w:p>
      <w:pPr>
        <w:pStyle w:val="BodyText"/>
      </w:pPr>
      <w:r>
        <w:rPr>
          <w:rFonts w:hint="eastAsia"/>
        </w:rPr>
        <w:t xml:space="preserve">4月23日，S&amp;P</w:t>
      </w:r>
      <w:r>
        <w:t xml:space="preserve"> </w:t>
      </w:r>
      <w:r>
        <w:rPr>
          <w:rFonts w:hint="eastAsia"/>
        </w:rPr>
        <w:t xml:space="preserve">Global发布英国4月份采购经理人指数（PMI）初值数据。英国综合PMI报52.0，大幅超出市场预期的49.9，较3月终值50.3明显回升。其中制造业PMI为53.6，远高于预期的49.9和前值51.0；服务业PMI为52.0，亦超过预期的50.0。两项指标均处于50.0荣枯线上方，表明英国经济活动在4月呈现全面扩张态势。初值数据基于约85%的最终调查样本。然而，S&amp;P</w:t>
      </w:r>
      <w:r>
        <w:t xml:space="preserve"> </w:t>
      </w:r>
      <w:r>
        <w:rPr>
          <w:rFonts w:hint="eastAsia"/>
        </w:rPr>
        <w:t xml:space="preserve">Global同时指出，其投入价格指标出现28年有记录以来的最大月度涨幅。该机构表示：「价格上涨不仅源于能源成本飙升，还因为各类商品和服务广泛加价，供应端担忧进一步推高了涨价幅度。」分析人士指出，在2026年2月底涉及伊朗的冲突引发能源价格冲击的背景下，这一势头能否持续存在不确定性。</w:t>
      </w:r>
    </w:p>
    <w:p>
      <w:pPr>
        <w:pStyle w:val="BodyText"/>
      </w:pPr>
      <w:r>
        <w:rPr>
          <w:rFonts w:hint="eastAsia"/>
          <w:b/>
          <w:bCs/>
        </w:rPr>
        <w:t xml:space="preserve">分析</w:t>
      </w:r>
    </w:p>
    <w:p>
      <w:pPr>
        <w:pStyle w:val="BodyText"/>
      </w:pPr>
      <w:r>
        <w:rPr>
          <w:rFonts w:hint="eastAsia"/>
        </w:rPr>
        <w:t xml:space="preserve">分析人士指出：「尽管经济活动展现出令人欣慰的韧性，但调查细节表明，若中东危机无法得到解决，这种韧性可能难以持续。」该评论反映出市场对地缘政治风险向英国实体经济传导的深层忧虑，能源价格冲击已成为制约英国经济前景的核心变量。</w:t>
      </w:r>
    </w:p>
    <w:p>
      <w:pPr>
        <w:pStyle w:val="BodyText"/>
      </w:pPr>
      <w:r>
        <w:rPr>
          <w:b/>
          <w:bCs/>
        </w:rPr>
        <w:t xml:space="preserve">References</w:t>
      </w:r>
    </w:p>
    <w:p>
      <w:pPr>
        <w:pStyle w:val="BodyText"/>
      </w:pPr>
      <w:r>
        <w:t xml:space="preserve">[2] FXStreet. (2026, April 23). When is the UK services PMI and how could it affect GBP/USD. FXStreet. https://www.fxstreet.com/news/when-is-the-uk-services-pmi-and-how-could-it-affect-gbp-usd-202604230647</w:t>
      </w:r>
    </w:p>
    <w:p>
      <w:r>
        <w:pict>
          <v:rect style="width:0;height:1.5pt" o:hralign="center" o:hrstd="t" o:hr="t"/>
        </w:pict>
      </w:r>
    </w:p>
    <w:bookmarkEnd w:id="10"/>
    <w:bookmarkStart w:id="11" w:name="森宝利发布盈利预警称伊朗冲突冲击消费"/>
    <w:p>
      <w:pPr>
        <w:pStyle w:val="Heading3"/>
      </w:pPr>
      <w:r>
        <w:rPr>
          <w:rFonts w:hint="eastAsia"/>
        </w:rPr>
        <w:t xml:space="preserve">森宝利发布盈利预警称伊朗冲突冲击消费</w:t>
      </w:r>
    </w:p>
    <w:p>
      <w:pPr>
        <w:pStyle w:val="FirstParagraph"/>
      </w:pPr>
      <w:r>
        <w:rPr>
          <w:rFonts w:hint="eastAsia"/>
          <w:b/>
          <w:bCs/>
        </w:rPr>
        <w:t xml:space="preserve">摘要</w:t>
      </w:r>
    </w:p>
    <w:p>
      <w:pPr>
        <w:pStyle w:val="BodyText"/>
      </w:pPr>
      <w:r>
        <w:rPr>
          <w:rFonts w:hint="eastAsia"/>
        </w:rPr>
        <w:t xml:space="preserve">4月23日，英国第二大超市集团森宝利（J</w:t>
      </w:r>
      <w:r>
        <w:t xml:space="preserve"> Sainsbury </w:t>
      </w:r>
      <w:r>
        <w:rPr>
          <w:rFonts w:hint="eastAsia"/>
        </w:rPr>
        <w:t xml:space="preserve">plc）发布截至2026年2月28日的财年初步业绩。全年基础营业利润为10.25亿英镑，同比下降1.1%，但符合公司此前指引；税前利润大幅增长55.3%至3.93亿英镑。集团不含增值税收入达336亿英镑，增长2.7%；零售销售（不含燃油）增长4.3%；食品杂货销售增长5.2%；Argos销售额为41亿英镑，增长0.7%。尽管交易表现强劲，森宝利首席执行官西蒙·罗伯茨（Simon</w:t>
      </w:r>
      <w:r>
        <w:t xml:space="preserve"> </w:t>
      </w:r>
      <w:r>
        <w:rPr>
          <w:rFonts w:hint="eastAsia"/>
        </w:rPr>
        <w:t xml:space="preserve">Roberts）警告称，2026年2月底爆发的涉及伊朗的冲突为2026/27财年前景蒙上阴影。罗伯茨表示，冲突将「影响我们的顾客和业务」，消费者自冲突爆发以来「更加关注生活成本」。公司预计当前财年基础营业利润为9.75亿至10.75亿英镑。消息公布后森宝利股价下跌逾5%，为当日FTSE</w:t>
      </w:r>
      <w:r>
        <w:t xml:space="preserve"> </w:t>
      </w:r>
      <w:r>
        <w:rPr>
          <w:rFonts w:hint="eastAsia"/>
        </w:rPr>
        <w:t xml:space="preserve">350成分股中跌幅最大的个股之一。罗伯茨同时强调：「我们坚定致力于确保每位顾客在我们这里购物时都能获得最佳性价比。」</w:t>
      </w:r>
    </w:p>
    <w:p>
      <w:pPr>
        <w:pStyle w:val="BodyText"/>
      </w:pPr>
      <w:r>
        <w:rPr>
          <w:rFonts w:hint="eastAsia"/>
          <w:b/>
          <w:bCs/>
        </w:rPr>
        <w:t xml:space="preserve">分析</w:t>
      </w:r>
    </w:p>
    <w:p>
      <w:pPr>
        <w:pStyle w:val="BodyText"/>
      </w:pPr>
      <w:r>
        <w:rPr>
          <w:rFonts w:hint="eastAsia"/>
        </w:rPr>
        <w:t xml:space="preserve">森宝利首席执行官西蒙·罗伯茨表示，冲突对能源价格的影响将推高食品生产成本，「食品价格将面临上行压力」。这一判断与英国最大超市乐购（Tesco）此前发出的类似盈利预警形成呼应，显示地缘政治风险对英国零售行业的冲击正在从预期层面向实际经营层面传导。</w:t>
      </w:r>
    </w:p>
    <w:p>
      <w:pPr>
        <w:pStyle w:val="BodyText"/>
      </w:pPr>
      <w:r>
        <w:rPr>
          <w:b/>
          <w:bCs/>
        </w:rPr>
        <w:t xml:space="preserve">References</w:t>
      </w:r>
    </w:p>
    <w:p>
      <w:pPr>
        <w:pStyle w:val="BodyText"/>
      </w:pPr>
      <w:r>
        <w:t xml:space="preserve">[3] Reuters. (2026, April 23). Sainsbury echoes Tesco warning over Iran war pressure. Yahoo Finance UK. https://uk.finance.yahoo.com/news/sainsbury-echoes-tesco-warning-over-073351412.html</w:t>
      </w:r>
    </w:p>
    <w:p>
      <w:r>
        <w:pict>
          <v:rect style="width:0;height:1.5pt" o:hralign="center" o:hrstd="t" o:hr="t"/>
        </w:pict>
      </w:r>
    </w:p>
    <w:bookmarkEnd w:id="11"/>
    <w:bookmarkStart w:id="12" w:name="伦交所集团一季度收入创纪录增长9.8"/>
    <w:p>
      <w:pPr>
        <w:pStyle w:val="Heading3"/>
      </w:pPr>
      <w:r>
        <w:rPr>
          <w:rFonts w:hint="eastAsia"/>
        </w:rPr>
        <w:t xml:space="preserve">伦交所集团一季度收入创纪录增长9.8%</w:t>
      </w:r>
    </w:p>
    <w:p>
      <w:pPr>
        <w:pStyle w:val="FirstParagraph"/>
      </w:pPr>
      <w:r>
        <w:rPr>
          <w:rFonts w:hint="eastAsia"/>
          <w:b/>
          <w:bCs/>
        </w:rPr>
        <w:t xml:space="preserve">摘要</w:t>
      </w:r>
    </w:p>
    <w:p>
      <w:pPr>
        <w:pStyle w:val="BodyText"/>
      </w:pPr>
      <w:r>
        <w:rPr>
          <w:rFonts w:hint="eastAsia"/>
        </w:rPr>
        <w:t xml:space="preserve">4月23日，伦敦证券交易所集团（LSEG）发布2026年第一季度交易更新。截至2026年3月的三个月内，集团总收入按有机固定汇率口径同比增长9.8%，超出分析师约8%的预期。分业务板块来看，数据与分析增长5.1%，FTSE</w:t>
      </w:r>
      <w:r>
        <w:t xml:space="preserve"> </w:t>
      </w:r>
      <w:r>
        <w:rPr>
          <w:rFonts w:hint="eastAsia"/>
        </w:rPr>
        <w:t xml:space="preserve">Russell增长8.8%，风险情报增长10.5%，市场业务以15.5%的增速领跑。订阅类业务合计增长6.3%。公司将2026年全年总收入（不含回收款项）的有机固定汇率增长指引上调至此前6.5%-7.5%区间的上半段。其他年度目标包括：EBITDA利润率改善80至100个基点、资本支出强度约为总收入的9.5%、权益自由现金流不低于27亿英镑、基础有效税率24%-25%。LSEG在一季度完成11亿英镑股票回购，以均价84.59英镑购入1280万股，朝2027年2月前完成30亿英镑回购计划的目标推进。LSEG首席执行官戴维·施维默（David</w:t>
      </w:r>
      <w:r>
        <w:t xml:space="preserve"> </w:t>
      </w:r>
      <w:r>
        <w:rPr>
          <w:rFonts w:hint="eastAsia"/>
        </w:rPr>
        <w:t xml:space="preserve">Schwimmer）表示：「我们在2026年各业务线实现了出色的开局。」他指出交易量创下纪录，客户对数据服务的参与度强劲，超过150家客户已接入或正在接入LSEG的MCP服务器。</w:t>
      </w:r>
    </w:p>
    <w:p>
      <w:pPr>
        <w:pStyle w:val="BodyText"/>
      </w:pPr>
      <w:r>
        <w:rPr>
          <w:rFonts w:hint="eastAsia"/>
          <w:b/>
          <w:bCs/>
        </w:rPr>
        <w:t xml:space="preserve">分析</w:t>
      </w:r>
    </w:p>
    <w:p>
      <w:pPr>
        <w:pStyle w:val="BodyText"/>
      </w:pPr>
      <w:r>
        <w:rPr>
          <w:rFonts w:hint="eastAsia"/>
        </w:rPr>
        <w:t xml:space="preserve">LSEG首席执行官戴维·施维默表示，对实现全年财务目标充满信心，「尤其关注在2026年全年推广AI集成工具」。公司同期推出了TradeAgent，并在其私人证券市场完成了首笔交易，显示集团在AI应用和新业务拓展方面正加速布局。</w:t>
      </w:r>
    </w:p>
    <w:p>
      <w:pPr>
        <w:pStyle w:val="BodyText"/>
      </w:pPr>
      <w:r>
        <w:rPr>
          <w:b/>
          <w:bCs/>
        </w:rPr>
        <w:t xml:space="preserve">References</w:t>
      </w:r>
    </w:p>
    <w:p>
      <w:pPr>
        <w:pStyle w:val="BodyText"/>
      </w:pPr>
      <w:r>
        <w:t xml:space="preserve">[4] James Sharp. (2026, April 23). London Stock Exchange Group Q1 2026 trading update. James Sharp. https://www.jamessharp.co.uk/market-news/london-stock-exchange-group-q1-2026-trading-update/</w:t>
      </w:r>
    </w:p>
    <w:p>
      <w:r>
        <w:pict>
          <v:rect style="width:0;height:1.5pt" o:hralign="center" o:hrstd="t" o:hr="t"/>
        </w:pict>
      </w:r>
    </w:p>
    <w:bookmarkEnd w:id="12"/>
    <w:bookmarkEnd w:id="13"/>
    <w:bookmarkStart w:id="15" w:name="二政治与外交"/>
    <w:p>
      <w:pPr>
        <w:pStyle w:val="Heading2"/>
      </w:pPr>
      <w:r>
        <w:rPr>
          <w:rFonts w:hint="eastAsia"/>
        </w:rPr>
        <w:t xml:space="preserve">二、政治与外交</w:t>
      </w:r>
    </w:p>
    <w:bookmarkStart w:id="14" w:name="内阁府常秘指罗宾斯拒交曼德尔森审查文件"/>
    <w:p>
      <w:pPr>
        <w:pStyle w:val="Heading3"/>
      </w:pPr>
      <w:r>
        <w:rPr>
          <w:rFonts w:hint="eastAsia"/>
        </w:rPr>
        <w:t xml:space="preserve">内阁府常秘指罗宾斯拒交曼德尔森审查文件</w:t>
      </w:r>
    </w:p>
    <w:p>
      <w:pPr>
        <w:pStyle w:val="FirstParagraph"/>
      </w:pPr>
      <w:r>
        <w:rPr>
          <w:rFonts w:hint="eastAsia"/>
          <w:b/>
          <w:bCs/>
        </w:rPr>
        <w:t xml:space="preserve">摘要</w:t>
      </w:r>
    </w:p>
    <w:p>
      <w:pPr>
        <w:pStyle w:val="BodyText"/>
      </w:pPr>
      <w:r>
        <w:rPr>
          <w:rFonts w:hint="eastAsia"/>
        </w:rPr>
        <w:t xml:space="preserve">4月23日上午9时30分，英国内阁办公室常任秘书凯特·利特尔（Cat</w:t>
      </w:r>
      <w:r>
        <w:t xml:space="preserve"> </w:t>
      </w:r>
      <w:r>
        <w:rPr>
          <w:rFonts w:hint="eastAsia"/>
        </w:rPr>
        <w:t xml:space="preserve">Little）在外交事务委员会就曼德尔森安全审查事件作口头证词。利特尔为政府对曼德尔森勋爵（Lord</w:t>
      </w:r>
      <w:r>
        <w:t xml:space="preserve"> Peter </w:t>
      </w:r>
      <w:r>
        <w:rPr>
          <w:rFonts w:hint="eastAsia"/>
        </w:rPr>
        <w:t xml:space="preserve">Mandelson）出任英国驻美大使的安全审查程序进行了辩护，表示「审查过程遵循了正当程序」。她证实自己于2026年3月25日获悉有关审查结果的敏感信息，并于4月14日向英国首相基尔·斯塔默爵士（Sir</w:t>
      </w:r>
      <w:r>
        <w:t xml:space="preserve"> Keir </w:t>
      </w:r>
      <w:r>
        <w:rPr>
          <w:rFonts w:hint="eastAsia"/>
        </w:rPr>
        <w:t xml:space="preserve">Starmer）报告。利特尔称，「处理敏感数据的法律咨询需要时间」，因此未能更早通知首相。她透露自己采取了「非常不寻常」的步骤，直接向英国安全审查机构（UKSV）索取审查文件，明确绕过了时任外交部常任秘书奥利·罗宾斯爵士（Sir</w:t>
      </w:r>
      <w:r>
        <w:t xml:space="preserve"> Olly </w:t>
      </w:r>
      <w:r>
        <w:rPr>
          <w:rFonts w:hint="eastAsia"/>
        </w:rPr>
        <w:t xml:space="preserve">Robbins）。利特尔指控罗宾斯在一段时间内拒绝移交与曼德尔森审查相关的关键文件，这一说法与罗宾斯此前向委员会所作证词直接矛盾。在政治层面，保守党领袖凯米·巴德诺赫（Kemi</w:t>
      </w:r>
      <w:r>
        <w:t xml:space="preserve"> </w:t>
      </w:r>
      <w:r>
        <w:rPr>
          <w:rFonts w:hint="eastAsia"/>
        </w:rPr>
        <w:t xml:space="preserve">Badenoch）已呼吁将斯塔默提交至特权委员会调查其涉嫌误导议会的行为。斯塔默前幕僚长摩根·麦克斯威尼（Morgan</w:t>
      </w:r>
      <w:r>
        <w:t xml:space="preserve"> </w:t>
      </w:r>
      <w:r>
        <w:rPr>
          <w:rFonts w:hint="eastAsia"/>
        </w:rPr>
        <w:t xml:space="preserve">McSweeney）定于下周二出席委员会听证。</w:t>
      </w:r>
    </w:p>
    <w:p>
      <w:pPr>
        <w:pStyle w:val="BodyText"/>
      </w:pPr>
      <w:r>
        <w:rPr>
          <w:b/>
          <w:bCs/>
        </w:rPr>
        <w:t xml:space="preserve">References</w:t>
      </w:r>
    </w:p>
    <w:p>
      <w:pPr>
        <w:pStyle w:val="BodyText"/>
      </w:pPr>
      <w:r>
        <w:t xml:space="preserve">[5] Diss Express. (2026, April 23). Senior civil servant says due process followed in Peter Mandelson vetting. Diss Express. https://www.dissexpress.co.uk/national/senior-civil-servant-says-due-process-followed-in-peter-mandelson-vetting-165686/</w:t>
      </w:r>
    </w:p>
    <w:p>
      <w:r>
        <w:pict>
          <v:rect style="width:0;height:1.5pt" o:hralign="center" o:hrstd="t" o:hr="t"/>
        </w:pict>
      </w:r>
    </w:p>
    <w:p>
      <w:pPr>
        <w:pStyle w:val="FirstParagraph"/>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bookmarkEnd w:id="14"/>
    <w:bookmarkEnd w:id="15"/>
    <w:bookmarkStart w:id="17" w:name="三科技与产业"/>
    <w:p>
      <w:pPr>
        <w:pStyle w:val="Heading2"/>
      </w:pPr>
      <w:r>
        <w:rPr>
          <w:rFonts w:hint="eastAsia"/>
        </w:rPr>
        <w:t xml:space="preserve">三、科技与产业</w:t>
      </w:r>
    </w:p>
    <w:bookmarkStart w:id="16" w:name="bt与nscale联手建设英国主权ai数据中心"/>
    <w:p>
      <w:pPr>
        <w:pStyle w:val="Heading3"/>
      </w:pPr>
      <w:r>
        <w:rPr>
          <w:rFonts w:hint="eastAsia"/>
        </w:rPr>
        <w:t xml:space="preserve">BT与Nscale联手建设英国主权AI数据中心</w:t>
      </w:r>
    </w:p>
    <w:p>
      <w:pPr>
        <w:pStyle w:val="FirstParagraph"/>
      </w:pPr>
      <w:r>
        <w:rPr>
          <w:rFonts w:hint="eastAsia"/>
          <w:b/>
          <w:bCs/>
        </w:rPr>
        <w:t xml:space="preserve">摘要</w:t>
      </w:r>
    </w:p>
    <w:p>
      <w:pPr>
        <w:pStyle w:val="BodyText"/>
      </w:pPr>
      <w:r>
        <w:rPr>
          <w:rFonts w:hint="eastAsia"/>
        </w:rPr>
        <w:t xml:space="preserve">4月23日，英国电信集团（BT</w:t>
      </w:r>
      <w:r>
        <w:t xml:space="preserve"> </w:t>
      </w:r>
      <w:r>
        <w:rPr>
          <w:rFonts w:hint="eastAsia"/>
        </w:rPr>
        <w:t xml:space="preserve">Group）与AI超大规模计算企业Nscale宣布达成合作，将利用英伟达（Nvidia）全栈AI基础设施，在英国三个BT战略站点部署总计14兆瓦的主权AI数据中心容量。BT将在上述三个未公开地点提供连接和物理基础设施。与此同时，BT</w:t>
      </w:r>
      <w:r>
        <w:t xml:space="preserve"> </w:t>
      </w:r>
      <w:r>
        <w:rPr>
          <w:rFonts w:hint="eastAsia"/>
        </w:rPr>
        <w:t xml:space="preserve">Business宣布成为全英首家提供涵盖主权连接、语音、云和AI的完整主权服务套件的供应商，并推出「主权云」（Sovereign</w:t>
      </w:r>
      <w:r>
        <w:t xml:space="preserve"> </w:t>
      </w:r>
      <w:r>
        <w:rPr>
          <w:rFonts w:hint="eastAsia"/>
        </w:rPr>
        <w:t xml:space="preserve">Cloud）——一个完全在英国境内托管和运营的私有云平台，面向处理敏感或受监管工作负载的机构。Nscale于2026年3月完成20亿美元C轮融资，估值达146亿美元；英伟达于2025年9月向Nscale投资5亿英镑。Nscale还在埃塞克斯郡洛顿开发一台50兆瓦的AI超级计算机，可扩展至90兆瓦，预计2027年第二季度投入运营。英国AI事务大臣卡尼什卡·纳拉扬（Kanishka</w:t>
      </w:r>
      <w:r>
        <w:t xml:space="preserve"> </w:t>
      </w:r>
      <w:r>
        <w:rPr>
          <w:rFonts w:hint="eastAsia"/>
        </w:rPr>
        <w:t xml:space="preserve">Narayan）表示：「对新AI数据中心的投资将为企业和公共服务提供在英国大规模使用AI所需的工具。」BT</w:t>
      </w:r>
      <w:r>
        <w:t xml:space="preserve"> </w:t>
      </w:r>
      <w:r>
        <w:rPr>
          <w:rFonts w:hint="eastAsia"/>
        </w:rPr>
        <w:t xml:space="preserve">Business首席执行官乔恩·詹姆斯（Jon</w:t>
      </w:r>
      <w:r>
        <w:t xml:space="preserve"> </w:t>
      </w:r>
      <w:r>
        <w:rPr>
          <w:rFonts w:hint="eastAsia"/>
        </w:rPr>
        <w:t xml:space="preserve">James）表示：「数字主权使英国机构能够采用世界领先技术，同时保持韧性和控制力。」</w:t>
      </w:r>
    </w:p>
    <w:p>
      <w:pPr>
        <w:pStyle w:val="BodyText"/>
      </w:pPr>
      <w:r>
        <w:rPr>
          <w:rFonts w:hint="eastAsia"/>
          <w:b/>
          <w:bCs/>
        </w:rPr>
        <w:t xml:space="preserve">分析</w:t>
      </w:r>
    </w:p>
    <w:p>
      <w:pPr>
        <w:pStyle w:val="BodyText"/>
      </w:pPr>
      <w:r>
        <w:rPr>
          <w:rFonts w:hint="eastAsia"/>
        </w:rPr>
        <w:t xml:space="preserve">Nscale首席营收官汤姆·伯克（Tom</w:t>
      </w:r>
      <w:r>
        <w:t xml:space="preserve"> </w:t>
      </w:r>
      <w:r>
        <w:rPr>
          <w:rFonts w:hint="eastAsia"/>
        </w:rPr>
        <w:t xml:space="preserve">Burke）指出：「电信发挥着关键作用——没有弹性、高容量的网络，就无法大规模交付AI。」英伟达英国和爱尔兰总监安东尼·希尔斯（Anthony</w:t>
      </w:r>
      <w:r>
        <w:t xml:space="preserve"> </w:t>
      </w:r>
      <w:r>
        <w:rPr>
          <w:rFonts w:hint="eastAsia"/>
        </w:rPr>
        <w:t xml:space="preserve">Hills）表示：「安全、高容量的网络对于释放英国加速计算潜力至关重要。」上述表态凸显了通信基础设施在主权AI战略中的核心地位。</w:t>
      </w:r>
    </w:p>
    <w:p>
      <w:pPr>
        <w:pStyle w:val="BodyText"/>
      </w:pPr>
      <w:r>
        <w:rPr>
          <w:b/>
          <w:bCs/>
        </w:rPr>
        <w:t xml:space="preserve">References</w:t>
      </w:r>
    </w:p>
    <w:p>
      <w:pPr>
        <w:pStyle w:val="BodyText"/>
      </w:pPr>
      <w:r>
        <w:t xml:space="preserve">[6] The Next Web. (2026, April 23). BT, Nscale, Nvidia: 14MW sovereign AI data centres UK. The Next Web. https://thenextweb.com/news/bt-nscale-nvidia-14mw-sovereign-ai-data-centres-uk</w:t>
      </w:r>
    </w:p>
    <w:p>
      <w:r>
        <w:pict>
          <v:rect style="width:0;height:1.5pt" o:hralign="center" o:hrstd="t" o:hr="t"/>
        </w:pict>
      </w:r>
    </w:p>
    <w:p>
      <w:pPr>
        <w:pStyle w:val="FirstParagraph"/>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bookmarkEnd w:id="16"/>
    <w:bookmarkEnd w:id="17"/>
    <w:bookmarkStart w:id="19" w:name="四社会与民生"/>
    <w:p>
      <w:pPr>
        <w:pStyle w:val="Heading2"/>
      </w:pPr>
      <w:r>
        <w:rPr>
          <w:rFonts w:hint="eastAsia"/>
        </w:rPr>
        <w:t xml:space="preserve">四、社会与民生</w:t>
      </w:r>
    </w:p>
    <w:bookmarkStart w:id="18" w:name="伦敦地铁罢工致周四通勤严重受阻"/>
    <w:p>
      <w:pPr>
        <w:pStyle w:val="Heading3"/>
      </w:pPr>
      <w:r>
        <w:rPr>
          <w:rFonts w:hint="eastAsia"/>
        </w:rPr>
        <w:t xml:space="preserve">伦敦地铁罢工致周四通勤严重受阻</w:t>
      </w:r>
    </w:p>
    <w:p>
      <w:pPr>
        <w:pStyle w:val="FirstParagraph"/>
      </w:pPr>
      <w:r>
        <w:rPr>
          <w:rFonts w:hint="eastAsia"/>
          <w:b/>
          <w:bCs/>
        </w:rPr>
        <w:t xml:space="preserve">摘要</w:t>
      </w:r>
    </w:p>
    <w:p>
      <w:pPr>
        <w:pStyle w:val="BodyText"/>
      </w:pPr>
      <w:r>
        <w:rPr>
          <w:rFonts w:hint="eastAsia"/>
        </w:rPr>
        <w:t xml:space="preserve">4月23日中午12时起，英国铁路、海运和运输工会（RMT）发起的2026年4月系列罢工中的第二轮行动正式生效，持续至4月24日上午11时59分。此次工业行动源于RMT与伦敦交通局（TfL）之间的工时争议：TfL提议将地铁司机的工作周压缩为四天，RMT认为此举将导致排班不可预测、疲劳风险上升及安全隐患增加。RMT代表表示：「我们的成员不会接受TfL将地铁司机工作周压缩的计划，这种排班模式将变得不可预测，导致疲劳并增加安全风险。」罢工期间，全部11条地铁线路均不同程度受到影响，皮卡迪利线（Piccadilly</w:t>
      </w:r>
      <w:r>
        <w:t xml:space="preserve"> </w:t>
      </w:r>
      <w:r>
        <w:rPr>
          <w:rFonts w:hint="eastAsia"/>
        </w:rPr>
        <w:t xml:space="preserve">line）和环线（Circle</w:t>
      </w:r>
      <w:r>
        <w:t xml:space="preserve"> </w:t>
      </w:r>
      <w:r>
        <w:rPr>
          <w:rFonts w:hint="eastAsia"/>
        </w:rPr>
        <w:t xml:space="preserve">line）全线停运，大都会线贝克街至奥尔德门区间及中央线白城至利物浦街区间亦暂停服务。TfL建议乘客在当晚8时前完成出行。伊丽莎白线、地上铁、码头区轻轨及大部分公交线路正常运营，但预计客流量将大幅增加。RMT在2026年4月至6月期间共计划六个24小时罢工日。</w:t>
      </w:r>
    </w:p>
    <w:p>
      <w:pPr>
        <w:pStyle w:val="BodyText"/>
      </w:pPr>
      <w:r>
        <w:rPr>
          <w:rFonts w:hint="eastAsia"/>
          <w:b/>
          <w:bCs/>
        </w:rPr>
        <w:t xml:space="preserve">分析</w:t>
      </w:r>
    </w:p>
    <w:p>
      <w:pPr>
        <w:pStyle w:val="BodyText"/>
      </w:pPr>
      <w:r>
        <w:rPr>
          <w:rFonts w:hint="eastAsia"/>
        </w:rPr>
        <w:t xml:space="preserve">RMT代表强调：「我们的成员不会接受TfL将地铁司机工作周压缩的计划，这种排班模式将变得不可预测，导致疲劳并增加安全风险。」这一声明表明工会在四天工作制排班问题上立场坚定，劳资双方短期内达成和解的前景不容乐观。</w:t>
      </w:r>
    </w:p>
    <w:p>
      <w:pPr>
        <w:pStyle w:val="BodyText"/>
      </w:pPr>
      <w:r>
        <w:rPr>
          <w:b/>
          <w:bCs/>
        </w:rPr>
        <w:t xml:space="preserve">References</w:t>
      </w:r>
    </w:p>
    <w:p>
      <w:pPr>
        <w:pStyle w:val="BodyText"/>
      </w:pPr>
      <w:r>
        <w:t xml:space="preserve">[7] Time Out London. (2026, April 23). April 2026 tube strikes: how to get around London during this week’s RMT industrial action. Time Out London. https://www.timeout.com/london/news/april-2026-tube-strikes-how-to-get-around-london-during-this-weeks-rmt-industrial-action-042026</w:t>
      </w:r>
    </w:p>
    <w:p>
      <w:r>
        <w:pict>
          <v:rect style="width:0;height:1.5pt" o:hralign="center" o:hrstd="t" o:hr="t"/>
        </w:pict>
      </w:r>
    </w:p>
    <w:p>
      <w:pPr>
        <w:pStyle w:val="FirstParagraph"/>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bookmarkEnd w:id="18"/>
    <w:bookmarkEnd w:id="19"/>
    <w:bookmarkStart w:id="20" w:name="五其他重要事件"/>
    <w:p>
      <w:pPr>
        <w:pStyle w:val="Heading2"/>
      </w:pPr>
      <w:r>
        <w:rPr>
          <w:rFonts w:hint="eastAsia"/>
        </w:rPr>
        <w:t xml:space="preserve">五、其他重要事件</w:t>
      </w:r>
    </w:p>
    <w:p>
      <w:pPr>
        <w:pStyle w:val="FirstParagraph"/>
      </w:pPr>
      <w:r>
        <w:rPr>
          <w:rFonts w:hint="eastAsia"/>
          <w:i/>
          <w:iCs/>
        </w:rPr>
        <w:t xml:space="preserve">注：本分类当日仅检索到</w:t>
      </w:r>
      <w:r>
        <w:rPr>
          <w:i/>
          <w:iCs/>
        </w:rPr>
        <w:t xml:space="preserve"> 0 </w:t>
      </w:r>
      <w:r>
        <w:rPr>
          <w:rFonts w:hint="eastAsia"/>
          <w:i/>
          <w:iCs/>
        </w:rPr>
        <w:t xml:space="preserve">条符合</w:t>
      </w:r>
      <w:r>
        <w:rPr>
          <w:i/>
          <w:iCs/>
        </w:rPr>
        <w:t xml:space="preserve"> T1-T4 </w:t>
      </w:r>
      <w:r>
        <w:rPr>
          <w:rFonts w:hint="eastAsia"/>
          <w:i/>
          <w:iCs/>
        </w:rPr>
        <w:t xml:space="preserve">标准的新闻。</w:t>
      </w:r>
    </w:p>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2026-04-23T13:35:50Z</dcterms:created>
  <dcterms:modified xsi:type="dcterms:W3CDTF">2026-04-23T13:35:50Z</dcterms:modified>
</cp:coreProperties>
</file>

<file path=docProps/custom.xml><?xml version="1.0" encoding="utf-8"?>
<Properties xmlns="http://schemas.openxmlformats.org/officeDocument/2006/custom-properties" xmlns:vt="http://schemas.openxmlformats.org/officeDocument/2006/docPropsVTypes"/>
</file>