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中国每日热点新闻-2026年4月24日"/>
    <w:p>
      <w:pPr>
        <w:pStyle w:val="Heading1"/>
      </w:pPr>
      <w:r>
        <w:rPr>
          <w:rFonts w:hint="eastAsia"/>
        </w:rPr>
        <w:t xml:space="preserve">中国每日热点新闻</w:t>
      </w:r>
      <w:r>
        <w:t xml:space="preserve"> — </w:t>
      </w:r>
      <w:r>
        <w:rPr>
          <w:rFonts w:hint="eastAsia"/>
        </w:rPr>
        <w:t xml:space="preserve">2026年4月24日</w:t>
      </w:r>
    </w:p>
    <w:bookmarkStart w:id="13" w:name="一经济与市场"/>
    <w:p>
      <w:pPr>
        <w:pStyle w:val="Heading2"/>
      </w:pPr>
      <w:r>
        <w:rPr>
          <w:rFonts w:hint="eastAsia"/>
        </w:rPr>
        <w:t xml:space="preserve">一、经济与市场</w:t>
      </w:r>
    </w:p>
    <w:bookmarkStart w:id="9" w:name="创业板指数跑赢全球创历史新高科技成长板块年内涨幅达18"/>
    <w:p>
      <w:pPr>
        <w:pStyle w:val="Heading3"/>
      </w:pPr>
      <w:r>
        <w:rPr>
          <w:rFonts w:hint="eastAsia"/>
        </w:rPr>
        <w:t xml:space="preserve">创业板指数跑赢全球创历史新高，科技成长板块年内涨幅达18%</w:t>
      </w:r>
    </w:p>
    <w:p>
      <w:pPr>
        <w:pStyle w:val="FirstParagraph"/>
      </w:pPr>
      <w:r>
        <w:rPr>
          <w:rFonts w:hint="eastAsia"/>
          <w:b/>
          <w:bCs/>
        </w:rPr>
        <w:t xml:space="preserve">摘要</w:t>
      </w:r>
    </w:p>
    <w:p>
      <w:pPr>
        <w:pStyle w:val="BodyText"/>
      </w:pPr>
      <w:r>
        <w:rPr>
          <w:rFonts w:hint="eastAsia"/>
        </w:rPr>
        <w:t xml:space="preserve">中国创业板（ChiNext）指数4月24日再度刷新历史纪录，年内累计涨幅达18%，远超沪深300指数的3.4%和科创板的6.6%，位居全球主要股指前列。创业板50指数与创业板综合指数双双突破2015年高点。权重股中，宁德时代年内涨幅达20%，市值稳守2.02万亿元，致尚科技、亿光电子等AI数据中心概念股表现亮眼，合计贡献创业板50指数约46%权重。深交所近期改革允许未盈利科技企业上市并引入做市商机制，进一步激活市场流动性。分析师预测，创业板成分股2026年整体盈利增速将达44%，是沪深300成分股预期增速（17%）的2.5倍。</w:t>
      </w:r>
    </w:p>
    <w:p>
      <w:pPr>
        <w:pStyle w:val="BodyText"/>
      </w:pPr>
      <w:r>
        <w:rPr>
          <w:rFonts w:hint="eastAsia"/>
          <w:b/>
          <w:bCs/>
        </w:rPr>
        <w:t xml:space="preserve">分析</w:t>
      </w:r>
    </w:p>
    <w:p>
      <w:pPr>
        <w:pStyle w:val="BodyText"/>
      </w:pPr>
      <w:r>
        <w:rPr>
          <w:rFonts w:hint="eastAsia"/>
        </w:rPr>
        <w:t xml:space="preserve">分析师认为，创业板历史性突破是政策改革与盈利预期双重驱动的结果，资金正加速流入以新能源、人工智能和半导体为代表的战略新兴产业。外资配置需求的边际回升为”中国纳斯达克”叙事提供了进一步支撑，但市场人士提示短期回调风险仍需关注。</w:t>
      </w:r>
    </w:p>
    <w:p>
      <w:pPr>
        <w:pStyle w:val="BodyText"/>
      </w:pPr>
      <w:r>
        <w:rPr>
          <w:b/>
          <w:bCs/>
        </w:rPr>
        <w:t xml:space="preserve">References</w:t>
      </w:r>
    </w:p>
    <w:p>
      <w:pPr>
        <w:pStyle w:val="BodyText"/>
      </w:pPr>
      <w:r>
        <w:t xml:space="preserve">[1] South China Morning Post. (2026, April 24). ChiNext, Shenzhen’s Nasdaq, emerges as investor darling as start-up indexes smash records. South China Morning Post. https://www.scmp.com/business/china-business/article/3351146/chinext-shenzhens-nasdaq-emerges-investor-darling-start-indexes-smash-records</w:t>
      </w:r>
    </w:p>
    <w:p>
      <w:r>
        <w:pict>
          <v:rect style="width:0;height:1.5pt" o:hralign="center" o:hrstd="t" o:hr="t"/>
        </w:pict>
      </w:r>
    </w:p>
    <w:bookmarkEnd w:id="9"/>
    <w:bookmarkStart w:id="10" w:name="中国一季度gdp增5超预期ppi结束41个月负增长"/>
    <w:p>
      <w:pPr>
        <w:pStyle w:val="Heading3"/>
      </w:pPr>
      <w:r>
        <w:rPr>
          <w:rFonts w:hint="eastAsia"/>
        </w:rPr>
        <w:t xml:space="preserve">中国一季度GDP增5%超预期，PPI结束41个月负增长</w:t>
      </w:r>
    </w:p>
    <w:p>
      <w:pPr>
        <w:pStyle w:val="FirstParagraph"/>
      </w:pPr>
      <w:r>
        <w:rPr>
          <w:rFonts w:hint="eastAsia"/>
          <w:b/>
          <w:bCs/>
        </w:rPr>
        <w:t xml:space="preserve">摘要</w:t>
      </w:r>
    </w:p>
    <w:p>
      <w:pPr>
        <w:pStyle w:val="BodyText"/>
      </w:pPr>
      <w:r>
        <w:rPr>
          <w:rFonts w:hint="eastAsia"/>
        </w:rPr>
        <w:t xml:space="preserve">中国国家统计局数据显示，一季度GDP同比增长5.0%，较2025年四季度的4.5%加速0.5个百分点，超越市场4.8%的预测中值。4月24日，《中国日报》以”强劲开局”为题报道称：规模以上工业增加值同比增长6.1%，生产者价格指数（PPI）3月同比转正，结束长达41个月的通缩，外贸规模创历史同期新高。德意志银行随即将2026年全年增速预测从4.5%上调至4.9%。出口目的地多元化有效对冲美国市场下滑（同比-11%，但降幅较2025年的-19.9%大幅收窄）。</w:t>
      </w:r>
    </w:p>
    <w:p>
      <w:pPr>
        <w:pStyle w:val="BodyText"/>
      </w:pPr>
      <w:r>
        <w:rPr>
          <w:rFonts w:hint="eastAsia"/>
          <w:b/>
          <w:bCs/>
        </w:rPr>
        <w:t xml:space="preserve">分析</w:t>
      </w:r>
    </w:p>
    <w:p>
      <w:pPr>
        <w:pStyle w:val="BodyText"/>
      </w:pPr>
      <w:r>
        <w:rPr>
          <w:rFonts w:hint="eastAsia"/>
        </w:rPr>
        <w:t xml:space="preserve">主要评级机构分析师指出，中国经济在外部冲击下「表现相当稳健」，PPI转正意味着产能过剩压力边际缓解、企业利润修复空间扩大。但零售销售仅增2.4%显示内需激活仍是宏观政策核心命题，二季度表现仍存不确定性。</w:t>
      </w:r>
    </w:p>
    <w:p>
      <w:pPr>
        <w:pStyle w:val="BodyText"/>
      </w:pPr>
      <w:r>
        <w:rPr>
          <w:b/>
          <w:bCs/>
        </w:rPr>
        <w:t xml:space="preserve">References</w:t>
      </w:r>
    </w:p>
    <w:p>
      <w:pPr>
        <w:pStyle w:val="BodyText"/>
      </w:pPr>
      <w:r>
        <w:t xml:space="preserve">[2] China Daily. (2026, April 24). Strong start to economy in Q1. China Daily. https://www.chinadaily.com.cn/a/202604/24/WS69eaa61ca310d6866eb45379.html</w:t>
      </w:r>
      <w:r>
        <w:t xml:space="preserve"> </w:t>
      </w:r>
      <w:r>
        <w:t xml:space="preserve">[3] China Briefing. (2026, April 16). China’s GDP Grows 5% in Q1 2026 in Show of Resilience. China Briefing. https://www.china-briefing.com/news/chinas-q1-2026-gdp/</w:t>
      </w:r>
    </w:p>
    <w:p>
      <w:r>
        <w:pict>
          <v:rect style="width:0;height:1.5pt" o:hralign="center" o:hrstd="t" o:hr="t"/>
        </w:pict>
      </w:r>
    </w:p>
    <w:bookmarkEnd w:id="10"/>
    <w:bookmarkStart w:id="11" w:name="摩根大通中国楼市拐点临近港股楼市外溢效应提振内地需求"/>
    <w:p>
      <w:pPr>
        <w:pStyle w:val="Heading3"/>
      </w:pPr>
      <w:r>
        <w:rPr>
          <w:rFonts w:hint="eastAsia"/>
        </w:rPr>
        <w:t xml:space="preserve">摩根大通：中国楼市”拐点临近”，港股楼市外溢效应提振内地需求</w:t>
      </w:r>
    </w:p>
    <w:p>
      <w:pPr>
        <w:pStyle w:val="FirstParagraph"/>
      </w:pPr>
      <w:r>
        <w:rPr>
          <w:rFonts w:hint="eastAsia"/>
          <w:b/>
          <w:bCs/>
        </w:rPr>
        <w:t xml:space="preserve">摘要</w:t>
      </w:r>
    </w:p>
    <w:p>
      <w:pPr>
        <w:pStyle w:val="BodyText"/>
      </w:pPr>
      <w:r>
        <w:rPr>
          <w:rFonts w:hint="eastAsia"/>
        </w:rPr>
        <w:t xml:space="preserve">摩根大通4月22日发布研报，判断中国楼市正向关键拐点迈进：香港房地产市场回暖外溢效应叠加股市财富效应滞后释放，助力内地购房需求回升。国家统计局4月16日数据显示，3月份一线城市新建商品住宅整体环比微升0.2%，为连续9个月下跌后首度回正；上海环比涨0.3%；70个大中城市中录得环比上涨的城市数量从2月的10个扩大至14个。二手房市场更为积极，一线城市二手住宅环比整体涨0.4%，上海春季成交量明显放量。住建部同期宣布推进收购存量商品住房用于保障性住房政策以压缩去化库存。70城新房价格同比仍跌3.4%，为连续第33个月同比负增长。</w:t>
      </w:r>
    </w:p>
    <w:p>
      <w:pPr>
        <w:pStyle w:val="BodyText"/>
      </w:pPr>
      <w:r>
        <w:rPr>
          <w:rFonts w:hint="eastAsia"/>
          <w:b/>
          <w:bCs/>
        </w:rPr>
        <w:t xml:space="preserve">分析</w:t>
      </w:r>
    </w:p>
    <w:p>
      <w:pPr>
        <w:pStyle w:val="BodyText"/>
      </w:pPr>
      <w:r>
        <w:rPr>
          <w:rFonts w:hint="eastAsia"/>
        </w:rPr>
        <w:t xml:space="preserve">摩根大通分析师认为，香港楼市先于内地触底并已处于回升通道，「财富效应和外溢效应有望在未来数月传导至核心一线城市」；但分析师亦警告称宣告楼市全面企稳「仍为时尚早」，需持续观察成交量能否维持。</w:t>
      </w:r>
    </w:p>
    <w:p>
      <w:pPr>
        <w:pStyle w:val="BodyText"/>
      </w:pPr>
      <w:r>
        <w:rPr>
          <w:b/>
          <w:bCs/>
        </w:rPr>
        <w:t xml:space="preserve">References</w:t>
      </w:r>
    </w:p>
    <w:p>
      <w:pPr>
        <w:pStyle w:val="BodyText"/>
      </w:pPr>
      <w:r>
        <w:t xml:space="preserve">[4] Bloomberg. (2026, April 22). JPMorgan Says China Property Tipping Point Will Drive Up Stocks. Bloomberg. https://www.bloomberg.com/news/articles/2026-04-22/china-property-tipping-point-will-drive-up-stocks-jpmorgan-says</w:t>
      </w:r>
      <w:r>
        <w:t xml:space="preserve"> </w:t>
      </w:r>
      <w:r>
        <w:t xml:space="preserve">[5] South China Morning Post. (2026, April 16). New home prices in China’s biggest cities record first rise in 10 months. South China Morning Post. https://www.scmp.com/business/article/3350276/new-home-prices-chinas-biggest-cities-record-first-rise-10-months</w:t>
      </w:r>
    </w:p>
    <w:p>
      <w:r>
        <w:pict>
          <v:rect style="width:0;height:1.5pt" o:hralign="center" o:hrstd="t" o:hr="t"/>
        </w:pict>
      </w:r>
    </w:p>
    <w:bookmarkEnd w:id="11"/>
    <w:bookmarkStart w:id="12" w:name="稀土出口管控体系调整欧洲获绿色通道但效果存疑全球供应链风险高位持续"/>
    <w:p>
      <w:pPr>
        <w:pStyle w:val="Heading3"/>
      </w:pPr>
      <w:r>
        <w:rPr>
          <w:rFonts w:hint="eastAsia"/>
        </w:rPr>
        <w:t xml:space="preserve">稀土出口管控体系调整：欧洲获”绿色通道”但效果存疑，全球供应链风险高位持续</w:t>
      </w:r>
    </w:p>
    <w:p>
      <w:pPr>
        <w:pStyle w:val="FirstParagraph"/>
      </w:pPr>
      <w:r>
        <w:rPr>
          <w:rFonts w:hint="eastAsia"/>
          <w:b/>
          <w:bCs/>
        </w:rPr>
        <w:t xml:space="preserve">摘要</w:t>
      </w:r>
    </w:p>
    <w:p>
      <w:pPr>
        <w:pStyle w:val="BodyText"/>
      </w:pPr>
      <w:r>
        <w:rPr>
          <w:rFonts w:hint="eastAsia"/>
        </w:rPr>
        <w:t xml:space="preserve">英国泰乐信律师事务所（Taylor</w:t>
      </w:r>
      <w:r>
        <w:t xml:space="preserve"> </w:t>
      </w:r>
      <w:r>
        <w:rPr>
          <w:rFonts w:hint="eastAsia"/>
        </w:rPr>
        <w:t xml:space="preserve">Wessing）4月23日发布深度法律分析，梳理中国稀土出口管制框架最新动态。自2025年4月对7种重稀土元素（钐、钆、铽、镝、镥、钪、钇）实施出口许可管控，2025年10月范围扩大至12种元素，目前中国掌握全球约90%稀土精炼产能。面向欧盟出口可申请”绿色通道”加快审批，但实际落地效果尚不明确；标准审批周期为45个工作日，企业须提交详尽物料规格说明、终端用途描述及用户身份证明。2025年11月第二波管控（5种元素）已暂停至2026年11月，但7种核心重稀土管控依然全面有效。</w:t>
      </w:r>
    </w:p>
    <w:p>
      <w:pPr>
        <w:pStyle w:val="BodyText"/>
      </w:pPr>
      <w:r>
        <w:rPr>
          <w:rFonts w:hint="eastAsia"/>
          <w:b/>
          <w:bCs/>
        </w:rPr>
        <w:t xml:space="preserve">分析</w:t>
      </w:r>
    </w:p>
    <w:p>
      <w:pPr>
        <w:pStyle w:val="BodyText"/>
      </w:pPr>
      <w:r>
        <w:rPr>
          <w:rFonts w:hint="eastAsia"/>
        </w:rPr>
        <w:t xml:space="preserve">泰乐信分析师提示，汽车、生命科学、消费电子和国防行业面临供应链风险，企业在相关供应合同中须审慎纳入不可抗力条款；</w:t>
      </w:r>
      <w:r>
        <w:rPr>
          <w:rFonts w:hint="eastAsia"/>
        </w:rPr>
        <w:t xml:space="preserve">“绿色通道”</w:t>
      </w:r>
      <w:r>
        <w:rPr>
          <w:rFonts w:hint="eastAsia"/>
        </w:rPr>
        <w:t xml:space="preserve">效果存疑意味着欧洲所获政策优惠更多是外交姿态，供应商多元化和库存前置策略的战略价值仍在提升。</w:t>
      </w:r>
    </w:p>
    <w:p>
      <w:pPr>
        <w:pStyle w:val="BodyText"/>
      </w:pPr>
      <w:r>
        <w:rPr>
          <w:b/>
          <w:bCs/>
        </w:rPr>
        <w:t xml:space="preserve">References</w:t>
      </w:r>
    </w:p>
    <w:p>
      <w:pPr>
        <w:pStyle w:val="BodyText"/>
      </w:pPr>
      <w:r>
        <w:t xml:space="preserve">[6] Taylor Wessing. (2026, April 23). Key Changes in China’s Export Control Landscape for Rare Earths. Taylor Wessing. https://www.taylorwessing.com/en/insights-and-events/insights/2026/04/key-changes-in-china-s-export-control-landscape-for-rare-earths</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北京多线布局特习峰会从朝鲜到台湾中国以宽广筹码入局5月会谈"/>
    <w:p>
      <w:pPr>
        <w:pStyle w:val="Heading3"/>
      </w:pPr>
      <w:r>
        <w:rPr>
          <w:rFonts w:hint="eastAsia"/>
        </w:rPr>
        <w:t xml:space="preserve">北京多线布局特习峰会：从朝鲜到台湾，中国以宽广筹码入局5月会谈</w:t>
      </w:r>
    </w:p>
    <w:p>
      <w:pPr>
        <w:pStyle w:val="FirstParagraph"/>
      </w:pPr>
      <w:r>
        <w:rPr>
          <w:rFonts w:hint="eastAsia"/>
          <w:b/>
          <w:bCs/>
        </w:rPr>
        <w:t xml:space="preserve">摘要</w:t>
      </w:r>
    </w:p>
    <w:p>
      <w:pPr>
        <w:pStyle w:val="BodyText"/>
      </w:pPr>
      <w:r>
        <w:rPr>
          <w:rFonts w:hint="eastAsia"/>
        </w:rPr>
        <w:t xml:space="preserve">《现代外交》（Modern</w:t>
      </w:r>
      <w:r>
        <w:t xml:space="preserve"> </w:t>
      </w:r>
      <w:r>
        <w:rPr>
          <w:rFonts w:hint="eastAsia"/>
        </w:rPr>
        <w:t xml:space="preserve">Diplomacy）4月20日分析指出，距5月中旬特朗普-习近平北京峰会尚余数周，北京已完成多线外交铺垫：外长王毅4月9日至10日访问平壤（六年多来首次），强化中朝协调并向华盛顿传递朝核议题不可或缺性；习近平4月10日会见台湾国民党主席郑丽文，随后宣布放宽两岸旅行限制和台商市场准入，以”党际外交”强化对台话语权；王毅2月底至4月初密集开展逾26场电话外交，积极以调解者身份介入伊朗战争，在”负责任大国”形象上与美国形成对比。与此同时，美最高法院裁定IEEPA关税违宪令华盛顿施压杠杆减弱。</w:t>
      </w:r>
    </w:p>
    <w:p>
      <w:pPr>
        <w:pStyle w:val="BodyText"/>
      </w:pPr>
      <w:r>
        <w:rPr>
          <w:rFonts w:hint="eastAsia"/>
          <w:b/>
          <w:bCs/>
        </w:rPr>
        <w:t xml:space="preserve">分析</w:t>
      </w:r>
    </w:p>
    <w:p>
      <w:pPr>
        <w:pStyle w:val="BodyText"/>
      </w:pPr>
      <w:r>
        <w:rPr>
          <w:rFonts w:hint="eastAsia"/>
        </w:rPr>
        <w:t xml:space="preserve">文章作者、外交学者约翰·卡拉布雷斯（John</w:t>
      </w:r>
      <w:r>
        <w:t xml:space="preserve"> </w:t>
      </w:r>
      <w:r>
        <w:rPr>
          <w:rFonts w:hint="eastAsia"/>
        </w:rPr>
        <w:t xml:space="preserve">Calabrese）评论称，经过「数月审慎外交和渐进铺垫」，习近平进入峰会时的筹码「或已超出华盛顿的预期」；《外交家》（The</w:t>
      </w:r>
      <w:r>
        <w:t xml:space="preserve"> </w:t>
      </w:r>
      <w:r>
        <w:rPr>
          <w:rFonts w:hint="eastAsia"/>
        </w:rPr>
        <w:t xml:space="preserve">Diplomat）同期分析指北京以台湾问题定性为核心中国内政事务，借此在贸易和军售议题上争取更大谈判空间。</w:t>
      </w:r>
    </w:p>
    <w:p>
      <w:pPr>
        <w:pStyle w:val="BodyText"/>
      </w:pPr>
      <w:r>
        <w:rPr>
          <w:b/>
          <w:bCs/>
        </w:rPr>
        <w:t xml:space="preserve">References</w:t>
      </w:r>
    </w:p>
    <w:p>
      <w:pPr>
        <w:pStyle w:val="BodyText"/>
      </w:pPr>
      <w:r>
        <w:t xml:space="preserve">[7] Modern Diplomacy. (2026, April 20). How China Is Positioning Itself Ahead of the Trump-Xi Summit. Modern Diplomacy. https://moderndiplomacy.eu/2026/04/20/how-china-is-positioning-itself-ahead-of-the-trump-xi-summit/</w:t>
      </w:r>
      <w:r>
        <w:t xml:space="preserve"> </w:t>
      </w:r>
      <w:r>
        <w:t xml:space="preserve">[8] The Diplomat. (2026, April). China’s Taiwan Calculus Ahead of the Trump-Xi Summit. The Diplomat. https://thediplomat.com/2026/04/chinas-taiwan-calculus-ahead-of-the-trump-xi-summit/</w:t>
      </w:r>
    </w:p>
    <w:p>
      <w:r>
        <w:pict>
          <v:rect style="width:0;height:1.5pt" o:hralign="center" o:hrstd="t" o:hr="t"/>
        </w:pict>
      </w:r>
    </w:p>
    <w:bookmarkEnd w:id="14"/>
    <w:bookmarkStart w:id="15" w:name="王毅访柬举行首次22战略对话中国东南亚外交机制化深化"/>
    <w:p>
      <w:pPr>
        <w:pStyle w:val="Heading3"/>
      </w:pPr>
      <w:r>
        <w:rPr>
          <w:rFonts w:hint="eastAsia"/>
        </w:rPr>
        <w:t xml:space="preserve">王毅访柬举行首次”2+2”战略对话，中国东南亚外交机制化深化</w:t>
      </w:r>
    </w:p>
    <w:p>
      <w:pPr>
        <w:pStyle w:val="FirstParagraph"/>
      </w:pPr>
      <w:r>
        <w:rPr>
          <w:rFonts w:hint="eastAsia"/>
          <w:b/>
          <w:bCs/>
        </w:rPr>
        <w:t xml:space="preserve">摘要</w:t>
      </w:r>
    </w:p>
    <w:p>
      <w:pPr>
        <w:pStyle w:val="BodyText"/>
      </w:pPr>
      <w:r>
        <w:rPr>
          <w:rFonts w:hint="eastAsia"/>
        </w:rPr>
        <w:t xml:space="preserve">中国外交部长王毅4月24日在金边与柬埔寨副首相兼外长博拉斯坎举行会谈，双方宣布依托”2+2”战略对话机制举行首次外长防长联合会议取得成功。王毅表示，中柬两国视彼此为「长期可信赖的好朋友、好伙伴」，并就进一步深化双边务实合作达成共识。此次访问是王毅4月至5月东南亚外交系列行程的组成部分，访问对象均为中国「周边优先」战略下的重点伙伴国。</w:t>
      </w:r>
    </w:p>
    <w:p>
      <w:pPr>
        <w:pStyle w:val="BodyText"/>
      </w:pPr>
      <w:r>
        <w:rPr>
          <w:rFonts w:hint="eastAsia"/>
          <w:b/>
          <w:bCs/>
        </w:rPr>
        <w:t xml:space="preserve">分析</w:t>
      </w:r>
    </w:p>
    <w:p>
      <w:pPr>
        <w:pStyle w:val="BodyText"/>
      </w:pPr>
      <w:r>
        <w:rPr>
          <w:rFonts w:hint="eastAsia"/>
        </w:rPr>
        <w:t xml:space="preserve">中柬”2+2”机制将军事与外交协调制度化，是北京将大国协调惯例延伸至东南亚关键伙伴的重要动作；在美国推进第一岛链”拒止防御”部署背景下，中国以机制化外交锁定柬埔寨，具有明显的战略对冲意图，亦有助于在特习峰会前夕巩固地区影响力基础。</w:t>
      </w:r>
    </w:p>
    <w:p>
      <w:pPr>
        <w:pStyle w:val="BodyText"/>
      </w:pPr>
      <w:r>
        <w:rPr>
          <w:b/>
          <w:bCs/>
        </w:rPr>
        <w:t xml:space="preserve">References</w:t>
      </w:r>
    </w:p>
    <w:p>
      <w:pPr>
        <w:pStyle w:val="BodyText"/>
      </w:pPr>
      <w:r>
        <w:t xml:space="preserve">[9] People’s Daily Online. (2026, April 24). Chinese FM holds talks with Cambodian counterpart. People’s Daily Online. https://en.people.cn/n3/2026/0424/c90000-20450018.html</w:t>
      </w:r>
    </w:p>
    <w:p>
      <w:r>
        <w:pict>
          <v:rect style="width:0;height:1.5pt" o:hralign="center" o:hrstd="t" o:hr="t"/>
        </w:pict>
      </w:r>
    </w:p>
    <w:bookmarkEnd w:id="15"/>
    <w:bookmarkStart w:id="16" w:name="中国借伊朗战争展现大国调解者角色以中东布局强化特习会谈底气"/>
    <w:p>
      <w:pPr>
        <w:pStyle w:val="Heading3"/>
      </w:pPr>
      <w:r>
        <w:rPr>
          <w:rFonts w:hint="eastAsia"/>
        </w:rPr>
        <w:t xml:space="preserve">中国借伊朗战争展现”大国调解者”角色，以中东布局强化特习会谈底气</w:t>
      </w:r>
    </w:p>
    <w:p>
      <w:pPr>
        <w:pStyle w:val="FirstParagraph"/>
      </w:pPr>
      <w:r>
        <w:rPr>
          <w:rFonts w:hint="eastAsia"/>
          <w:b/>
          <w:bCs/>
        </w:rPr>
        <w:t xml:space="preserve">摘要</w:t>
      </w:r>
    </w:p>
    <w:p>
      <w:pPr>
        <w:pStyle w:val="BodyText"/>
      </w:pPr>
      <w:r>
        <w:rPr>
          <w:rFonts w:hint="eastAsia"/>
        </w:rPr>
        <w:t xml:space="preserve">半岛电视台4月22日深度分析指出，中国正借助美以对伊朗军事冲突提供的外交窗口，在国际社会塑造「负责任大国」形象。中国持续购买伊朗约90%的石油出口，同时积极与海湾阿拉伯国家深化关系；王毅2月底至4月初完成逾26场电话外交，覆盖冲突相关各方，刻意将自身定位与美国因军事介入承受的国际批评形成对比。文章援引分析人士核心判断：「和平有利于商业，战争则不然」——维护全球能源供应链稳定是北京介入中东外交的核心驱动力。</w:t>
      </w:r>
    </w:p>
    <w:p>
      <w:pPr>
        <w:pStyle w:val="BodyText"/>
      </w:pPr>
      <w:r>
        <w:rPr>
          <w:rFonts w:hint="eastAsia"/>
          <w:b/>
          <w:bCs/>
        </w:rPr>
        <w:t xml:space="preserve">分析</w:t>
      </w:r>
    </w:p>
    <w:p>
      <w:pPr>
        <w:pStyle w:val="BodyText"/>
      </w:pPr>
      <w:r>
        <w:rPr>
          <w:rFonts w:hint="eastAsia"/>
        </w:rPr>
        <w:t xml:space="preserve">文章引述多名分析师观点，认为中国以”斡旋者”而非”挑战者”面貌出现，在发展中国家赢得正面评价，并在特习峰会前夕营造有利外部舆论底色；一名学者指出，「在台海紧张之外开辟另一维度的话语空间，有助于分散国际社会对中国强硬行为的聚焦」。</w:t>
      </w:r>
    </w:p>
    <w:p>
      <w:pPr>
        <w:pStyle w:val="BodyText"/>
      </w:pPr>
      <w:r>
        <w:rPr>
          <w:b/>
          <w:bCs/>
        </w:rPr>
        <w:t xml:space="preserve">References</w:t>
      </w:r>
    </w:p>
    <w:p>
      <w:pPr>
        <w:pStyle w:val="BodyText"/>
      </w:pPr>
      <w:r>
        <w:t xml:space="preserve">[10] Al Jazeera. (2026, April 22). How China is gaining from Iran war by showing it is different from US. Al Jazeera. https://www.aljazeera.com/news/2026/4/22/how-china-is-gaining-from-iran-war-by-showing-it-is-different-from-us</w:t>
      </w:r>
    </w:p>
    <w:p>
      <w:r>
        <w:pict>
          <v:rect style="width:0;height:1.5pt" o:hralign="center" o:hrstd="t" o:hr="t"/>
        </w:pict>
      </w:r>
    </w:p>
    <w:bookmarkEnd w:id="16"/>
    <w:bookmarkEnd w:id="17"/>
    <w:bookmarkStart w:id="21" w:name="三科技与产业"/>
    <w:p>
      <w:pPr>
        <w:pStyle w:val="Heading2"/>
      </w:pPr>
      <w:r>
        <w:rPr>
          <w:rFonts w:hint="eastAsia"/>
        </w:rPr>
        <w:t xml:space="preserve">三、科技与产业</w:t>
      </w:r>
    </w:p>
    <w:bookmarkStart w:id="18" w:name="X72c90307ed4d48dc3a3b80c11478cbaf56a3952"/>
    <w:p>
      <w:pPr>
        <w:pStyle w:val="Heading3"/>
      </w:pPr>
      <w:r>
        <w:rPr>
          <w:rFonts w:hint="eastAsia"/>
        </w:rPr>
        <w:t xml:space="preserve">DeepSeek发布V4旗舰大模型，华为昇腾”全面接入”标志中国AI自主芯片生态跨越发展</w:t>
      </w:r>
    </w:p>
    <w:p>
      <w:pPr>
        <w:pStyle w:val="FirstParagraph"/>
      </w:pPr>
      <w:r>
        <w:rPr>
          <w:rFonts w:hint="eastAsia"/>
          <w:b/>
          <w:bCs/>
        </w:rPr>
        <w:t xml:space="preserve">摘要</w:t>
      </w:r>
    </w:p>
    <w:p>
      <w:pPr>
        <w:pStyle w:val="BodyText"/>
      </w:pPr>
      <w:r>
        <w:rPr>
          <w:rFonts w:hint="eastAsia"/>
        </w:rPr>
        <w:t xml:space="preserve">深度求索（DeepSeek）4月24日发布新一代开源大语言模型V4，引发全球AI格局震动。旗舰版V4-Pro拥有1.6万亿参数，为DeepSeek迄今最大模型；轻量版V4-Flash拥有2840亿参数，两款模型均支持100万token超长上下文窗口，定价维持上一代V2水平。华为同步宣布对V4提供「全面支持」，通过昇腾（Ascend）芯片及超节点系统支撑推理，并预计随昇腾950PR超节点规模化部署「推理价格将大幅下降」。国内半导体板块强势反应：中芯国际涨超8%，华虹半导体涨12%，海光信息涨约10%。华泰证券分析师指出，V4「明确提及与国产芯片兼容性」，为中国AI大模型与本土芯片协同演进开启新阶段。</w:t>
      </w:r>
    </w:p>
    <w:p>
      <w:pPr>
        <w:pStyle w:val="BodyText"/>
      </w:pPr>
      <w:r>
        <w:rPr>
          <w:rFonts w:hint="eastAsia"/>
          <w:b/>
          <w:bCs/>
        </w:rPr>
        <w:t xml:space="preserve">分析</w:t>
      </w:r>
    </w:p>
    <w:p>
      <w:pPr>
        <w:pStyle w:val="BodyText"/>
      </w:pPr>
      <w:r>
        <w:rPr>
          <w:rFonts w:hint="eastAsia"/>
        </w:rPr>
        <w:t xml:space="preserve">华泰证券分析师认为，DeepSeek-华为此次合作是「中国AI自主芯片生态的里程碑」：算力依赖从英伟达转向国产替代具有重大战略价值，「将进一步加速国产AI芯片工程迭代，为半导体产业链带来持续需求拉动」。</w:t>
      </w:r>
    </w:p>
    <w:p>
      <w:pPr>
        <w:pStyle w:val="BodyText"/>
      </w:pPr>
      <w:r>
        <w:rPr>
          <w:b/>
          <w:bCs/>
        </w:rPr>
        <w:t xml:space="preserve">References</w:t>
      </w:r>
    </w:p>
    <w:p>
      <w:pPr>
        <w:pStyle w:val="BodyText"/>
      </w:pPr>
      <w:r>
        <w:t xml:space="preserve">[11] South China Morning Post. (2026, April 24). DeepSeek unveils next-gen AI model as Huawei vows</w:t>
      </w:r>
      <w:r>
        <w:t xml:space="preserve"> </w:t>
      </w:r>
      <w:r>
        <w:t xml:space="preserve">‘full support’</w:t>
      </w:r>
      <w:r>
        <w:t xml:space="preserve"> </w:t>
      </w:r>
      <w:r>
        <w:t xml:space="preserve">with new chips. South China Morning Post. https://www.scmp.com/tech/big-tech/article/3351239/deepseek-releases-next-gen-ai-model-world-leading-efficiency</w:t>
      </w:r>
      <w:r>
        <w:t xml:space="preserve"> </w:t>
      </w:r>
      <w:r>
        <w:t xml:space="preserve">[12] CNBC. (2026, April 24). China’s DeepSeek releases preview of long-awaited V4 model as AI race intensifies. CNBC. https://www.cnbc.com/2026/04/24/deepseek-v4-llm-preview-open-source-ai-competition-china.html</w:t>
      </w:r>
    </w:p>
    <w:p>
      <w:r>
        <w:pict>
          <v:rect style="width:0;height:1.5pt" o:hralign="center" o:hrstd="t" o:hr="t"/>
        </w:pict>
      </w:r>
    </w:p>
    <w:bookmarkEnd w:id="18"/>
    <w:bookmarkStart w:id="19" w:name="中国人形机器人出货量全球居首30分钟下线一台工厂刷新规模化纪录"/>
    <w:p>
      <w:pPr>
        <w:pStyle w:val="Heading3"/>
      </w:pPr>
      <w:r>
        <w:rPr>
          <w:rFonts w:hint="eastAsia"/>
        </w:rPr>
        <w:t xml:space="preserve">中国人形机器人出货量全球居首，</w:t>
      </w:r>
      <w:r>
        <w:rPr>
          <w:rFonts w:hint="eastAsia"/>
        </w:rPr>
        <w:t xml:space="preserve">“30分钟下线一台”</w:t>
      </w:r>
      <w:r>
        <w:rPr>
          <w:rFonts w:hint="eastAsia"/>
        </w:rPr>
        <w:t xml:space="preserve">工厂刷新规模化纪录</w:t>
      </w:r>
    </w:p>
    <w:p>
      <w:pPr>
        <w:pStyle w:val="FirstParagraph"/>
      </w:pPr>
      <w:r>
        <w:rPr>
          <w:rFonts w:hint="eastAsia"/>
          <w:b/>
          <w:bCs/>
        </w:rPr>
        <w:t xml:space="preserve">摘要</w:t>
      </w:r>
    </w:p>
    <w:p>
      <w:pPr>
        <w:pStyle w:val="BodyText"/>
      </w:pPr>
      <w:r>
        <w:t xml:space="preserve">CNBC </w:t>
      </w:r>
      <w:r>
        <w:rPr>
          <w:rFonts w:hint="eastAsia"/>
        </w:rPr>
        <w:t xml:space="preserve">4月21日报道，中国在全球人形机器人出货量上已超越美国，成为最大生产国。上海乐聚机器人2025年全球出货量超5100台，占据全球市场约39%份额。广东佛山由乐聚机器人与东方精工合建的自动化基地实现「每30分钟下线一台」，年产能目标10000台，效率较传统方式提升逾50%；该工厂设有24个数字化装配工序、77个检测节点和41个模拟工况测试环节。工信部数据显示，2025年中国已有逾140家人形机器人整机制造商，发布机型超过330个，2026年计划实现28000至100000台的规模化部署。</w:t>
      </w:r>
    </w:p>
    <w:p>
      <w:pPr>
        <w:pStyle w:val="BodyText"/>
      </w:pPr>
      <w:r>
        <w:rPr>
          <w:rFonts w:hint="eastAsia"/>
          <w:b/>
          <w:bCs/>
        </w:rPr>
        <w:t xml:space="preserve">分析</w:t>
      </w:r>
    </w:p>
    <w:p>
      <w:pPr>
        <w:pStyle w:val="BodyText"/>
      </w:pPr>
      <w:r>
        <w:rPr>
          <w:rFonts w:hint="eastAsia"/>
        </w:rPr>
        <w:t xml:space="preserve">CNBC报道指出，中美两国投资者在人形机器人赛道的战略分歧日趋明显，中国资本强调规模化量产路径，美方则侧重技术护城河；TechCrunch分析师认为，每30分钟下线一台的生产速度表明人形机器人正从「高端小批量定制品」快速演变为「标准化工业制成品」，将大幅压低终端单价并加速商业落地。</w:t>
      </w:r>
    </w:p>
    <w:p>
      <w:pPr>
        <w:pStyle w:val="BodyText"/>
      </w:pPr>
      <w:r>
        <w:rPr>
          <w:b/>
          <w:bCs/>
        </w:rPr>
        <w:t xml:space="preserve">References</w:t>
      </w:r>
    </w:p>
    <w:p>
      <w:pPr>
        <w:pStyle w:val="BodyText"/>
      </w:pPr>
      <w:r>
        <w:t xml:space="preserve">[13] CNBC. (2026, April 21). China’s China Connection newsletter: China ships more humanoid robots than the U.S. as investors diverge on AI bets. CNBC. https://www.cnbc.com/2026/04/21/china-humanoid-robots-us-investors.html</w:t>
      </w:r>
      <w:r>
        <w:t xml:space="preserve"> </w:t>
      </w:r>
      <w:r>
        <w:t xml:space="preserve">[14] Yahoo Finance. (2026, April 1). China’s Robot Factory Churns Out Humanoids Every 30 Minutes. Yahoo Finance. https://finance.yahoo.com/sectors/technology/articles/china-robot-factory-churns-humanoids-185609382.html</w:t>
      </w:r>
    </w:p>
    <w:p>
      <w:r>
        <w:pict>
          <v:rect style="width:0;height:1.5pt" o:hralign="center" o:hrstd="t" o:hr="t"/>
        </w:pict>
      </w:r>
    </w:p>
    <w:bookmarkEnd w:id="19"/>
    <w:bookmarkStart w:id="20" w:name="中国芯片企业营收创纪录中芯国际2026年预期突破110亿美元"/>
    <w:p>
      <w:pPr>
        <w:pStyle w:val="Heading3"/>
      </w:pPr>
      <w:r>
        <w:rPr>
          <w:rFonts w:hint="eastAsia"/>
        </w:rPr>
        <w:t xml:space="preserve">中国芯片企业营收创纪录，中芯国际2026年预期突破110亿美元</w:t>
      </w:r>
    </w:p>
    <w:p>
      <w:pPr>
        <w:pStyle w:val="FirstParagraph"/>
      </w:pPr>
      <w:r>
        <w:rPr>
          <w:rFonts w:hint="eastAsia"/>
          <w:b/>
          <w:bCs/>
        </w:rPr>
        <w:t xml:space="preserve">摘要</w:t>
      </w:r>
    </w:p>
    <w:p>
      <w:pPr>
        <w:pStyle w:val="BodyText"/>
      </w:pPr>
      <w:r>
        <w:t xml:space="preserve">CNBC </w:t>
      </w:r>
      <w:r>
        <w:rPr>
          <w:rFonts w:hint="eastAsia"/>
        </w:rPr>
        <w:t xml:space="preserve">4月3日援引行业数据报道，中国主要半导体企业在AI需求和美国出口管制双重推力下录得创纪录营收。中芯国际（SMIC）2025年营收升至93亿美元历史新高（同比增16%），分析师预计2026年将突破110亿美元。增长背后是国内科技巨头（华为、长鑫存储、长江存储）与AI模型开发商（DeepSeek、阿里、腾讯、百度）之间日益深化的「共生关系」——美国出口管制实质上将中国企业锁定在本土供应链内，推动国产替代加速提量。中国科学家近期亦突破二维半导体晶圆级生长技术，生长速度提升1000倍，为下一代芯片技术储备奠定基础。</w:t>
      </w:r>
    </w:p>
    <w:p>
      <w:pPr>
        <w:pStyle w:val="BodyText"/>
      </w:pPr>
      <w:r>
        <w:rPr>
          <w:rFonts w:hint="eastAsia"/>
          <w:b/>
          <w:bCs/>
        </w:rPr>
        <w:t xml:space="preserve">分析</w:t>
      </w:r>
    </w:p>
    <w:p>
      <w:pPr>
        <w:pStyle w:val="BodyText"/>
      </w:pPr>
      <w:r>
        <w:rPr>
          <w:rFonts w:hint="eastAsia"/>
        </w:rPr>
        <w:t xml:space="preserve">CNBC援引行业分析师观点，认为出口管制的客观效果之一「恰恰是加速推动中国科技生态的自循环」：AI模型商对国产算力需求持续扩大，倒逼制造商加快研发和扩产，形成「制裁——国产替代——规模效应」的强化反馈回路。</w:t>
      </w:r>
    </w:p>
    <w:p>
      <w:pPr>
        <w:pStyle w:val="BodyText"/>
      </w:pPr>
      <w:r>
        <w:rPr>
          <w:b/>
          <w:bCs/>
        </w:rPr>
        <w:t xml:space="preserve">References</w:t>
      </w:r>
    </w:p>
    <w:p>
      <w:pPr>
        <w:pStyle w:val="BodyText"/>
      </w:pPr>
      <w:r>
        <w:t xml:space="preserve">[15] CNBC. (2026, April 3). Chinese chip firms hit record high revenue driven by the AI boom and U.S. curbs. CNBC. https://www.cnbc.com/2026/04/03/chinese-chip-firms-record-revenue-ai-boom-us-curbs.html</w:t>
      </w:r>
      <w:r>
        <w:t xml:space="preserve"> </w:t>
      </w:r>
      <w:r>
        <w:t xml:space="preserve">[16] ChinaStrategy.org. (2026, April 12). Semiconductor leap: China looks to next-gen</w:t>
      </w:r>
      <w:r>
        <w:t xml:space="preserve"> </w:t>
      </w:r>
      <w:r>
        <w:t xml:space="preserve">‘2D chip’</w:t>
      </w:r>
      <w:r>
        <w:t xml:space="preserve"> </w:t>
      </w:r>
      <w:r>
        <w:t xml:space="preserve">with 1,000-fold growth speed. ChinaStrategy.org. https://www.chinastrategy.org/2026/04/12/semiconductor-leap-china-looks-to-next-gen-2d-chip-with-1000-fold-growth-speed/</w:t>
      </w:r>
    </w:p>
    <w:p>
      <w:r>
        <w:pict>
          <v:rect style="width:0;height:1.5pt" o:hralign="center" o:hrstd="t" o:hr="t"/>
        </w:pict>
      </w:r>
    </w:p>
    <w:bookmarkEnd w:id="20"/>
    <w:bookmarkEnd w:id="21"/>
    <w:bookmarkStart w:id="25" w:name="四社会与民生"/>
    <w:p>
      <w:pPr>
        <w:pStyle w:val="Heading2"/>
      </w:pPr>
      <w:r>
        <w:rPr>
          <w:rFonts w:hint="eastAsia"/>
        </w:rPr>
        <w:t xml:space="preserve">四、社会与民生</w:t>
      </w:r>
    </w:p>
    <w:bookmarkStart w:id="22" w:name="文旅部逾10亿元补贴启动精准拉动五一消费q1境外游客入境创新高"/>
    <w:p>
      <w:pPr>
        <w:pStyle w:val="Heading3"/>
      </w:pPr>
      <w:r>
        <w:rPr>
          <w:rFonts w:hint="eastAsia"/>
        </w:rPr>
        <w:t xml:space="preserve">文旅部逾10亿元补贴启动，精准拉动”五一”消费，Q1境外游客入境创新高</w:t>
      </w:r>
    </w:p>
    <w:p>
      <w:pPr>
        <w:pStyle w:val="FirstParagraph"/>
      </w:pPr>
      <w:r>
        <w:rPr>
          <w:rFonts w:hint="eastAsia"/>
          <w:b/>
          <w:bCs/>
        </w:rPr>
        <w:t xml:space="preserve">摘要</w:t>
      </w:r>
    </w:p>
    <w:p>
      <w:pPr>
        <w:pStyle w:val="BodyText"/>
      </w:pPr>
      <w:r>
        <w:rPr>
          <w:rFonts w:hint="eastAsia"/>
        </w:rPr>
        <w:t xml:space="preserve">中国文化和旅游部4月23日宣布，投入逾10亿元人民币（约合1.46亿美元）补贴旅游消费，推出以第16个”中国旅游日”（5月19日）为核心的一个月促销活动（4月23日至5月31日）。政府将联合逾70个合作机构推出超9000项惠民措施，全国景区让利预计超2.1亿元，覆盖超6000万人次旅游消费；广州将推出”机票铁路票存根优惠”政策，凭票可享广东省内特别折扣。一季度外籍人员入境人次达2133万，受签证免签政策扩大明显推动。清明节假期全国共接待国内游客1.35亿人次（同比+6.8%），旅游收入614亿元（同比+6.6%）。</w:t>
      </w:r>
    </w:p>
    <w:p>
      <w:pPr>
        <w:pStyle w:val="BodyText"/>
      </w:pPr>
      <w:r>
        <w:rPr>
          <w:rFonts w:hint="eastAsia"/>
          <w:b/>
          <w:bCs/>
        </w:rPr>
        <w:t xml:space="preserve">分析</w:t>
      </w:r>
    </w:p>
    <w:p>
      <w:pPr>
        <w:pStyle w:val="BodyText"/>
      </w:pPr>
      <w:r>
        <w:rPr>
          <w:rFonts w:hint="eastAsia"/>
        </w:rPr>
        <w:t xml:space="preserve">新华社报道指出，「机票铁路票存根即享目的地折扣」的机制设计将消费激励直接落地出行行为链条，有助于提升政策传导效率、降低福利漏损；Q1境外入境2133万人次的数据表明，随免签政策持续扩大，入境旅游正成为人民币升值和旅游形象改善的双重受益者，服务消费同比增超12%的韧性远优于实物零售。</w:t>
      </w:r>
    </w:p>
    <w:p>
      <w:pPr>
        <w:pStyle w:val="BodyText"/>
      </w:pPr>
      <w:r>
        <w:rPr>
          <w:b/>
          <w:bCs/>
        </w:rPr>
        <w:t xml:space="preserve">References</w:t>
      </w:r>
    </w:p>
    <w:p>
      <w:pPr>
        <w:pStyle w:val="BodyText"/>
      </w:pPr>
      <w:r>
        <w:t xml:space="preserve">[17] Xinhua. (2026, April 23). China to invest 1 bln yuan to subsidize tourist trips. Xinhua. https://english.news.cn/20260423/0621d714c6f049b596d1378f7d9332e8/c.html</w:t>
      </w:r>
      <w:r>
        <w:t xml:space="preserve"> </w:t>
      </w:r>
      <w:r>
        <w:t xml:space="preserve">[18] China.org.cn. (2026, April 24). China to invest 1 billion yuan to subsidize tourist trips. China.org.cn. http://www.china.org.cn/2026-04/24/content_118460531.shtml</w:t>
      </w:r>
    </w:p>
    <w:p>
      <w:r>
        <w:pict>
          <v:rect style="width:0;height:1.5pt" o:hralign="center" o:hrstd="t" o:hr="t"/>
        </w:pict>
      </w:r>
    </w:p>
    <w:bookmarkEnd w:id="22"/>
    <w:bookmarkStart w:id="23" w:name="人民币年内升逾6触近期高位进口购买力增强但出口竞争压力凸显"/>
    <w:p>
      <w:pPr>
        <w:pStyle w:val="Heading3"/>
      </w:pPr>
      <w:r>
        <w:rPr>
          <w:rFonts w:hint="eastAsia"/>
        </w:rPr>
        <w:t xml:space="preserve">人民币年内升逾6%触近期高位，进口购买力增强但出口竞争压力凸显</w:t>
      </w:r>
    </w:p>
    <w:p>
      <w:pPr>
        <w:pStyle w:val="FirstParagraph"/>
      </w:pPr>
      <w:r>
        <w:rPr>
          <w:rFonts w:hint="eastAsia"/>
          <w:b/>
          <w:bCs/>
        </w:rPr>
        <w:t xml:space="preserve">摘要</w:t>
      </w:r>
    </w:p>
    <w:p>
      <w:pPr>
        <w:pStyle w:val="BodyText"/>
      </w:pPr>
      <w:r>
        <w:rPr>
          <w:rFonts w:hint="eastAsia"/>
        </w:rPr>
        <w:t xml:space="preserve">美联储H10汇率数据显示，人民币4月21日收于0.146745美元（约6.82元/美元），月内累计升值0.80%，过去12个月累计升值6.35%，兑美元汇率已升至近期高位。一季度出口目的地多元化显著——美国市场同比下降11%，但降幅较2025年的-19.9%大幅收窄；ING智库数据显示，中国商品贸易规模一季度同比增幅为近四年来最大，出口竞争力在汇率升值背景下依然较强。经济学家指出，名义GDP增速提升、PPI转正和外资配置需求回升共同支撑人民币温和升值。</w:t>
      </w:r>
    </w:p>
    <w:p>
      <w:pPr>
        <w:pStyle w:val="BodyText"/>
      </w:pPr>
      <w:r>
        <w:rPr>
          <w:rFonts w:hint="eastAsia"/>
          <w:b/>
          <w:bCs/>
        </w:rPr>
        <w:t xml:space="preserve">分析</w:t>
      </w:r>
    </w:p>
    <w:p>
      <w:pPr>
        <w:pStyle w:val="BodyText"/>
      </w:pPr>
      <w:r>
        <w:rPr>
          <w:rFonts w:hint="eastAsia"/>
        </w:rPr>
        <w:t xml:space="preserve">ING智库分析师指出，人民币升值有助于「降低进口能源和大宗商品成本、提升跨境消费购买力，并增强人民币国际化的信誉背书」；但部分出口导向型企业将面临以美元计价的价格竞争优势收窄，利润率承压风险不可忽视。</w:t>
      </w:r>
    </w:p>
    <w:p>
      <w:pPr>
        <w:pStyle w:val="BodyText"/>
      </w:pPr>
      <w:r>
        <w:rPr>
          <w:b/>
          <w:bCs/>
        </w:rPr>
        <w:t xml:space="preserve">References</w:t>
      </w:r>
    </w:p>
    <w:p>
      <w:pPr>
        <w:pStyle w:val="BodyText"/>
      </w:pPr>
      <w:r>
        <w:t xml:space="preserve">[19] Federal Reserve Board. (2026, April 20). Foreign Exchange Rates — H.10. Federal Reserve Board. https://www.federalreserve.gov/releases/h10/hist/dat00_ch.htm</w:t>
      </w:r>
      <w:r>
        <w:t xml:space="preserve"> </w:t>
      </w:r>
      <w:r>
        <w:t xml:space="preserve">[20] ING Think. (2026). China’s trade growth starts 2026 strong with biggest gain in four years. ING THINK. https://think.ing.com/snaps/chinas-trade-growth-starts-2026-strong-with-biggest-gain-in-four-years-a/</w:t>
      </w:r>
    </w:p>
    <w:p>
      <w:r>
        <w:pict>
          <v:rect style="width:0;height:1.5pt" o:hralign="center" o:hrstd="t" o:hr="t"/>
        </w:pict>
      </w:r>
    </w:p>
    <w:bookmarkEnd w:id="23"/>
    <w:bookmarkStart w:id="24" w:name="一线城市新房价格十月来首度环比回升楼市企稳信号趋于清晰"/>
    <w:p>
      <w:pPr>
        <w:pStyle w:val="Heading3"/>
      </w:pPr>
      <w:r>
        <w:rPr>
          <w:rFonts w:hint="eastAsia"/>
        </w:rPr>
        <w:t xml:space="preserve">一线城市新房价格十月来首度环比回升，楼市企稳信号趋于清晰</w:t>
      </w:r>
    </w:p>
    <w:p>
      <w:pPr>
        <w:pStyle w:val="FirstParagraph"/>
      </w:pPr>
      <w:r>
        <w:rPr>
          <w:rFonts w:hint="eastAsia"/>
          <w:b/>
          <w:bCs/>
        </w:rPr>
        <w:t xml:space="preserve">摘要</w:t>
      </w:r>
    </w:p>
    <w:p>
      <w:pPr>
        <w:pStyle w:val="BodyText"/>
      </w:pPr>
      <w:r>
        <w:rPr>
          <w:rFonts w:hint="eastAsia"/>
        </w:rPr>
        <w:t xml:space="preserve">国家统计局4月16日公布的70个大中城市房价数据显示，3月份一线城市（北京、上海、广州、深圳）新建商品住宅价格整体环比微升0.2%，为连续9个月下跌后的首度回正：上海+0.3%、广州+0.3%、深圳+0.2%、北京环比持平。70个大中城市中录得环比上涨的城市数量从2月的10个扩大至14个；二手房市场表现更积极，一线城市二手住宅环比整体涨0.4%，上海春季成交量明显放量。年内同比来看，上海+3.7%，北京-2.1%，广州-4.7%，深圳-5.5%；70城新房同比整体仍跌3.4%，为连续第33个月同比负增长。</w:t>
      </w:r>
    </w:p>
    <w:p>
      <w:pPr>
        <w:pStyle w:val="BodyText"/>
      </w:pPr>
      <w:r>
        <w:rPr>
          <w:rFonts w:hint="eastAsia"/>
          <w:b/>
          <w:bCs/>
        </w:rPr>
        <w:t xml:space="preserve">分析</w:t>
      </w:r>
    </w:p>
    <w:p>
      <w:pPr>
        <w:pStyle w:val="BodyText"/>
      </w:pPr>
      <w:r>
        <w:rPr>
          <w:rFonts w:hint="eastAsia"/>
        </w:rPr>
        <w:t xml:space="preserve">分析师指出，上海的相对韧性（年内同比+3.7%）与科创中心定位和外资流入支撑密切相关；但一线整体环比转正只是价格企稳的初步信号，「从量稳到价稳的临界点，仍依赖居民收入预期和信贷条件的持续改善」，目前宣告楼市全面企稳仍为时尚早。</w:t>
      </w:r>
    </w:p>
    <w:p>
      <w:pPr>
        <w:pStyle w:val="BodyText"/>
      </w:pPr>
      <w:r>
        <w:rPr>
          <w:b/>
          <w:bCs/>
        </w:rPr>
        <w:t xml:space="preserve">References</w:t>
      </w:r>
    </w:p>
    <w:p>
      <w:pPr>
        <w:pStyle w:val="BodyText"/>
      </w:pPr>
      <w:r>
        <w:t xml:space="preserve">[21] South China Morning Post. (2026, April 16). New home prices in China’s biggest cities record first rise in 10 months. South China Morning Post. https://www.scmp.com/business/article/3350276/new-home-prices-chinas-biggest-cities-record-first-rise-10-months</w:t>
      </w:r>
    </w:p>
    <w:p>
      <w:r>
        <w:pict>
          <v:rect style="width:0;height:1.5pt" o:hralign="center" o:hrstd="t" o:hr="t"/>
        </w:pict>
      </w:r>
    </w:p>
    <w:bookmarkEnd w:id="24"/>
    <w:bookmarkEnd w:id="25"/>
    <w:bookmarkStart w:id="29" w:name="五其他重要事件"/>
    <w:p>
      <w:pPr>
        <w:pStyle w:val="Heading2"/>
      </w:pPr>
      <w:r>
        <w:rPr>
          <w:rFonts w:hint="eastAsia"/>
        </w:rPr>
        <w:t xml:space="preserve">五、其他重要事件</w:t>
      </w:r>
    </w:p>
    <w:bookmarkStart w:id="26" w:name="第11届中国航天日成都盛典天问二号飞向小行星2026年密集太空任务全面启动"/>
    <w:p>
      <w:pPr>
        <w:pStyle w:val="Heading3"/>
      </w:pPr>
      <w:r>
        <w:rPr>
          <w:rFonts w:hint="eastAsia"/>
        </w:rPr>
        <w:t xml:space="preserve">第11届”中国航天日”成都盛典：天问二号飞向小行星，2026年密集太空任务全面启动</w:t>
      </w:r>
    </w:p>
    <w:p>
      <w:pPr>
        <w:pStyle w:val="FirstParagraph"/>
      </w:pPr>
      <w:r>
        <w:rPr>
          <w:rFonts w:hint="eastAsia"/>
          <w:b/>
          <w:bCs/>
        </w:rPr>
        <w:t xml:space="preserve">摘要</w:t>
      </w:r>
    </w:p>
    <w:p>
      <w:pPr>
        <w:pStyle w:val="BodyText"/>
      </w:pPr>
      <w:r>
        <w:rPr>
          <w:rFonts w:hint="eastAsia"/>
        </w:rPr>
        <w:t xml:space="preserve">4月24日，中国第11届航天日主场活动在四川省成都市盛大举行，中国国家航天局（CNSA）集中发布重大成就并宣布2026年任务计划。2025年成绩：共实施92次航天发射（较2024年增35%），跃居全球年度发射次数首位；长征二号丁实现100次连续发射成功；天问二号探测器成功发射并进入奔赴目标小行星2016HO3”卡莫阿雷瓦”的转移轨道，开启中国首次小行星探测与采样返回任务；朱雀三号、长征十二号A两型可重复使用火箭完成首飞验证。2026年任务规划包括：神舟二十三号载人飞行、天问二号近距离观测、可重复使用火箭多次飞行验证，以及扩大商业航天国际合作。</w:t>
      </w:r>
    </w:p>
    <w:p>
      <w:pPr>
        <w:pStyle w:val="BodyText"/>
      </w:pPr>
      <w:r>
        <w:rPr>
          <w:rFonts w:hint="eastAsia"/>
          <w:b/>
          <w:bCs/>
        </w:rPr>
        <w:t xml:space="preserve">分析</w:t>
      </w:r>
    </w:p>
    <w:p>
      <w:pPr>
        <w:pStyle w:val="BodyText"/>
      </w:pPr>
      <w:r>
        <w:rPr>
          <w:rFonts w:hint="eastAsia"/>
        </w:rPr>
        <w:t xml:space="preserve">CNSA官员在发布会上表示，天问二号小行星探测任务标志着中国深空探测「从月球向更远小天体的历史性延伸」；92次发射的年度纪录和可重复使用火箭首飞验证，预示着中国正追步SpaceX大幅压缩入轨成本，「为未来大规模商业航天布局积累技术底座」。</w:t>
      </w:r>
    </w:p>
    <w:p>
      <w:pPr>
        <w:pStyle w:val="BodyText"/>
      </w:pPr>
      <w:r>
        <w:rPr>
          <w:b/>
          <w:bCs/>
        </w:rPr>
        <w:t xml:space="preserve">References</w:t>
      </w:r>
    </w:p>
    <w:p>
      <w:pPr>
        <w:pStyle w:val="BodyText"/>
      </w:pPr>
      <w:r>
        <w:t xml:space="preserve">[22] CGTN. (2026, April 17). Space Day of China: Main event to take place April 24 in Chengdu, Sichuan province. CGTN. https://news.cgtn.com/news/2026-04-17/VHJhbnNjcmlwdDkwMjIw/index.html</w:t>
      </w:r>
      <w:r>
        <w:t xml:space="preserve"> </w:t>
      </w:r>
      <w:r>
        <w:t xml:space="preserve">[23] Xinhua. (2026, April 18). China to carry out intensive space missions in 2026: CNSA. Xinhua. https://english.news.cn/20260418/0105fa9c521d4b99ba70d78336e17fcb/c.html</w:t>
      </w:r>
    </w:p>
    <w:p>
      <w:r>
        <w:pict>
          <v:rect style="width:0;height:1.5pt" o:hralign="center" o:hrstd="t" o:hr="t"/>
        </w:pict>
      </w:r>
    </w:p>
    <w:bookmarkEnd w:id="26"/>
    <w:bookmarkStart w:id="27" w:name="人形机器人以50分26秒打破人类半马世界纪录中国机器人技术跨越实用化门槛"/>
    <w:p>
      <w:pPr>
        <w:pStyle w:val="Heading3"/>
      </w:pPr>
      <w:r>
        <w:rPr>
          <w:rFonts w:hint="eastAsia"/>
        </w:rPr>
        <w:t xml:space="preserve">人形机器人以50分26秒打破人类半马世界纪录，中国机器人技术跨越实用化门槛</w:t>
      </w:r>
    </w:p>
    <w:p>
      <w:pPr>
        <w:pStyle w:val="FirstParagraph"/>
      </w:pPr>
      <w:r>
        <w:rPr>
          <w:rFonts w:hint="eastAsia"/>
          <w:b/>
          <w:bCs/>
        </w:rPr>
        <w:t xml:space="preserve">摘要</w:t>
      </w:r>
    </w:p>
    <w:p>
      <w:pPr>
        <w:pStyle w:val="BodyText"/>
      </w:pPr>
      <w:r>
        <w:rPr>
          <w:rFonts w:hint="eastAsia"/>
        </w:rPr>
        <w:t xml:space="preserve">荣耀（HONOR）旗下机器人品牌4月19日在北京举办的第二届人形机器人半程马拉松上创造历史：其”闪电”机器人（Robotics</w:t>
      </w:r>
      <w:r>
        <w:t xml:space="preserve"> </w:t>
      </w:r>
      <w:r>
        <w:rPr>
          <w:rFonts w:hint="eastAsia"/>
        </w:rPr>
        <w:t xml:space="preserve">D1型）在自主导航组以50分26秒完成21.0975公里赛程，打破人类半马世界纪录（57分20秒，由乌干达选手雅各布·基普利莫保持）。相较上届赛事最快成绩2小时40分，此次成绩大幅提升。本届赛事共有102支队伍、300余台人形机器人参赛（含5支海外队伍），47支完成全程（完赛率45%）。</w:t>
      </w:r>
      <w:r>
        <w:rPr>
          <w:rFonts w:hint="eastAsia"/>
        </w:rPr>
        <w:t xml:space="preserve">“闪电”</w:t>
      </w:r>
      <w:r>
        <w:rPr>
          <w:rFonts w:hint="eastAsia"/>
        </w:rPr>
        <w:t xml:space="preserve">机器人配备液冷系统（改良自智能手机散热技术）、接近一米的腿长及增强版自主感知导航系统。</w:t>
      </w:r>
    </w:p>
    <w:p>
      <w:pPr>
        <w:pStyle w:val="BodyText"/>
      </w:pPr>
      <w:r>
        <w:rPr>
          <w:rFonts w:hint="eastAsia"/>
          <w:b/>
          <w:bCs/>
        </w:rPr>
        <w:t xml:space="preserve">分析</w:t>
      </w:r>
    </w:p>
    <w:p>
      <w:pPr>
        <w:pStyle w:val="BodyText"/>
      </w:pPr>
      <w:r>
        <w:rPr>
          <w:rFonts w:hint="eastAsia"/>
        </w:rPr>
        <w:t xml:space="preserve">北京大学机器人研究员王鹏指出，此次成绩表明人形机器人技术已从「勉强能用」跨越至「快速接近实用」，动力系统、控制、感知与决策均取得系统性突破；《环球时报》编辑文章将此事件与”苏超”足球联赛、中国GT赛车并列，定性为折射「中国新经济浪潮的三大体育符号」。</w:t>
      </w:r>
    </w:p>
    <w:p>
      <w:pPr>
        <w:pStyle w:val="BodyText"/>
      </w:pPr>
      <w:r>
        <w:rPr>
          <w:b/>
          <w:bCs/>
        </w:rPr>
        <w:t xml:space="preserve">References</w:t>
      </w:r>
    </w:p>
    <w:p>
      <w:pPr>
        <w:pStyle w:val="BodyText"/>
      </w:pPr>
      <w:r>
        <w:t xml:space="preserve">[24] Global Times. (2026, April 19). Humanoid robot breaks human half-marathon record; Drastic improvement reflects systemic advances in China’s robot technologies: expert. Global Times. https://www.globaltimes.cn/page/202604/1359229.shtml</w:t>
      </w:r>
      <w:r>
        <w:t xml:space="preserve"> </w:t>
      </w:r>
      <w:r>
        <w:t xml:space="preserve">[25] Global Times. (2026, April 20). Three sports events reflect the surging</w:t>
      </w:r>
      <w:r>
        <w:t xml:space="preserve"> </w:t>
      </w:r>
      <w:r>
        <w:t xml:space="preserve">‘new’</w:t>
      </w:r>
      <w:r>
        <w:t xml:space="preserve"> </w:t>
      </w:r>
      <w:r>
        <w:t xml:space="preserve">wave of China’s economy: Global Times editorial. Global Times. https://www.globaltimes.cn/page/202604/1359383.shtml</w:t>
      </w:r>
    </w:p>
    <w:p>
      <w:r>
        <w:pict>
          <v:rect style="width:0;height:1.5pt" o:hralign="center" o:hrstd="t" o:hr="t"/>
        </w:pict>
      </w:r>
    </w:p>
    <w:bookmarkEnd w:id="27"/>
    <w:bookmarkStart w:id="28" w:name="北京国际车展公众日开幕38万平方米创全球汽车展览纪录首日引爆消费热情"/>
    <w:p>
      <w:pPr>
        <w:pStyle w:val="Heading3"/>
      </w:pPr>
      <w:r>
        <w:rPr>
          <w:rFonts w:hint="eastAsia"/>
        </w:rPr>
        <w:t xml:space="preserve">2026北京国际车展公众日开幕：38万平方米创全球汽车展览纪录，首日引爆消费热情</w:t>
      </w:r>
    </w:p>
    <w:p>
      <w:pPr>
        <w:pStyle w:val="FirstParagraph"/>
      </w:pPr>
      <w:r>
        <w:rPr>
          <w:rFonts w:hint="eastAsia"/>
          <w:b/>
          <w:bCs/>
        </w:rPr>
        <w:t xml:space="preserve">摘要</w:t>
      </w:r>
    </w:p>
    <w:p>
      <w:pPr>
        <w:pStyle w:val="BodyText"/>
      </w:pPr>
      <w:r>
        <w:rPr>
          <w:rFonts w:hint="eastAsia"/>
        </w:rPr>
        <w:t xml:space="preserve">2026年北京国际汽车展览会（Auto</w:t>
      </w:r>
      <w:r>
        <w:t xml:space="preserve"> China </w:t>
      </w:r>
      <w:r>
        <w:rPr>
          <w:rFonts w:hint="eastAsia"/>
        </w:rPr>
        <w:t xml:space="preserve">2026）4月24日正式向公众开放（持续至5月3日），成为全球迄今规模最大的汽车展览盛事：展览总面积38万平方米（17个展馆），展车总数1451辆，其中全球及中国首发车型181款、概念车71款，媒体日期间共举行212场新闻发布会。大众集团以「在中国为中国」为口号发布四款纯电动全球首发，宣布以每两周一款新车节奏推出逾20款电动化车型，联合地平线机器人开发的AI智能座舱将于2026年下半年率先在中国市场专属车型落地。蔚来发布全球首款量产5纳米车规级自动驾驶芯片（神玑NX9031），比亚迪、小米、吉利、小鹏均推出旗舰新品。</w:t>
      </w:r>
    </w:p>
    <w:p>
      <w:pPr>
        <w:pStyle w:val="BodyText"/>
      </w:pPr>
      <w:r>
        <w:rPr>
          <w:rFonts w:hint="eastAsia"/>
          <w:b/>
          <w:bCs/>
        </w:rPr>
        <w:t xml:space="preserve">分析</w:t>
      </w:r>
    </w:p>
    <w:p>
      <w:pPr>
        <w:pStyle w:val="BodyText"/>
      </w:pPr>
      <w:r>
        <w:rPr>
          <w:rFonts w:hint="eastAsia"/>
        </w:rPr>
        <w:t xml:space="preserve">行业分析师认为，北京车展以181款首发新车的密度「宣示了中国在全球汽车行业转型中的核心枢纽地位」；Car</w:t>
      </w:r>
      <w:r>
        <w:t xml:space="preserve"> News </w:t>
      </w:r>
      <w:r>
        <w:rPr>
          <w:rFonts w:hint="eastAsia"/>
        </w:rPr>
        <w:t xml:space="preserve">China评论指出，外资车企将AI智能座舱联合开发本土化意味着「中国本土AI供应商在智能汽车领域已获得国际主流车企的技术认可」，合资合作模式正从传统动力总成向智能化核心技术延伸。</w:t>
      </w:r>
    </w:p>
    <w:p>
      <w:pPr>
        <w:pStyle w:val="BodyText"/>
      </w:pPr>
      <w:r>
        <w:rPr>
          <w:b/>
          <w:bCs/>
        </w:rPr>
        <w:t xml:space="preserve">References</w:t>
      </w:r>
    </w:p>
    <w:p>
      <w:pPr>
        <w:pStyle w:val="BodyText"/>
      </w:pPr>
      <w:r>
        <w:t xml:space="preserve">[26] Car News China. (2026, April 21). Here are all key stories to watch at 2026 Beijing Auto Show, as year’s biggest EV event opens Friday. Car News China. https://carnewschina.com/2026/04/21/here-are-all-key-stories-to-watch-at-2026-beijing-auto-show-as-years-biggest-ev-event-opens-friday/</w:t>
      </w:r>
      <w:r>
        <w:t xml:space="preserve"> </w:t>
      </w:r>
      <w:r>
        <w:t xml:space="preserve">[27] Volkswagen Group. (2026, April 21).</w:t>
      </w:r>
      <w:r>
        <w:t xml:space="preserve"> </w:t>
      </w:r>
      <w:r>
        <w:t xml:space="preserve">“In China, for China”</w:t>
      </w:r>
      <w:r>
        <w:t xml:space="preserve">: Four world premieres and the latest AI-powered systems make their debut at the Volkswagen Group Night in Beijing. Volkswagen Group Press. https://www.volkswagen-group.com/en/press-releases/in-china-for-china-four-world-premieres-and-the-latest-ai-powered-systems-make-their-debut-at-the-volkswagen-group-night-in-beijing-20288</w:t>
      </w:r>
    </w:p>
    <w:p>
      <w:r>
        <w:pict>
          <v:rect style="width:0;height:1.5pt" o:hralign="center" o:hrstd="t" o:hr="t"/>
        </w:pic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2026-04-24T08:16:25Z</dcterms:created>
  <dcterms:modified xsi:type="dcterms:W3CDTF">2026-04-24T08:16:25Z</dcterms:modified>
</cp:coreProperties>
</file>

<file path=docProps/custom.xml><?xml version="1.0" encoding="utf-8"?>
<Properties xmlns="http://schemas.openxmlformats.org/officeDocument/2006/custom-properties" xmlns:vt="http://schemas.openxmlformats.org/officeDocument/2006/docPropsVTypes"/>
</file>