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欧洲每日热点新闻-2026年4月27日"/>
    <w:p>
      <w:pPr>
        <w:pStyle w:val="Heading1"/>
      </w:pPr>
      <w:r>
        <w:rPr>
          <w:rFonts w:hint="eastAsia"/>
        </w:rPr>
        <w:t xml:space="preserve">欧洲每日热点新闻</w:t>
      </w:r>
      <w:r>
        <w:t xml:space="preserve"> — </w:t>
      </w:r>
      <w:r>
        <w:rPr>
          <w:rFonts w:hint="eastAsia"/>
        </w:rPr>
        <w:t xml:space="preserve">2026年4月27日</w:t>
      </w:r>
    </w:p>
    <w:bookmarkStart w:id="12" w:name="一经济与市场"/>
    <w:p>
      <w:pPr>
        <w:pStyle w:val="Heading2"/>
      </w:pPr>
      <w:r>
        <w:rPr>
          <w:rFonts w:hint="eastAsia"/>
        </w:rPr>
        <w:t xml:space="preserve">一、经济与市场</w:t>
      </w:r>
    </w:p>
    <w:bookmarkStart w:id="9" w:name="nordex一季度净利润飙升七倍至五千余万欧元"/>
    <w:p>
      <w:pPr>
        <w:pStyle w:val="Heading3"/>
      </w:pPr>
      <w:r>
        <w:rPr>
          <w:rFonts w:hint="eastAsia"/>
        </w:rPr>
        <w:t xml:space="preserve">Nordex一季度净利润飙升七倍至五千余万欧元</w:t>
      </w:r>
    </w:p>
    <w:p>
      <w:pPr>
        <w:pStyle w:val="FirstParagraph"/>
      </w:pPr>
      <w:r>
        <w:rPr>
          <w:rFonts w:hint="eastAsia"/>
          <w:b/>
          <w:bCs/>
        </w:rPr>
        <w:t xml:space="preserve">摘要</w:t>
      </w:r>
    </w:p>
    <w:p>
      <w:pPr>
        <w:pStyle w:val="BodyText"/>
      </w:pPr>
      <w:r>
        <w:rPr>
          <w:rFonts w:hint="eastAsia"/>
        </w:rPr>
        <w:t xml:space="preserve">2026年4月27日，德国风电设备制造商Nordex</w:t>
      </w:r>
      <w:r>
        <w:t xml:space="preserve"> </w:t>
      </w:r>
      <w:r>
        <w:rPr>
          <w:rFonts w:hint="eastAsia"/>
        </w:rPr>
        <w:t xml:space="preserve">SE发布2026年第一季度财报。报告显示，公司当季实现销售收入16亿欧元，同比增长10.6%；EBITDA达1.307亿欧元，同比大增64.3%，EBITDA利润率从5.5%提升至8.2%。净利润从上年同期的790万欧元跃升至5360万欧元，增幅约七倍；EBIT利润率亦从2.4%改善至5.6%。当季公司在13个国家获得1869兆瓦新订单，订单总额达17亿欧元；截至3月底，订单积压规模由上年同期的135亿欧元增至170亿欧元。产量同比增长23.5%至1494兆瓦，在14个国家完成227台风机共1155兆瓦的装机。集团保持18.3亿欧元现金储备及15.2亿欧元净现金头寸，并确认维持2026年全年业绩指引。Nordex首席执行官何塞·路易斯·布兰科（José</w:t>
      </w:r>
      <w:r>
        <w:t xml:space="preserve"> Luis </w:t>
      </w:r>
      <w:r>
        <w:rPr>
          <w:rFonts w:hint="eastAsia"/>
        </w:rPr>
        <w:t xml:space="preserve">Blanco）表示：「我们在运营层面继续保持良好执行力，利润率进一步提升，以强劲的财务状况开启新的一年。」</w:t>
      </w:r>
    </w:p>
    <w:p>
      <w:pPr>
        <w:pStyle w:val="BodyText"/>
      </w:pPr>
      <w:r>
        <w:rPr>
          <w:rFonts w:hint="eastAsia"/>
          <w:b/>
          <w:bCs/>
        </w:rPr>
        <w:t xml:space="preserve">分析</w:t>
      </w:r>
    </w:p>
    <w:p>
      <w:pPr>
        <w:pStyle w:val="BodyText"/>
      </w:pPr>
      <w:r>
        <w:rPr>
          <w:rFonts w:hint="eastAsia"/>
        </w:rPr>
        <w:t xml:space="preserve">Nordex首席执行官布兰科补充称，公司「仍有望完成2026年度业绩指引」。该表态反映出管理层对全年订单前景及利润率持续改善的信心，结合170亿欧元的创纪录订单积压与充裕的现金储备，Nordex在欧洲风电需求加速增长的背景下具备较强的业绩确定性。</w:t>
      </w:r>
    </w:p>
    <w:p>
      <w:pPr>
        <w:pStyle w:val="BodyText"/>
      </w:pPr>
      <w:r>
        <w:rPr>
          <w:b/>
          <w:bCs/>
        </w:rPr>
        <w:t xml:space="preserve">References</w:t>
      </w:r>
    </w:p>
    <w:p>
      <w:pPr>
        <w:pStyle w:val="BodyText"/>
      </w:pPr>
      <w:r>
        <w:t xml:space="preserve">[1] Nordex Corporate Communications. (2026, April 27). Nordex Group reports solid Q1 2026 results with continued margin improvement year-on-year. Nordex SE. https://www.nordex-online.com/en/2026/04/nordex-group-reports-solid-q1-2026-results-with-continued-margin-improvement-year-on-year/</w:t>
      </w:r>
    </w:p>
    <w:p>
      <w:r>
        <w:pict>
          <v:rect style="width:0;height:1.5pt" o:hralign="center" o:hrstd="t" o:hr="t"/>
        </w:pict>
      </w:r>
    </w:p>
    <w:bookmarkEnd w:id="9"/>
    <w:bookmarkStart w:id="10" w:name="道达尔满负荷运转法国最大炼油厂应对中东石油冲击"/>
    <w:p>
      <w:pPr>
        <w:pStyle w:val="Heading3"/>
      </w:pPr>
      <w:r>
        <w:rPr>
          <w:rFonts w:hint="eastAsia"/>
        </w:rPr>
        <w:t xml:space="preserve">道达尔满负荷运转法国最大炼油厂应对中东石油冲击</w:t>
      </w:r>
    </w:p>
    <w:p>
      <w:pPr>
        <w:pStyle w:val="FirstParagraph"/>
      </w:pPr>
      <w:r>
        <w:rPr>
          <w:rFonts w:hint="eastAsia"/>
          <w:b/>
          <w:bCs/>
        </w:rPr>
        <w:t xml:space="preserve">摘要</w:t>
      </w:r>
    </w:p>
    <w:p>
      <w:pPr>
        <w:pStyle w:val="BodyText"/>
      </w:pPr>
      <w:r>
        <w:rPr>
          <w:rFonts w:hint="eastAsia"/>
        </w:rPr>
        <w:t xml:space="preserve">2026年4月27日，法国能源巨头道达尔能源（TotalEnergies）将其位于勒阿弗尔附近的贡弗勒维尔（Gonfreville）炼油厂产能提升至100%，日处理原油约25万桶，以缓解全球能源供应中断对法国的冲击。该设施是法国最大的炼油厂，年加工原油约1200万吨，供应法国约12%的加油站燃料。公司优先生产柴油和航空燃油等中间馏分产品，以保障受价格波动影响最大的物流和航空领域。此举源于2026年2月下旬伊朗-美国-以色列冲突导致霍尔木兹海峡关闭，大量油轮被迫绕行好望角，运输周期延长数周，欧洲燃油供应趋紧。此前贡弗勒维尔炼油厂约五分之一的原油来自海湾地区，现已改为从美国、欧洲和非洲采购。道达尔能源表示：「工业园区内每一个生产单元都在被充分利用，以确保炼油过程尽可能高效。」但公司官员承认，柴油和航空燃油增产幅度「最多不超过5%」。欧洲新闻网（Euronews）对此进行了详细报道。</w:t>
      </w:r>
    </w:p>
    <w:p>
      <w:pPr>
        <w:pStyle w:val="BodyText"/>
      </w:pPr>
      <w:r>
        <w:rPr>
          <w:rFonts w:hint="eastAsia"/>
          <w:b/>
          <w:bCs/>
        </w:rPr>
        <w:t xml:space="preserve">分析</w:t>
      </w:r>
    </w:p>
    <w:p>
      <w:pPr>
        <w:pStyle w:val="BodyText"/>
      </w:pPr>
      <w:r>
        <w:rPr>
          <w:rFonts w:hint="eastAsia"/>
        </w:rPr>
        <w:t xml:space="preserve">能源分析师将贡弗勒维尔炼油厂描述为「抵御全球物流障碍所引发通胀压力的首要屏障」。道达尔能源强调正全力优化设施利用率，但增产空间有限，凸显出欧洲在中东供应链中断背景下炼油产能的结构性瓶颈。</w:t>
      </w:r>
    </w:p>
    <w:p>
      <w:pPr>
        <w:pStyle w:val="BodyText"/>
      </w:pPr>
      <w:r>
        <w:rPr>
          <w:b/>
          <w:bCs/>
        </w:rPr>
        <w:t xml:space="preserve">References</w:t>
      </w:r>
    </w:p>
    <w:p>
      <w:pPr>
        <w:pStyle w:val="BodyText"/>
      </w:pPr>
      <w:r>
        <w:t xml:space="preserve">[2] Mealha, Q. (2026, April 27). TotalEnergies maximises production at major refinery to secure French fuel supply. Euronews. https://www.euronews.com/business/2026/04/27/totalenergies-maximises-production-at-major-refinery-to-secure-french-fuel-supply</w:t>
      </w:r>
    </w:p>
    <w:p>
      <w:r>
        <w:pict>
          <v:rect style="width:0;height:1.5pt" o:hralign="center" o:hrstd="t" o:hr="t"/>
        </w:pict>
      </w:r>
    </w:p>
    <w:bookmarkEnd w:id="10"/>
    <w:bookmarkStart w:id="11" w:name="eu三批次债券拍卖总额达70亿欧元"/>
    <w:p>
      <w:pPr>
        <w:pStyle w:val="Heading3"/>
      </w:pPr>
      <w:r>
        <w:rPr>
          <w:rFonts w:hint="eastAsia"/>
        </w:rPr>
        <w:t xml:space="preserve">EU三批次债券拍卖总额达70亿欧元</w:t>
      </w:r>
    </w:p>
    <w:p>
      <w:pPr>
        <w:pStyle w:val="FirstParagraph"/>
      </w:pPr>
      <w:r>
        <w:rPr>
          <w:rFonts w:hint="eastAsia"/>
          <w:b/>
          <w:bCs/>
        </w:rPr>
        <w:t xml:space="preserve">摘要</w:t>
      </w:r>
    </w:p>
    <w:p>
      <w:pPr>
        <w:pStyle w:val="BodyText"/>
      </w:pPr>
      <w:r>
        <w:rPr>
          <w:rFonts w:hint="eastAsia"/>
        </w:rPr>
        <w:t xml:space="preserve">2026年4月27日，欧盟委员会代表欧盟执行竞争性债券拍卖，共发行三批次EU债券，总规模高达70亿欧元。第一批次债券于2031年12月4日到期，票面利率2.500%，发行规模至多25亿欧元；第二批次于2036年12月12日到期，票面利率3.250%，发行规模至多30亿欧元；第三批次于2044年4月4日到期，票面利率4.000%，发行规模至多15亿欧元。竞争性投标于中欧时间4月27日上午11时30分截止，竞争性拍卖交割日为4月29日，非竞争性交割日为4月30日。此次拍卖面向EU一级交易商网络成员开放。欧盟委员会于4月22日正式公布了拍卖安排。该拍卖是EU在资本市场持续融资的组成部分，三个批次覆盖5年至18年不等的期限，体现了「短中长期搭配」的发行策略。</w:t>
      </w:r>
    </w:p>
    <w:p>
      <w:pPr>
        <w:pStyle w:val="BodyText"/>
      </w:pPr>
      <w:r>
        <w:rPr>
          <w:b/>
          <w:bCs/>
        </w:rPr>
        <w:t xml:space="preserve">References</w:t>
      </w:r>
    </w:p>
    <w:p>
      <w:pPr>
        <w:pStyle w:val="BodyText"/>
      </w:pPr>
      <w:r>
        <w:t xml:space="preserve">[3] European Commission. (2026, April 22). Announcement of next auction of EU-Bonds on 27/04/2026. European Commission. https://commission.europa.eu/news-and-media/news/announcement-next-auction-eu-bonds-27-04-2026-2026-04-22_en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欧洲议会全会辩论全欧基于同意的强奸立法定义"/>
    <w:p>
      <w:pPr>
        <w:pStyle w:val="Heading3"/>
      </w:pPr>
      <w:r>
        <w:rPr>
          <w:rFonts w:hint="eastAsia"/>
        </w:rPr>
        <w:t xml:space="preserve">欧洲议会全会辩论全欧基于同意的强奸立法定义</w:t>
      </w:r>
    </w:p>
    <w:p>
      <w:pPr>
        <w:pStyle w:val="FirstParagraph"/>
      </w:pPr>
      <w:r>
        <w:rPr>
          <w:rFonts w:hint="eastAsia"/>
          <w:b/>
          <w:bCs/>
        </w:rPr>
        <w:t xml:space="preserve">摘要</w:t>
      </w:r>
    </w:p>
    <w:p>
      <w:pPr>
        <w:pStyle w:val="BodyText"/>
      </w:pPr>
      <w:r>
        <w:rPr>
          <w:rFonts w:hint="eastAsia"/>
        </w:rPr>
        <w:t xml:space="preserve">2026年4月27日，欧洲议会在斯特拉斯堡开启4月27日至30日全会议程，首日下午就推动EU范围内基于同意原则的强奸立法定义展开辩论。该报告由欧洲议会议员埃文·因奇尔（Evin</w:t>
      </w:r>
      <w:r>
        <w:t xml:space="preserve"> </w:t>
      </w:r>
      <w:r>
        <w:rPr>
          <w:rFonts w:hint="eastAsia"/>
        </w:rPr>
        <w:t xml:space="preserve">Incir，社会民主党团，瑞典）和乔安娜·舍林-维尔古斯（Joanna</w:t>
      </w:r>
      <w:r>
        <w:t xml:space="preserve"> </w:t>
      </w:r>
      <w:r>
        <w:rPr>
          <w:rFonts w:hint="eastAsia"/>
        </w:rPr>
        <w:t xml:space="preserve">Scheuring-Wielgus，社会民主党团，波兰）共同起草，此前已在公民自由委员会与妇女权利委员会联合投票中以75票赞成、27票反对、3票弃权获得通过。报告呼吁欧盟委员会提出立法，确立全欧统一的基于同意原则的强奸定义，作为2024年反对针对妇女暴力及家庭暴力指令的补充。议员们还要求对执法人员、法官、检察官、医疗专业人员和一线服务人员进行强制培训。欧盟平等事务委员哈贾·拉赫比卜（Hadja</w:t>
      </w:r>
      <w:r>
        <w:t xml:space="preserve"> </w:t>
      </w:r>
      <w:r>
        <w:rPr>
          <w:rFonts w:hint="eastAsia"/>
        </w:rPr>
        <w:t xml:space="preserve">Lahbib）出席了相关辩论。全会共列入23项议程，还包括2028-2034年EU预算谈判授权投票、中东危机与能源安全战略辩论及追究俄罗斯袭击乌克兰平民责任的决议。</w:t>
      </w:r>
    </w:p>
    <w:p>
      <w:pPr>
        <w:pStyle w:val="BodyText"/>
      </w:pPr>
      <w:r>
        <w:rPr>
          <w:rFonts w:hint="eastAsia"/>
          <w:b/>
          <w:bCs/>
        </w:rPr>
        <w:t xml:space="preserve">分析</w:t>
      </w:r>
    </w:p>
    <w:p>
      <w:pPr>
        <w:pStyle w:val="BodyText"/>
      </w:pPr>
      <w:r>
        <w:rPr>
          <w:rFonts w:hint="eastAsia"/>
        </w:rPr>
        <w:t xml:space="preserve">欧洲议会报告明确指出「缺乏同意必须成为强奸诉讼的核心要素」。复兴欧洲党团联署修正案，引入强制性执法培训和性教育要求，议员阿比尔·萨赫拉尼（Abir</w:t>
      </w:r>
      <w:r>
        <w:t xml:space="preserve"> </w:t>
      </w:r>
      <w:r>
        <w:rPr>
          <w:rFonts w:hint="eastAsia"/>
        </w:rPr>
        <w:t xml:space="preserve">Al-Sahlani）和安娜-玛雅·亨里克松（Anna-Maja</w:t>
      </w:r>
      <w:r>
        <w:t xml:space="preserve"> </w:t>
      </w:r>
      <w:r>
        <w:rPr>
          <w:rFonts w:hint="eastAsia"/>
        </w:rPr>
        <w:t xml:space="preserve">Henriksson）被列为关键推动者。这一立法进程标志着EU在性暴力犯罪定义标准统一方面迈出重要一步。</w:t>
      </w:r>
    </w:p>
    <w:p>
      <w:pPr>
        <w:pStyle w:val="BodyText"/>
      </w:pPr>
      <w:r>
        <w:rPr>
          <w:b/>
          <w:bCs/>
        </w:rPr>
        <w:t xml:space="preserve">References</w:t>
      </w:r>
    </w:p>
    <w:p>
      <w:pPr>
        <w:pStyle w:val="BodyText"/>
      </w:pPr>
      <w:r>
        <w:t xml:space="preserve">[4] European Parliament Press Service. (2026, April 27). Plenary news — April 27-30, 2026. European Parliament. https://www.europarl.europa.eu/news/en/agenda/plenary-news/2026-04-27</w:t>
      </w:r>
    </w:p>
    <w:p>
      <w:r>
        <w:pict>
          <v:rect style="width:0;height:1.5pt" o:hralign="center" o:hrstd="t" o:hr="t"/>
        </w:pict>
      </w:r>
    </w:p>
    <w:bookmarkEnd w:id="13"/>
    <w:bookmarkStart w:id="14" w:name="中国威胁对eu欧洲制造产业加速法案采取反制措施"/>
    <w:p>
      <w:pPr>
        <w:pStyle w:val="Heading3"/>
      </w:pPr>
      <w:r>
        <w:rPr>
          <w:rFonts w:hint="eastAsia"/>
        </w:rPr>
        <w:t xml:space="preserve">中国威胁对EU「欧洲制造」产业加速法案采取反制措施</w:t>
      </w:r>
    </w:p>
    <w:p>
      <w:pPr>
        <w:pStyle w:val="FirstParagraph"/>
      </w:pPr>
      <w:r>
        <w:rPr>
          <w:rFonts w:hint="eastAsia"/>
          <w:b/>
          <w:bCs/>
        </w:rPr>
        <w:t xml:space="preserve">摘要</w:t>
      </w:r>
    </w:p>
    <w:p>
      <w:pPr>
        <w:pStyle w:val="BodyText"/>
      </w:pPr>
      <w:r>
        <w:rPr>
          <w:rFonts w:hint="eastAsia"/>
        </w:rPr>
        <w:t xml:space="preserve">2026年4月27日，中国商务部发表正式公开声明，批评欧盟于2026年3月推出的「产业加速法案」（Industrial</w:t>
      </w:r>
      <w:r>
        <w:t xml:space="preserve"> Acceleration </w:t>
      </w:r>
      <w:r>
        <w:rPr>
          <w:rFonts w:hint="eastAsia"/>
        </w:rPr>
        <w:t xml:space="preserve">Act），该法案旨在提振对低碳欧洲制造技术和产品的需求。中方于4月24日（周五）已向EU领导层正式提出关切，并于周一公开表态。中国商务部发言人指出，公共采购和EU支持政策中优先给予「EU原产地」认定的做法构成「投资壁垒和制度性歧视」，可能违反世界贸易组织（WTO）原则。该法案覆盖三大战略领域：清洁技术、汽车制造以及铝、钢铁、水泥等高耗能行业，拟设定电动汽车70%、铝25%、水泥25%的EU含量门槛。欧盟委员塞茹尔内（Stéphane</w:t>
      </w:r>
      <w:r>
        <w:t xml:space="preserve"> </w:t>
      </w:r>
      <w:r>
        <w:rPr>
          <w:rFonts w:hint="eastAsia"/>
        </w:rPr>
        <w:t xml:space="preserve">Séjourné）表示，此举旨在「通过将纳税人资金导向欧洲生产来创造就业机会，减少依赖并增强经济安全与主权」。自2024年以来，欧洲高耗能和汽车行业已流失逾20万个岗位，预计本十年内汽车制造业还将再减少60万个岗位。中国商务部警告：「如果EU执意推进该立法，从而损害中国企业利益，中国将别无选择，只能采取反制措施，坚决维护本国企业的合法权益。」</w:t>
      </w:r>
    </w:p>
    <w:p>
      <w:pPr>
        <w:pStyle w:val="BodyText"/>
      </w:pPr>
      <w:r>
        <w:rPr>
          <w:rFonts w:hint="eastAsia"/>
          <w:b/>
          <w:bCs/>
        </w:rPr>
        <w:t xml:space="preserve">分析</w:t>
      </w:r>
    </w:p>
    <w:p>
      <w:pPr>
        <w:pStyle w:val="BodyText"/>
      </w:pPr>
      <w:r>
        <w:rPr>
          <w:rFonts w:hint="eastAsia"/>
        </w:rPr>
        <w:t xml:space="preserve">欧盟委员塞茹尔内将法案定位为「通过将纳税人资金导向欧洲生产来创造就业机会，减少依赖并增强经济安全与主权」的战略性举措。中国商务部则明确回应：「如果EU执意推进该立法，从而损害中国企业利益，中国将别无选择，只能采取反制措施。」双方立场尖锐对立，折射出中欧在产业政策与贸易规则上的深层博弈。</w:t>
      </w:r>
    </w:p>
    <w:p>
      <w:pPr>
        <w:pStyle w:val="BodyText"/>
      </w:pPr>
      <w:r>
        <w:rPr>
          <w:b/>
          <w:bCs/>
        </w:rPr>
        <w:t xml:space="preserve">References</w:t>
      </w:r>
    </w:p>
    <w:p>
      <w:pPr>
        <w:pStyle w:val="BodyText"/>
      </w:pPr>
      <w:r>
        <w:t xml:space="preserve">[5] Skujins, A. (2026, April 27). China slams</w:t>
      </w:r>
      <w:r>
        <w:t xml:space="preserve"> </w:t>
      </w:r>
      <w:r>
        <w:t xml:space="preserve">‘Made in Europe’</w:t>
      </w:r>
      <w:r>
        <w:t xml:space="preserve"> </w:t>
      </w:r>
      <w:r>
        <w:t xml:space="preserve">push, mulls retaliation. Euronews. https://www.euronews.com/business/2026/04/27/china-slams-made-in-europe-push-mulls-retaliation</w:t>
      </w:r>
    </w:p>
    <w:p>
      <w:r>
        <w:pict>
          <v:rect style="width:0;height:1.5pt" o:hralign="center" o:hrstd="t" o:hr="t"/>
        </w:pict>
      </w:r>
    </w:p>
    <w:bookmarkEnd w:id="14"/>
    <w:bookmarkStart w:id="15" w:name="eu农渔业理事会讨论野火防控与后2027年共同农业政策设计"/>
    <w:p>
      <w:pPr>
        <w:pStyle w:val="Heading3"/>
      </w:pPr>
      <w:r>
        <w:rPr>
          <w:rFonts w:hint="eastAsia"/>
        </w:rPr>
        <w:t xml:space="preserve">EU农渔业理事会讨论野火防控与后2027年共同农业政策设计</w:t>
      </w:r>
    </w:p>
    <w:p>
      <w:pPr>
        <w:pStyle w:val="FirstParagraph"/>
      </w:pPr>
      <w:r>
        <w:rPr>
          <w:rFonts w:hint="eastAsia"/>
          <w:b/>
          <w:bCs/>
        </w:rPr>
        <w:t xml:space="preserve">摘要</w:t>
      </w:r>
    </w:p>
    <w:p>
      <w:pPr>
        <w:pStyle w:val="BodyText"/>
      </w:pPr>
      <w:r>
        <w:rPr>
          <w:rFonts w:hint="eastAsia"/>
        </w:rPr>
        <w:t xml:space="preserve">2026年4月27日，EU农业与渔业理事会（AgriFish）在卢森堡召开会议，欧盟农业与食品委员克里斯托夫·汉森（Christophe</w:t>
      </w:r>
      <w:r>
        <w:t xml:space="preserve"> </w:t>
      </w:r>
      <w:r>
        <w:rPr>
          <w:rFonts w:hint="eastAsia"/>
        </w:rPr>
        <w:t xml:space="preserve">Hansen）出席。会上，欧盟委员会首先做了专题报告，各成员国部长随后就农业和森林管理在野火防控及增强景观韧性中的作用交换了意见。部长们还围绕2027年后共同农业政策（CAP）提案进行了结构化讨论，重点聚焦新一轮收入支持工具的关键设计选择及如何在下一个规划期内构建对农民的直接支付体系。本次CAP改革讨论正值欧盟委员会准备提出后2027年农业立法框架之际，新框架需同时兼顾气候目标与农民收入保障需求。会议于当日上午9时30分开始，围绕欧洲农业的可持续发展方向展开了深入磋商。</w:t>
      </w:r>
    </w:p>
    <w:p>
      <w:pPr>
        <w:pStyle w:val="BodyText"/>
      </w:pPr>
      <w:r>
        <w:rPr>
          <w:b/>
          <w:bCs/>
        </w:rPr>
        <w:t xml:space="preserve">References</w:t>
      </w:r>
    </w:p>
    <w:p>
      <w:pPr>
        <w:pStyle w:val="BodyText"/>
      </w:pPr>
      <w:r>
        <w:t xml:space="preserve">[6] Council of the European Union. (2026, April 27). Agriculture and Fisheries Council meeting, 27 April 2026. Council of the EU. https://www.consilium.europa.eu/en/meetings/agrifish/2026/04/27/</w:t>
      </w:r>
    </w:p>
    <w:p>
      <w:r>
        <w:pict>
          <v:rect style="width:0;height:1.5pt" o:hralign="center" o:hrstd="t" o:hr="t"/>
        </w:pict>
      </w:r>
    </w:p>
    <w:bookmarkEnd w:id="15"/>
    <w:bookmarkEnd w:id="16"/>
    <w:bookmarkStart w:id="21" w:name="三科技与产业"/>
    <w:p>
      <w:pPr>
        <w:pStyle w:val="Heading2"/>
      </w:pPr>
      <w:r>
        <w:rPr>
          <w:rFonts w:hint="eastAsia"/>
        </w:rPr>
        <w:t xml:space="preserve">三、科技与产业</w:t>
      </w:r>
    </w:p>
    <w:bookmarkStart w:id="17" w:name="英德签署关键矿产与人工智能战略合作协议"/>
    <w:p>
      <w:pPr>
        <w:pStyle w:val="Heading3"/>
      </w:pPr>
      <w:r>
        <w:rPr>
          <w:rFonts w:hint="eastAsia"/>
        </w:rPr>
        <w:t xml:space="preserve">英德签署关键矿产与人工智能战略合作协议</w:t>
      </w:r>
    </w:p>
    <w:p>
      <w:pPr>
        <w:pStyle w:val="FirstParagraph"/>
      </w:pPr>
      <w:r>
        <w:rPr>
          <w:rFonts w:hint="eastAsia"/>
          <w:b/>
          <w:bCs/>
        </w:rPr>
        <w:t xml:space="preserve">摘要</w:t>
      </w:r>
    </w:p>
    <w:p>
      <w:pPr>
        <w:pStyle w:val="BodyText"/>
      </w:pPr>
      <w:r>
        <w:rPr>
          <w:rFonts w:hint="eastAsia"/>
        </w:rPr>
        <w:t xml:space="preserve">2026年4月27日，英国商务大臣彼得·凯尔（Peter</w:t>
      </w:r>
      <w:r>
        <w:t xml:space="preserve"> </w:t>
      </w:r>
      <w:r>
        <w:rPr>
          <w:rFonts w:hint="eastAsia"/>
        </w:rPr>
        <w:t xml:space="preserve">Kyle）与德国经济部长卡特琳娜·赖歇（Katherina</w:t>
      </w:r>
      <w:r>
        <w:t xml:space="preserve"> </w:t>
      </w:r>
      <w:r>
        <w:rPr>
          <w:rFonts w:hint="eastAsia"/>
        </w:rPr>
        <w:t xml:space="preserve">Reiche）在柏林举行的德英经济论坛上签署了一项关于稀土矿产的战略合作协议。两国还宣布将在人工智能领域深化合作，英国将加入EU的「AI冠军」（AI</w:t>
      </w:r>
      <w:r>
        <w:t xml:space="preserve"> </w:t>
      </w:r>
      <w:r>
        <w:rPr>
          <w:rFonts w:hint="eastAsia"/>
        </w:rPr>
        <w:t xml:space="preserve">Champions）倡议。凯尔表示：「在人工智能竞赛中，我们必须尽可能地携手合作。」他指出，「在整个欧洲大陆没有一家万亿美元级别的公司」，不同于美国和中国的现状，并认为单一欧洲国家「不太可能」诞生新的科技巨头，但通过多国及多企业合作则「完全可以实现」。凯尔还强调：「关键矿产是我们所需经济安全的基石。」该协议也呼应了更广泛的国际协调努力——4月24日，美国国务卿马尔科·鲁比奥（Marco</w:t>
      </w:r>
      <w:r>
        <w:t xml:space="preserve"> </w:t>
      </w:r>
      <w:r>
        <w:rPr>
          <w:rFonts w:hint="eastAsia"/>
        </w:rPr>
        <w:t xml:space="preserve">Rubio）与EU贸易委员马罗什·谢夫乔维奇（Maroš</w:t>
      </w:r>
      <w:r>
        <w:t xml:space="preserve"> </w:t>
      </w:r>
      <w:r>
        <w:rPr>
          <w:rFonts w:hint="eastAsia"/>
        </w:rPr>
        <w:t xml:space="preserve">Šefčovič）签署了美欧关键矿产谅解备忘录，涵盖补贴、战略储备及联合标准等领域。路透社（Reuters）旗下市场筛选网（MarketScreener）对此进行了报道。</w:t>
      </w:r>
    </w:p>
    <w:p>
      <w:pPr>
        <w:pStyle w:val="BodyText"/>
      </w:pPr>
      <w:r>
        <w:rPr>
          <w:rFonts w:hint="eastAsia"/>
          <w:b/>
          <w:bCs/>
        </w:rPr>
        <w:t xml:space="preserve">分析</w:t>
      </w:r>
    </w:p>
    <w:p>
      <w:pPr>
        <w:pStyle w:val="BodyText"/>
      </w:pPr>
      <w:r>
        <w:rPr>
          <w:rFonts w:hint="eastAsia"/>
        </w:rPr>
        <w:t xml:space="preserve">英国商务大臣凯尔表示：「在人工智能竞赛中，我们必须尽可能地携手合作。」他将诞生新的AI科技巨头的前景描述为单一欧洲国家「不太可能」实现，但通过跨国协作则「完全可以实现」。这一判断凸显出欧洲在全球科技竞争中面临的规模劣势以及深化合作的紧迫性。</w:t>
      </w:r>
    </w:p>
    <w:p>
      <w:pPr>
        <w:pStyle w:val="BodyText"/>
      </w:pPr>
      <w:r>
        <w:rPr>
          <w:b/>
          <w:bCs/>
        </w:rPr>
        <w:t xml:space="preserve">References</w:t>
      </w:r>
    </w:p>
    <w:p>
      <w:pPr>
        <w:pStyle w:val="BodyText"/>
      </w:pPr>
      <w:r>
        <w:t xml:space="preserve">[7] Reuters. (2026, April 27). Germany, UK to deepen cooperation on critical minerals and AI. MarketScreener. https://www.marketscreener.com/news/germany-uk-to-deepen-cooperation-on-critical-minerals-and-ai-ce7f59dcd180f121</w:t>
      </w:r>
    </w:p>
    <w:p>
      <w:r>
        <w:pict>
          <v:rect style="width:0;height:1.5pt" o:hralign="center" o:hrstd="t" o:hr="t"/>
        </w:pict>
      </w:r>
    </w:p>
    <w:bookmarkEnd w:id="17"/>
    <w:bookmarkStart w:id="18" w:name="欧洲广播机构警告数字公平法案不应误伤媒体出版商"/>
    <w:p>
      <w:pPr>
        <w:pStyle w:val="Heading3"/>
      </w:pPr>
      <w:r>
        <w:rPr>
          <w:rFonts w:hint="eastAsia"/>
        </w:rPr>
        <w:t xml:space="preserve">欧洲广播机构警告数字公平法案不应误伤媒体出版商</w:t>
      </w:r>
    </w:p>
    <w:p>
      <w:pPr>
        <w:pStyle w:val="FirstParagraph"/>
      </w:pPr>
      <w:r>
        <w:rPr>
          <w:rFonts w:hint="eastAsia"/>
          <w:b/>
          <w:bCs/>
        </w:rPr>
        <w:t xml:space="preserve">摘要</w:t>
      </w:r>
    </w:p>
    <w:p>
      <w:pPr>
        <w:pStyle w:val="BodyText"/>
      </w:pPr>
      <w:r>
        <w:rPr>
          <w:rFonts w:hint="eastAsia"/>
        </w:rPr>
        <w:t xml:space="preserve">2026年4月27日，欧洲最大的广播公司和媒体机构正式警告EU监管机构，计划推出的「数字公平法案」（Digital</w:t>
      </w:r>
      <w:r>
        <w:t xml:space="preserve"> Fairness </w:t>
      </w:r>
      <w:r>
        <w:rPr>
          <w:rFonts w:hint="eastAsia"/>
        </w:rPr>
        <w:t xml:space="preserve">Act）必须将监管重点对准科技平台，而非已受严格行业监管的出版商和广播机构。该法案由EU司法委员迈克尔·麦格拉斯（Michael</w:t>
      </w:r>
      <w:r>
        <w:t xml:space="preserve"> </w:t>
      </w:r>
      <w:r>
        <w:rPr>
          <w:rFonts w:hint="eastAsia"/>
        </w:rPr>
        <w:t xml:space="preserve">McGrath）负责推进，预计于2026年底出台，旨在打击暗黑模式、成瘾性产品设计、欺骗性网红营销、定价策略和订阅陷阱等数字领域不当行为。欧洲商业电视和视频点播服务协会（ACT）的成员包括Canal+、RTL、Mediaset、ITV、Paramount+、NBCUniversal、华特迪士尼（Walt</w:t>
      </w:r>
      <w:r>
        <w:t xml:space="preserve"> </w:t>
      </w:r>
      <w:r>
        <w:rPr>
          <w:rFonts w:hint="eastAsia"/>
        </w:rPr>
        <w:t xml:space="preserve">Disney）、华纳兄弟探索（Warner</w:t>
      </w:r>
      <w:r>
        <w:t xml:space="preserve"> Bros </w:t>
      </w:r>
      <w:r>
        <w:rPr>
          <w:rFonts w:hint="eastAsia"/>
        </w:rPr>
        <w:t xml:space="preserve">Discovery）、Sky和TF1集团。联合签署方还包括欧洲广播协会、欧洲杂志媒体协会、欧洲出版商理事会、欧洲视频点播联盟和美国电影协会欧洲中东非洲分部。媒体机构声明：「新措施必须聚焦于数字环境中仍存在重大责任缺口的领域，而非我们这些已维持高编辑标准的受严格监管行业。」该声明由塞浦路斯邮报（Cyprus</w:t>
      </w:r>
      <w:r>
        <w:t xml:space="preserve"> </w:t>
      </w:r>
      <w:r>
        <w:rPr>
          <w:rFonts w:hint="eastAsia"/>
        </w:rPr>
        <w:t xml:space="preserve">Mail）转引路透社（Reuters）报道。</w:t>
      </w:r>
    </w:p>
    <w:p>
      <w:pPr>
        <w:pStyle w:val="BodyText"/>
      </w:pPr>
      <w:r>
        <w:rPr>
          <w:rFonts w:hint="eastAsia"/>
          <w:b/>
          <w:bCs/>
        </w:rPr>
        <w:t xml:space="preserve">分析</w:t>
      </w:r>
    </w:p>
    <w:p>
      <w:pPr>
        <w:pStyle w:val="BodyText"/>
      </w:pPr>
      <w:r>
        <w:rPr>
          <w:rFonts w:hint="eastAsia"/>
        </w:rPr>
        <w:t xml:space="preserve">ACT及其联盟伙伴明确表示：「新措施必须聚焦于数字环境中仍存在重大责任缺口的领域，而非我们这些已维持高编辑标准的受严格监管行业。」这一立场反映出传统媒体行业对「一刀切」式数字监管可能带来额外合规负担的深切忧虑。</w:t>
      </w:r>
    </w:p>
    <w:p>
      <w:pPr>
        <w:pStyle w:val="BodyText"/>
      </w:pPr>
      <w:r>
        <w:rPr>
          <w:b/>
          <w:bCs/>
        </w:rPr>
        <w:t xml:space="preserve">References</w:t>
      </w:r>
    </w:p>
    <w:p>
      <w:pPr>
        <w:pStyle w:val="BodyText"/>
      </w:pPr>
      <w:r>
        <w:t xml:space="preserve">[8] Reuters News Service. (2026, April 27). Media giants warn EU digital law could harm publishers. Cyprus Mail. https://cyprus-mail.com/2026/04/27/media-giants-warn-eu-digital-law-could-harm-publishers</w:t>
      </w:r>
    </w:p>
    <w:p>
      <w:r>
        <w:pict>
          <v:rect style="width:0;height:1.5pt" o:hralign="center" o:hrstd="t" o:hr="t"/>
        </w:pict>
      </w:r>
    </w:p>
    <w:bookmarkEnd w:id="18"/>
    <w:bookmarkStart w:id="19" w:name="欧洲议会辩论数字市场法执行并要求加强ai服务审查"/>
    <w:p>
      <w:pPr>
        <w:pStyle w:val="Heading3"/>
      </w:pPr>
      <w:r>
        <w:rPr>
          <w:rFonts w:hint="eastAsia"/>
        </w:rPr>
        <w:t xml:space="preserve">欧洲议会辩论数字市场法执行并要求加强AI服务审查</w:t>
      </w:r>
    </w:p>
    <w:p>
      <w:pPr>
        <w:pStyle w:val="FirstParagraph"/>
      </w:pPr>
      <w:r>
        <w:rPr>
          <w:rFonts w:hint="eastAsia"/>
          <w:b/>
          <w:bCs/>
        </w:rPr>
        <w:t xml:space="preserve">摘要</w:t>
      </w:r>
    </w:p>
    <w:p>
      <w:pPr>
        <w:pStyle w:val="BodyText"/>
      </w:pPr>
      <w:r>
        <w:rPr>
          <w:rFonts w:hint="eastAsia"/>
        </w:rPr>
        <w:t xml:space="preserve">2026年4月27日，欧洲议会在斯特拉斯堡全会议程中纳入了数字市场法（DMA）执行辩论，议员们要求加快合规程序推进并加强对大型科技平台提供的AI驱动数字服务的审查力度。全会简报显示，DMA执行问题获得高度关注，议员们呼吁欧盟委员会加快针对大型科技平台的DMA合规程序，并对在数字市场中发挥守门人功能的AI服务实施更严格监管。全会还涉及EU网络霸凌立法优先事项、2028-2034年EU预算及其对数字投资项目的影响，以及与AI应用相关的EU竞争力措施，以弥补德拉吉报告（Draghi</w:t>
      </w:r>
      <w:r>
        <w:t xml:space="preserve"> </w:t>
      </w:r>
      <w:r>
        <w:rPr>
          <w:rFonts w:hint="eastAsia"/>
        </w:rPr>
        <w:t xml:space="preserve">report）中识别的投资缺口。复兴欧洲党团呼吁「动员私人资本」以弥合「每年超过7500亿欧元的投资缺口」。本次辩论标志着欧洲议会在数字监管执行层面持续施压。</w:t>
      </w:r>
    </w:p>
    <w:p>
      <w:pPr>
        <w:pStyle w:val="BodyText"/>
      </w:pPr>
      <w:r>
        <w:rPr>
          <w:b/>
          <w:bCs/>
        </w:rPr>
        <w:t xml:space="preserve">References</w:t>
      </w:r>
    </w:p>
    <w:p>
      <w:pPr>
        <w:pStyle w:val="BodyText"/>
      </w:pPr>
      <w:r>
        <w:t xml:space="preserve">[9] European Parliament. (2026, April 27). Plenary session briefing — April 2026. European Parliament. https://www.europarl.europa.eu/pdfs/news/expert/2026/4/briefing/20260420BRI41502/20260420BRI41502_en.pdf</w:t>
      </w:r>
    </w:p>
    <w:p>
      <w:r>
        <w:pict>
          <v:rect style="width:0;height:1.5pt" o:hralign="center" o:hrstd="t" o:hr="t"/>
        </w:pict>
      </w:r>
    </w:p>
    <w:bookmarkEnd w:id="19"/>
    <w:bookmarkStart w:id="20" w:name="欧盟委员会与eib启动百亿欧元生物科技投资倡议"/>
    <w:p>
      <w:pPr>
        <w:pStyle w:val="Heading3"/>
      </w:pPr>
      <w:r>
        <w:rPr>
          <w:rFonts w:hint="eastAsia"/>
        </w:rPr>
        <w:t xml:space="preserve">欧盟委员会与EIB启动百亿欧元生物科技投资倡议</w:t>
      </w:r>
    </w:p>
    <w:p>
      <w:pPr>
        <w:pStyle w:val="FirstParagraph"/>
      </w:pPr>
      <w:r>
        <w:rPr>
          <w:rFonts w:hint="eastAsia"/>
          <w:b/>
          <w:bCs/>
        </w:rPr>
        <w:t xml:space="preserve">摘要</w:t>
      </w:r>
    </w:p>
    <w:p>
      <w:pPr>
        <w:pStyle w:val="BodyText"/>
      </w:pPr>
      <w:r>
        <w:rPr>
          <w:rFonts w:hint="eastAsia"/>
        </w:rPr>
        <w:t xml:space="preserve">2026年4月，欧盟委员会与欧洲投资银行（EIB）集团联合宣布一项新倡议，计划在2026至2027年间动员100亿欧元投资于生物科技和生命科学领域。该倡议旨在增强欧洲的生物制造能力，支持先进治疗药物（ATMPs）的研发——包括CAR-T疗法和基于CRISPR的治疗方案——并加速AI驱动的药物发现平台建设。英国、德国和瑞士的欧洲企业在蛋白质折叠预测和先导化合物优化的AI模型方面处于领先地位。欧洲药品管理局（EMA）2026年批准的ATMPs数量预计将持续增长，从而推动可规模化生产设施的需求。此外，荷兰AI芯片初创企业Euclyd正寻求至少1亿欧元融资用于AI半导体研发，英国Optalysys公司计划进行超1亿美元的融资，法国Arago和英国Fractile也在筹备九位数融资轮次。欧洲投资银行表示，这一倡议将「为欧洲生物科技行业发展注入关键动力」。</w:t>
      </w:r>
    </w:p>
    <w:p>
      <w:pPr>
        <w:pStyle w:val="BodyText"/>
      </w:pPr>
      <w:r>
        <w:rPr>
          <w:b/>
          <w:bCs/>
        </w:rPr>
        <w:t xml:space="preserve">References</w:t>
      </w:r>
    </w:p>
    <w:p>
      <w:pPr>
        <w:pStyle w:val="BodyText"/>
      </w:pPr>
      <w:r>
        <w:t xml:space="preserve">[10] European Investment Bank. (2026, April). European Commission and EIB Group announce new initiative to mobilise EUR 10 billion investment for Europe’s biotech sector. EIB. https://www.eib.org/en/press/news/european-commission-and-eib-group-announce-new-initiative-to-mobilise-eur10-billion-investment-for-europe-s-biotech-sector</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德国一季度良心拒服兵役申请激增至2656份"/>
    <w:p>
      <w:pPr>
        <w:pStyle w:val="Heading3"/>
      </w:pPr>
      <w:r>
        <w:rPr>
          <w:rFonts w:hint="eastAsia"/>
        </w:rPr>
        <w:t xml:space="preserve">德国一季度良心拒服兵役申请激增至2656份</w:t>
      </w:r>
    </w:p>
    <w:p>
      <w:pPr>
        <w:pStyle w:val="FirstParagraph"/>
      </w:pPr>
      <w:r>
        <w:rPr>
          <w:rFonts w:hint="eastAsia"/>
          <w:b/>
          <w:bCs/>
        </w:rPr>
        <w:t xml:space="preserve">摘要</w:t>
      </w:r>
    </w:p>
    <w:p>
      <w:pPr>
        <w:pStyle w:val="BodyText"/>
      </w:pPr>
      <w:r>
        <w:rPr>
          <w:rFonts w:hint="eastAsia"/>
        </w:rPr>
        <w:t xml:space="preserve">2026年4月27日，据欧洲新闻网（Euronews）报道，德国2026年第一季度共收到2656份良心拒服兵役申请，已超过2025年全年3867份申请总数的三分之二。若按此速度延续，2026年将超过自2011年德国暂停义务兵役制以来的任何一年。申请激增源于2026年初生效的新兵役法，规定2008年及以后出生的年轻男性须登记接受可能的征召。德国国防部长鲍里斯·皮斯托瑞斯（Boris</w:t>
      </w:r>
      <w:r>
        <w:t xml:space="preserve"> </w:t>
      </w:r>
      <w:r>
        <w:rPr>
          <w:rFonts w:hint="eastAsia"/>
        </w:rPr>
        <w:t xml:space="preserve">Pistorius）将改革定性为应对安全形势恶化的举措，他表示：「世界变得更加不可预测，是的，也必须说，更加危险。」皮斯托瑞斯设定了联邦国防军至少维持26万名现役军人的目标，加上预备役共计46万人。联邦国防军预备役协会则请求将预备役最高服役年龄从65岁提高至70岁。并非所有人都在抵制：2025年有781人撤回了此前的良心拒服兵役声明，2026年第一季度又有233人撤回。</w:t>
      </w:r>
    </w:p>
    <w:p>
      <w:pPr>
        <w:pStyle w:val="BodyText"/>
      </w:pPr>
      <w:r>
        <w:rPr>
          <w:rFonts w:hint="eastAsia"/>
          <w:b/>
          <w:bCs/>
        </w:rPr>
        <w:t xml:space="preserve">分析</w:t>
      </w:r>
    </w:p>
    <w:p>
      <w:pPr>
        <w:pStyle w:val="BodyText"/>
      </w:pPr>
      <w:r>
        <w:rPr>
          <w:rFonts w:hint="eastAsia"/>
        </w:rPr>
        <w:t xml:space="preserve">德国国防部长皮斯托瑞斯表示：「世界变得更加不可预测，是的，也必须说，更加危险。」他将新兵役立法定位为对欧洲安全环境恶化的回应。这一表态折射出德国在俄乌冲突持续背景下重建军事动员能力的战略紧迫感。</w:t>
      </w:r>
    </w:p>
    <w:p>
      <w:pPr>
        <w:pStyle w:val="BodyText"/>
      </w:pPr>
      <w:r>
        <w:rPr>
          <w:b/>
          <w:bCs/>
        </w:rPr>
        <w:t xml:space="preserve">References</w:t>
      </w:r>
    </w:p>
    <w:p>
      <w:pPr>
        <w:pStyle w:val="BodyText"/>
      </w:pPr>
      <w:r>
        <w:t xml:space="preserve">[11] Schad, V. (2026, April 27). Germany sees surge in conscientious objectors amid new conscription law. Euronews. https://www.euronews.com/my-europe/2026/04/27/germany-sees-surge-in-conscientious-objectors-amid-new-conscription-law</w:t>
      </w:r>
    </w:p>
    <w:p>
      <w:r>
        <w:pict>
          <v:rect style="width:0;height:1.5pt" o:hralign="center" o:hrstd="t" o:hr="t"/>
        </w:pict>
      </w:r>
    </w:p>
    <w:bookmarkEnd w:id="22"/>
    <w:bookmarkStart w:id="23" w:name="欧洲议会投票确立孕产期议员代理投票权"/>
    <w:p>
      <w:pPr>
        <w:pStyle w:val="Heading3"/>
      </w:pPr>
      <w:r>
        <w:rPr>
          <w:rFonts w:hint="eastAsia"/>
        </w:rPr>
        <w:t xml:space="preserve">欧洲议会投票确立孕产期议员代理投票权</w:t>
      </w:r>
    </w:p>
    <w:p>
      <w:pPr>
        <w:pStyle w:val="FirstParagraph"/>
      </w:pPr>
      <w:r>
        <w:rPr>
          <w:rFonts w:hint="eastAsia"/>
          <w:b/>
          <w:bCs/>
        </w:rPr>
        <w:t xml:space="preserve">摘要</w:t>
      </w:r>
    </w:p>
    <w:p>
      <w:pPr>
        <w:pStyle w:val="BodyText"/>
      </w:pPr>
      <w:r>
        <w:rPr>
          <w:rFonts w:hint="eastAsia"/>
        </w:rPr>
        <w:t xml:space="preserve">2026年4月27日，欧洲议会斯特拉斯堡全会议程中列入了一项最终投票，旨在正式确立议员在怀孕和产后期间的投票委托权。根据该立法，怀孕或新近分娩的欧洲议会女性议员可在预产期前最多三个月至产后最多六个月内委托他人代为投票，合计覆盖期限最长可达九个月。立法进程方面：2025年11月13日，欧洲议会通过了修订《欧洲选举法》的决议；2026年3月17日，EU成员国同意该修正案；2026年4月全会投票将正式完成整个程序。这是欧洲议会历史上首次为孕产期议员建立制度化的代理投票机制，体现了EU机构在性别平等方面的持续推进。该措施确保女性议员不因生育而丧失立法参与权。</w:t>
      </w:r>
    </w:p>
    <w:p>
      <w:pPr>
        <w:pStyle w:val="BodyText"/>
      </w:pPr>
      <w:r>
        <w:rPr>
          <w:b/>
          <w:bCs/>
        </w:rPr>
        <w:t xml:space="preserve">References</w:t>
      </w:r>
    </w:p>
    <w:p>
      <w:pPr>
        <w:pStyle w:val="BodyText"/>
      </w:pPr>
      <w:r>
        <w:t xml:space="preserve">[12] European Parliament Press Service. (2026, April 27). Plenary news — April 27-30, 2026. European Parliament. https://www.europarl.europa.eu/news/en/agenda/plenary-news/2026-04-27</w:t>
      </w:r>
    </w:p>
    <w:p>
      <w:r>
        <w:pict>
          <v:rect style="width:0;height:1.5pt" o:hralign="center" o:hrstd="t" o:hr="t"/>
        </w:pict>
      </w:r>
    </w:p>
    <w:bookmarkEnd w:id="23"/>
    <w:bookmarkStart w:id="24" w:name="eu出入境系统全面运行推动边境管理数字化"/>
    <w:p>
      <w:pPr>
        <w:pStyle w:val="Heading3"/>
      </w:pPr>
      <w:r>
        <w:rPr>
          <w:rFonts w:hint="eastAsia"/>
        </w:rPr>
        <w:t xml:space="preserve">EU出入境系统全面运行推动边境管理数字化</w:t>
      </w:r>
    </w:p>
    <w:p>
      <w:pPr>
        <w:pStyle w:val="FirstParagraph"/>
      </w:pPr>
      <w:r>
        <w:rPr>
          <w:rFonts w:hint="eastAsia"/>
          <w:b/>
          <w:bCs/>
        </w:rPr>
        <w:t xml:space="preserve">摘要</w:t>
      </w:r>
    </w:p>
    <w:p>
      <w:pPr>
        <w:pStyle w:val="BodyText"/>
      </w:pPr>
      <w:r>
        <w:rPr>
          <w:rFonts w:hint="eastAsia"/>
        </w:rPr>
        <w:t xml:space="preserve">2026年4月27日前夕，欧盟委员会内政事务总司确认，EU出入境系统（EES）已于4月10日全面投入运行。该自动化IT系统在非EU公民每次通过EU外部边境进行短期旅行时进行数字生物识别登记，取代传统的护照盖章方式。EES是EU移民与庇护协议的组成部分，更广泛的改革措施将于2026年6月起生效，届时成员国可延长边境拘留时间并将移民转移至其此前途经的「安全第三国」。数据显示，2025年EU庇护申请总数为669365份，较2024年下降26.6%。截至报告发布时，2026年非正规入境EU人数为18835人。据统计，截至2025年EU约有6400万外国出生居民。该系统标志着欧洲边境管理从人工操作向全面数字化的重大转型，旨在提升安全水平和通关效率。</w:t>
      </w:r>
    </w:p>
    <w:p>
      <w:pPr>
        <w:pStyle w:val="BodyText"/>
      </w:pPr>
      <w:r>
        <w:rPr>
          <w:b/>
          <w:bCs/>
        </w:rPr>
        <w:t xml:space="preserve">References</w:t>
      </w:r>
    </w:p>
    <w:p>
      <w:pPr>
        <w:pStyle w:val="BodyText"/>
      </w:pPr>
      <w:r>
        <w:t xml:space="preserve">[13] European Commission. (2026, April). Pact on Migration and Asylum. European Commission, Home Affairs. https://home-affairs.ec.europa.eu/policies/migration-and-asylum/pact-migration-and-asylum_en</w:t>
      </w:r>
    </w:p>
    <w:p>
      <w:r>
        <w:pict>
          <v:rect style="width:0;height:1.5pt" o:hralign="center" o:hrstd="t" o:hr="t"/>
        </w:pict>
      </w:r>
    </w:p>
    <w:bookmarkEnd w:id="24"/>
    <w:bookmarkEnd w:id="25"/>
    <w:bookmarkStart w:id="28" w:name="五其他重要事件"/>
    <w:p>
      <w:pPr>
        <w:pStyle w:val="Heading2"/>
      </w:pPr>
      <w:r>
        <w:rPr>
          <w:rFonts w:hint="eastAsia"/>
        </w:rPr>
        <w:t xml:space="preserve">五、其他重要事件</w:t>
      </w:r>
    </w:p>
    <w:bookmarkStart w:id="26" w:name="意大利文化部长抵制威尼斯双年展抗议俄罗斯回归"/>
    <w:p>
      <w:pPr>
        <w:pStyle w:val="Heading3"/>
      </w:pPr>
      <w:r>
        <w:rPr>
          <w:rFonts w:hint="eastAsia"/>
        </w:rPr>
        <w:t xml:space="preserve">意大利文化部长抵制威尼斯双年展抗议俄罗斯回归</w:t>
      </w:r>
    </w:p>
    <w:p>
      <w:pPr>
        <w:pStyle w:val="FirstParagraph"/>
      </w:pPr>
      <w:r>
        <w:rPr>
          <w:rFonts w:hint="eastAsia"/>
          <w:b/>
          <w:bCs/>
        </w:rPr>
        <w:t xml:space="preserve">摘要</w:t>
      </w:r>
    </w:p>
    <w:p>
      <w:pPr>
        <w:pStyle w:val="BodyText"/>
      </w:pPr>
      <w:r>
        <w:rPr>
          <w:rFonts w:hint="eastAsia"/>
        </w:rPr>
        <w:t xml:space="preserve">2026年4月27日，意大利文化部长亚历山德罗·朱利（Alessandro</w:t>
      </w:r>
      <w:r>
        <w:t xml:space="preserve"> </w:t>
      </w:r>
      <w:r>
        <w:rPr>
          <w:rFonts w:hint="eastAsia"/>
        </w:rPr>
        <w:t xml:space="preserve">Giuli）宣布将不出席定于5月9日举行的第61届威尼斯双年展开幕式及预展活动，以抗议双年展基金会允许俄罗斯在缺席四年后重新参展的决定。俄罗斯自2022年入侵乌克兰后停止参加威尼斯双年展。由主席皮耶特兰杰洛·布塔富奥科（Pietrangelo</w:t>
      </w:r>
      <w:r>
        <w:t xml:space="preserve"> </w:t>
      </w:r>
      <w:r>
        <w:rPr>
          <w:rFonts w:hint="eastAsia"/>
        </w:rPr>
        <w:t xml:space="preserve">Buttafuoco）领导的双年展基金会批准了莫斯科的回归。俄罗斯联邦馆将不对公众开放，仅于5月6日至8日向媒体代表开放。朱利此前曾要求文化部驻双年展基金会董事会代表塔玛拉·格雷戈雷蒂（Tamara</w:t>
      </w:r>
      <w:r>
        <w:t xml:space="preserve"> </w:t>
      </w:r>
      <w:r>
        <w:rPr>
          <w:rFonts w:hint="eastAsia"/>
        </w:rPr>
        <w:t xml:space="preserve">Gregoretti）辞职。意大利副总理马泰奥·萨尔维尼（Matteo</w:t>
      </w:r>
      <w:r>
        <w:t xml:space="preserve"> </w:t>
      </w:r>
      <w:r>
        <w:rPr>
          <w:rFonts w:hint="eastAsia"/>
        </w:rPr>
        <w:t xml:space="preserve">Salvini）则持包容立场，表示：「从事艺术、从事文化的人应当让人们走到一起。」欧盟委员会威胁称，若理由不充分将暂停双年展200万欧元的EU资金。22个EU国家的文化和外交部长联名致信布塔富奥科，敦促其重新考虑。双年展评委会宣布将俄罗斯和以色列排除在奖项评选之外，针对的是「领导人面临国际刑事法院（ICC）反人类罪指控的国家」。</w:t>
      </w:r>
    </w:p>
    <w:p>
      <w:pPr>
        <w:pStyle w:val="BodyText"/>
      </w:pPr>
      <w:r>
        <w:rPr>
          <w:rFonts w:hint="eastAsia"/>
          <w:b/>
          <w:bCs/>
        </w:rPr>
        <w:t xml:space="preserve">分析</w:t>
      </w:r>
    </w:p>
    <w:p>
      <w:pPr>
        <w:pStyle w:val="BodyText"/>
      </w:pPr>
      <w:r>
        <w:rPr>
          <w:rFonts w:hint="eastAsia"/>
        </w:rPr>
        <w:t xml:space="preserve">意大利副总理萨尔维尼表示：「从事艺术、从事文化的人应当让人们走到一起。」然而双年展评委会决定将俄罗斯和以色列排除在奖项评选之外，理由是这些国家的「领导人面临ICC反人类罪指控」。欧盟委员会亦威胁暂停200万欧元EU资金，使这一文化事件升级为涉及外交、伦理和财政多层面的复杂博弈。</w:t>
      </w:r>
    </w:p>
    <w:p>
      <w:pPr>
        <w:pStyle w:val="BodyText"/>
      </w:pPr>
      <w:r>
        <w:rPr>
          <w:b/>
          <w:bCs/>
        </w:rPr>
        <w:t xml:space="preserve">References</w:t>
      </w:r>
    </w:p>
    <w:p>
      <w:pPr>
        <w:pStyle w:val="BodyText"/>
      </w:pPr>
      <w:r>
        <w:t xml:space="preserve">[14] Koka, A. (2026, April 27). Italian culture minister shuns opening of Venice Biennale due to Russia pavilion. Euronews. https://www.euronews.com/culture/2026/04/27/italian-culture-minister-shuns-opening-of-venice-biennale-due-to-russia-pavilion</w:t>
      </w:r>
    </w:p>
    <w:p>
      <w:r>
        <w:pict>
          <v:rect style="width:0;height:1.5pt" o:hralign="center" o:hrstd="t" o:hr="t"/>
        </w:pict>
      </w:r>
    </w:p>
    <w:bookmarkEnd w:id="26"/>
    <w:bookmarkStart w:id="27" w:name="欧洲议会投票通过首部eu犬猫福利与溯源法规"/>
    <w:p>
      <w:pPr>
        <w:pStyle w:val="Heading3"/>
      </w:pPr>
      <w:r>
        <w:rPr>
          <w:rFonts w:hint="eastAsia"/>
        </w:rPr>
        <w:t xml:space="preserve">欧洲议会投票通过首部EU犬猫福利与溯源法规</w:t>
      </w:r>
    </w:p>
    <w:p>
      <w:pPr>
        <w:pStyle w:val="FirstParagraph"/>
      </w:pPr>
      <w:r>
        <w:rPr>
          <w:rFonts w:hint="eastAsia"/>
          <w:b/>
          <w:bCs/>
        </w:rPr>
        <w:t xml:space="preserve">摘要</w:t>
      </w:r>
    </w:p>
    <w:p>
      <w:pPr>
        <w:pStyle w:val="BodyText"/>
      </w:pPr>
      <w:r>
        <w:rPr>
          <w:rFonts w:hint="eastAsia"/>
        </w:rPr>
        <w:t xml:space="preserve">2026年4月27日，欧洲议会斯特拉斯堡全会议程中列入了对EU犬猫保护新规的投票表决，这是EU历史上首部专门针对伴侣动物福利和可追溯性的立法。该法规要求所有猫狗植入芯片并在国家数据库中登记注册，为繁殖场所、宠物商店和收容所的繁殖、饲养、处理和繁殖行为制定统一规则。法规规定，已经历两次剖腹产的母猫和母犬不得再用于繁殖。欧洲议会投票赞成禁止在宠物商店出售猫狗。欧洲议会与欧盟理事会于2025年11月达成临时协议。这一立法填补了EU层面伴侣动物福利监管的空白，标志着欧洲在动物保护领域的制度化建设迈出重要一步，将对全欧范围内的宠物繁殖和贸易产生深远影响。</w:t>
      </w:r>
    </w:p>
    <w:p>
      <w:pPr>
        <w:pStyle w:val="BodyText"/>
      </w:pPr>
      <w:r>
        <w:rPr>
          <w:b/>
          <w:bCs/>
        </w:rPr>
        <w:t xml:space="preserve">References</w:t>
      </w:r>
    </w:p>
    <w:p>
      <w:pPr>
        <w:pStyle w:val="BodyText"/>
      </w:pPr>
      <w:r>
        <w:t xml:space="preserve">[15] European Parliament Press Service. (2026, April 27). Plenary news — April 27-30, 2026. European Parliament. https://www.europarl.europa.eu/news/en/agenda/plenary-news/2026-04-27</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2026-04-27T13:58:42Z</dcterms:created>
  <dcterms:modified xsi:type="dcterms:W3CDTF">2026-04-27T13:58:42Z</dcterms:modified>
</cp:coreProperties>
</file>

<file path=docProps/custom.xml><?xml version="1.0" encoding="utf-8"?>
<Properties xmlns="http://schemas.openxmlformats.org/officeDocument/2006/custom-properties" xmlns:vt="http://schemas.openxmlformats.org/officeDocument/2006/docPropsVTypes"/>
</file>