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2026年4月27日</w:t>
      </w:r>
    </w:p>
    <w:p/>
    <w:p>
      <w:pPr>
        <w:pStyle w:val="ListParagraph"/>
        <w:numPr>
          <w:ilvl w:val="0"/>
          <w:numId w:val="8"/>
        </w:numPr>
      </w:pPr>
      <w:r>
        <w:rPr>
          <w:rFonts w:ascii="FangSong_GB2312" w:hAnsi="FangSong_GB2312" w:eastAsia="FangSong_GB2312"/>
          <w:b/>
          <w:sz w:val="21"/>
        </w:rPr>
        <w:t>美国一季度GDP骤降至0.5%，鲍威尔料主持最后一次FOMC会议</w:t>
      </w:r>
    </w:p>
    <w:p>
      <w:pPr>
        <w:pStyle w:val="ListParagraph"/>
        <w:numPr>
          <w:ilvl w:val="0"/>
          <w:numId w:val="8"/>
        </w:numPr>
      </w:pPr>
      <w:r>
        <w:rPr>
          <w:rFonts w:ascii="FangSong_GB2312" w:hAnsi="FangSong_GB2312" w:eastAsia="FangSong_GB2312"/>
          <w:b/>
          <w:sz w:val="21"/>
        </w:rPr>
        <w:t>伊美战争第59天谈判陷入僵局，伊朗外长飞赴莫斯科会见普京</w:t>
      </w:r>
    </w:p>
    <w:p>
      <w:pPr>
        <w:pStyle w:val="ListParagraph"/>
        <w:numPr>
          <w:ilvl w:val="0"/>
          <w:numId w:val="8"/>
        </w:numPr>
      </w:pPr>
      <w:r>
        <w:rPr>
          <w:rFonts w:ascii="FangSong_GB2312" w:hAnsi="FangSong_GB2312" w:eastAsia="FangSong_GB2312"/>
          <w:b/>
          <w:sz w:val="21"/>
        </w:rPr>
        <w:t>科技七巨头财报周开幕，标普500纳斯达克创历史新高</w:t>
      </w:r>
    </w:p>
    <w:p>
      <w:pPr>
        <w:pStyle w:val="ListParagraph"/>
        <w:numPr>
          <w:ilvl w:val="0"/>
          <w:numId w:val="8"/>
        </w:numPr>
      </w:pPr>
      <w:r>
        <w:rPr>
          <w:rFonts w:ascii="FangSong_GB2312" w:hAnsi="FangSong_GB2312" w:eastAsia="FangSong_GB2312"/>
          <w:b/>
          <w:sz w:val="21"/>
        </w:rPr>
        <w:t>英王查尔斯三世开启四天访美国事行程</w:t>
      </w:r>
    </w:p>
    <w:p>
      <w:pPr>
        <w:pStyle w:val="ListParagraph"/>
        <w:numPr>
          <w:ilvl w:val="0"/>
          <w:numId w:val="8"/>
        </w:numPr>
      </w:pPr>
      <w:r>
        <w:rPr>
          <w:rFonts w:ascii="FangSong_GB2312" w:hAnsi="FangSong_GB2312" w:eastAsia="FangSong_GB2312"/>
          <w:b/>
          <w:sz w:val="21"/>
        </w:rPr>
        <w:t>英国3月CPI通胀率升至3.3%创近两年新高</w:t>
      </w:r>
    </w:p>
    <w:p>
      <w:pPr>
        <w:pStyle w:val="ListParagraph"/>
        <w:numPr>
          <w:ilvl w:val="0"/>
          <w:numId w:val="8"/>
        </w:numPr>
      </w:pPr>
      <w:r>
        <w:rPr>
          <w:rFonts w:ascii="FangSong_GB2312" w:hAnsi="FangSong_GB2312" w:eastAsia="FangSong_GB2312"/>
          <w:b/>
          <w:sz w:val="21"/>
        </w:rPr>
        <w:t>特朗普威胁对英国征收报复性关税要求取消数字服务税</w:t>
      </w:r>
    </w:p>
    <w:p>
      <w:pPr>
        <w:pStyle w:val="ListParagraph"/>
        <w:numPr>
          <w:ilvl w:val="0"/>
          <w:numId w:val="8"/>
        </w:numPr>
      </w:pPr>
      <w:r>
        <w:rPr>
          <w:rFonts w:ascii="FangSong_GB2312" w:hAnsi="FangSong_GB2312" w:eastAsia="FangSong_GB2312"/>
          <w:b/>
          <w:sz w:val="21"/>
        </w:rPr>
        <w:t>中国威胁对欧盟产业加速法案采取反制措施</w:t>
      </w:r>
    </w:p>
    <w:p>
      <w:pPr>
        <w:pStyle w:val="ListParagraph"/>
        <w:numPr>
          <w:ilvl w:val="0"/>
          <w:numId w:val="8"/>
        </w:numPr>
      </w:pPr>
      <w:r>
        <w:rPr>
          <w:rFonts w:ascii="FangSong_GB2312" w:hAnsi="FangSong_GB2312" w:eastAsia="FangSong_GB2312"/>
          <w:b/>
          <w:sz w:val="21"/>
        </w:rPr>
        <w:t>道达尔满负荷运转法国最大炼油厂应对中东石油冲击</w:t>
      </w:r>
    </w:p>
    <w:p>
      <w:pPr>
        <w:pStyle w:val="ListParagraph"/>
        <w:numPr>
          <w:ilvl w:val="0"/>
          <w:numId w:val="8"/>
        </w:numPr>
      </w:pPr>
      <w:r>
        <w:rPr>
          <w:rFonts w:ascii="FangSong_GB2312" w:hAnsi="FangSong_GB2312" w:eastAsia="FangSong_GB2312"/>
          <w:b/>
          <w:sz w:val="21"/>
        </w:rPr>
        <w:t>中国工业企业利润3月同比增长15.8%超预期</w:t>
      </w:r>
    </w:p>
    <w:p>
      <w:pPr>
        <w:pStyle w:val="ListParagraph"/>
        <w:numPr>
          <w:ilvl w:val="0"/>
          <w:numId w:val="8"/>
        </w:numPr>
      </w:pPr>
      <w:r>
        <w:rPr>
          <w:rFonts w:ascii="FangSong_GB2312" w:hAnsi="FangSong_GB2312" w:eastAsia="FangSong_GB2312"/>
          <w:b/>
          <w:sz w:val="21"/>
        </w:rPr>
        <w:t>DeepSeek发布V4模型首次基于华为昇腾芯片训练</w:t>
      </w:r>
    </w:p>
    <w:p>
      <w:pPr>
        <w:pStyle w:val="ListParagraph"/>
        <w:numPr>
          <w:ilvl w:val="0"/>
          <w:numId w:val="8"/>
        </w:numPr>
      </w:pPr>
      <w:r>
        <w:rPr>
          <w:rFonts w:ascii="FangSong_GB2312" w:hAnsi="FangSong_GB2312" w:eastAsia="FangSong_GB2312"/>
          <w:b/>
          <w:sz w:val="21"/>
        </w:rPr>
        <w:t>宁德时代发布六项电池技术突破含1500公里续航</w:t>
      </w:r>
    </w:p>
    <w:p>
      <w:pPr>
        <w:pStyle w:val="ListParagraph"/>
        <w:numPr>
          <w:ilvl w:val="0"/>
          <w:numId w:val="8"/>
        </w:numPr>
      </w:pPr>
      <w:r>
        <w:rPr>
          <w:rFonts w:ascii="FangSong_GB2312" w:hAnsi="FangSong_GB2312" w:eastAsia="FangSong_GB2312"/>
          <w:b/>
          <w:sz w:val="21"/>
        </w:rPr>
        <w:t>日本央行预计维持利率0.75%不变日元逼近160关口</w:t>
      </w:r>
    </w:p>
    <w:p>
      <w:pPr>
        <w:pStyle w:val="ListParagraph"/>
        <w:numPr>
          <w:ilvl w:val="0"/>
          <w:numId w:val="8"/>
        </w:numPr>
      </w:pPr>
      <w:r>
        <w:rPr>
          <w:rFonts w:ascii="FangSong_GB2312" w:hAnsi="FangSong_GB2312" w:eastAsia="FangSong_GB2312"/>
          <w:b/>
          <w:sz w:val="21"/>
        </w:rPr>
        <w:t>日本解禁杀伤性武器出口实现历史性政策转向</w:t>
      </w:r>
    </w:p>
    <w:p>
      <w:pPr>
        <w:pStyle w:val="ListParagraph"/>
        <w:numPr>
          <w:ilvl w:val="0"/>
          <w:numId w:val="8"/>
        </w:numPr>
      </w:pPr>
      <w:r>
        <w:rPr>
          <w:rFonts w:ascii="FangSong_GB2312" w:hAnsi="FangSong_GB2312" w:eastAsia="FangSong_GB2312"/>
          <w:b/>
          <w:sz w:val="21"/>
        </w:rPr>
        <w:t>韩国KOSPI首破6600点总市值历史性超越六千万亿韩元</w:t>
      </w:r>
    </w:p>
    <w:p/>
    <w:p/>
    <w:p>
      <w:r>
        <w:rPr>
          <w:rFonts w:ascii="FangSong_GB2312" w:hAnsi="FangSong_GB2312" w:eastAsia="FangSong_GB2312"/>
          <w:b/>
          <w:sz w:val="24"/>
        </w:rPr>
        <w:t>1.美国一季度GDP骤降至0.5%，鲍威尔料主持最后一次FOMC会议</w:t>
      </w:r>
    </w:p>
    <w:p>
      <w:r>
        <w:rPr>
          <w:rFonts w:ascii="FangSong_GB2312" w:hAnsi="FangSong_GB2312" w:eastAsia="FangSong_GB2312"/>
          <w:b w:val="0"/>
          <w:sz w:val="21"/>
        </w:rPr>
        <w:t>美国商务部经济分析局（BEA）数据显示，2026年第一季度美国GDP年化增长率骤降至0.5%，较上一季度的4.4%大幅回落，成为近年来最显著的单季增速回调之一。与此同时，美联储最青睐的通胀指标核心个人消费支出（Core PCE）物价指数升至2.7%，高于2%的政策目标。美联储联邦公开市场委员会（FOMC）将于4月29日公布最新利率决议，市场普遍预期维持联邦基金利率在3.50%至3.75%区间不变。此次会议大概率是现任主席杰罗姆·鲍威尔（Jerome Powell）主持的最后一次，特朗普提名的凯文·沃什（Kevin Warsh）预计将于5月接任美联储主席。GDP增速大幅放缓的主要成因包括消费者支出疲软、霍尔木兹海峡封锁拉高能源成本以及企业在地缘政治不确定性下推迟资本投入，但失业率维持在4.1%，整体经济尚未进入技术性衰退。 [1]</w:t>
      </w:r>
    </w:p>
    <w:p/>
    <w:p>
      <w:r>
        <w:rPr>
          <w:rFonts w:ascii="FangSong_GB2312" w:hAnsi="FangSong_GB2312" w:eastAsia="FangSong_GB2312"/>
          <w:b/>
          <w:sz w:val="24"/>
        </w:rPr>
        <w:t>2.伊美战争第59天谈判陷入僵局，伊朗外长飞赴莫斯科会见普京</w:t>
      </w:r>
    </w:p>
    <w:p>
      <w:r>
        <w:rPr>
          <w:rFonts w:ascii="FangSong_GB2312" w:hAnsi="FangSong_GB2312" w:eastAsia="FangSong_GB2312"/>
          <w:b w:val="0"/>
          <w:sz w:val="21"/>
        </w:rPr>
        <w:t>2026年4月27日，美伊战争进入第59天，外交战线出现重大逆转。伊朗外长阿巴斯·阿拉赫奇（Abbas Araghchi）抵达莫斯科与俄罗斯总统弗拉基米尔·普京（Vladimir Putin）举行会谈，将谈判僵局归咎于美方「过分要求」。此前美国总统特朗普（Donald Trump）以伊朗领导层存在「严重内部分歧和混乱」为由，突然取消了特使史蒂夫·维特科夫（Steve Witkoff）和贾里德·库什纳（Jared Kushner）赴巴基斯坦伊斯兰堡参加磋商的计划，并表态伊朗领导人若希望对话可以「来找我们，或打电话给我们」。伊朗方面据报仍提交了关于分阶段重开霍尔木兹海峡的新方案，提出将核问题谈判置于后续议程。霍尔木兹海峡目前仍处于有效封锁状态，美国海军在该地区维持三艘航母战斗群，高盛（Goldman Sachs）已将布伦特原油2026年底预测价格从每桶80美元上调至90美元。 [2]</w:t>
      </w:r>
    </w:p>
    <w:p/>
    <w:p>
      <w:r>
        <w:rPr>
          <w:rFonts w:ascii="FangSong_GB2312" w:hAnsi="FangSong_GB2312" w:eastAsia="FangSong_GB2312"/>
          <w:b/>
          <w:sz w:val="24"/>
        </w:rPr>
        <w:t>3.科技七巨头财报周开幕，标普500纳斯达克创历史新高</w:t>
      </w:r>
    </w:p>
    <w:p>
      <w:r>
        <w:rPr>
          <w:rFonts w:ascii="FangSong_GB2312" w:hAnsi="FangSong_GB2312" w:eastAsia="FangSong_GB2312"/>
          <w:b w:val="0"/>
          <w:sz w:val="21"/>
        </w:rPr>
        <w:t>2026年4月最后一周，美国股市迎来「Magnificent Seven」中最关键的财报验证窗口。微软（Microsoft）、Alphabet、亚马逊（Amazon）与Meta Platforms将于4月29日盘后集中发布一季度财报，苹果（Apple）随后于4月30日披露业绩。4月迄今，标普500指数累计上涨逾9%，纳斯达克综合指数涨幅超过15%，道琼斯工业平均指数亦累计上涨逾6%，三大指数均已站上历史新高。分析师预计微软每股收益达4.07美元、营收达814亿美元，同比增幅分别为17.6%和16.2%；亚马逊云计算业务AWS的人工智能年化营收已突破150亿美元。据已公布数据，本季度约80%至85%的标普500成分股公司业绩超出华尔街预期，整体盈利增速约在13%至16%之间，为近年来最强一季。尽管Meta刚宣布将裁员约8000人，市场依然期待其广告营收强势增长。 [3]</w:t>
      </w:r>
    </w:p>
    <w:p/>
    <w:p>
      <w:r>
        <w:rPr>
          <w:rFonts w:ascii="FangSong_GB2312" w:hAnsi="FangSong_GB2312" w:eastAsia="FangSong_GB2312"/>
          <w:b/>
          <w:sz w:val="24"/>
        </w:rPr>
        <w:t>4.英王查尔斯三世开启四天访美国事行程</w:t>
      </w:r>
    </w:p>
    <w:p>
      <w:r>
        <w:rPr>
          <w:rFonts w:ascii="FangSong_GB2312" w:hAnsi="FangSong_GB2312" w:eastAsia="FangSong_GB2312"/>
          <w:b w:val="0"/>
          <w:sz w:val="21"/>
        </w:rPr>
        <w:t>2026年4月27日，英国国王查尔斯三世（King Charles III）与王后卡米拉（Queen Camilla）抵达华盛顿特区，开启为期四天的国事访问，这是自2007年伊丽莎白二世女王（Queen Elizabeth II）访美以来英国君主的首次国事访问，恰逢美国独立250周年纪念。行程包括4月28日白宫国宴以及在国会联席会议上发表演讲，这将是自1991年以来英国君主首次在美国国会演讲。媒体将这次出访描述为查尔斯三世「登基以来最艰难的使命」，此访旨在修复因伊朗战争分歧、贸易关税威胁和五角大楼福克兰群岛争端泄密而紧张的英美关系。此前一份泄露的五角大楼文件提议重新审视美国对英国福克兰群岛主权的支持，唐宁街明确回应称「主权归属英国，群岛的自决权至高无上」。 [4]</w:t>
      </w:r>
    </w:p>
    <w:p/>
    <w:p>
      <w:r>
        <w:rPr>
          <w:rFonts w:ascii="FangSong_GB2312" w:hAnsi="FangSong_GB2312" w:eastAsia="FangSong_GB2312"/>
          <w:b/>
          <w:sz w:val="24"/>
        </w:rPr>
        <w:t>5.英国3月CPI通胀率升至3.3%创近两年新高</w:t>
      </w:r>
    </w:p>
    <w:p>
      <w:r>
        <w:rPr>
          <w:rFonts w:ascii="FangSong_GB2312" w:hAnsi="FangSong_GB2312" w:eastAsia="FangSong_GB2312"/>
          <w:b w:val="0"/>
          <w:sz w:val="21"/>
        </w:rPr>
        <w:t>英国国家统计局（ONS）数据显示，截至2026年3月的12个月内，英国消费者价格指数（CPI）同比上涨3.3%，较2月的3.0%进一步攀升，创下自2024年10月以来的最高水平。其中机动车燃油价格同比飙升4.9%，自2月下旬以来汽油每升上涨14便士（涨幅约10%），主要受伊朗冲突导致国际油价上涨的推动。英格兰银行（BoE）企业调查结果显示，企业目前预计未来12个月CPI将达到4%，较3月调查时的3.5%预期显著上修。英国10年期国债收益率已攀升至4.95%，逼近2008年金融危机以来最高水平，两年期固定利率抵押贷款利率升至约5.90%。英格兰银行货币政策委员会将于4月30日召开会议，市场基准预期为维持3.75%基准利率不变，但加息25个基点至4.00%被视为尾部风险。 [5]</w:t>
      </w:r>
    </w:p>
    <w:p/>
    <w:p>
      <w:r>
        <w:rPr>
          <w:rFonts w:ascii="FangSong_GB2312" w:hAnsi="FangSong_GB2312" w:eastAsia="FangSong_GB2312"/>
          <w:b/>
          <w:sz w:val="24"/>
        </w:rPr>
        <w:t>6.特朗普威胁对英国征收报复性关税要求取消数字服务税</w:t>
      </w:r>
    </w:p>
    <w:p>
      <w:r>
        <w:rPr>
          <w:rFonts w:ascii="FangSong_GB2312" w:hAnsi="FangSong_GB2312" w:eastAsia="FangSong_GB2312"/>
          <w:b w:val="0"/>
          <w:sz w:val="21"/>
        </w:rPr>
        <w:t>美国总统唐纳德·特朗普（Donald Trump）于2026年4月24日警告称，若英国不取消其2%的数字服务税（DST），美方将征收「等于或高于该税率的大额关税」。英国数字服务税在2025至26财年从谷歌（Google）、Meta、苹果（Apple）等科技巨头处征收了9.44亿英镑。首相斯塔默（Keir Starmer）办公室回应称该税「公平且合理」。目前英国已面临美国对其商品征收的10%基准关税以及对英国钢铁和铝制品征收的25%关税。这一贸易争端恰发生在查尔斯三世国王访问华盛顿期间，使英美经贸关系的紧张态势进一步凸显，不仅事关英国近10亿英镑的财政收入，更折射出英美两国在科技监管和贸易政策上的深层分歧。 [6]</w:t>
      </w:r>
    </w:p>
    <w:p/>
    <w:p>
      <w:r>
        <w:rPr>
          <w:rFonts w:ascii="FangSong_GB2312" w:hAnsi="FangSong_GB2312" w:eastAsia="FangSong_GB2312"/>
          <w:b/>
          <w:sz w:val="24"/>
        </w:rPr>
        <w:t>7.中国威胁对欧盟产业加速法案采取反制措施</w:t>
      </w:r>
    </w:p>
    <w:p>
      <w:r>
        <w:rPr>
          <w:rFonts w:ascii="FangSong_GB2312" w:hAnsi="FangSong_GB2312" w:eastAsia="FangSong_GB2312"/>
          <w:b w:val="0"/>
          <w:sz w:val="21"/>
        </w:rPr>
        <w:t>2026年4月27日，中国商务部发表正式声明，批评欧盟于2026年3月推出的「产业加速法案」（Industrial Acceleration Act），该法案旨在提振对低碳欧洲制造技术和产品的需求。中方于4月24日已向欧盟领导层正式提出关切，中国商务部发言人指出公共采购中优先给予「EU原产地」认定的做法构成「投资壁垒和制度性歧视」，可能违反世界贸易组织（WTO）原则。该法案覆盖清洁技术、汽车制造及铝钢水泥等高耗能行业，拟设定电动汽车70%、铝25%、水泥25%的欧盟含量门槛。欧盟委员塞茹尔内（Stéphane Séjourné）表示此举旨在「通过将纳税人资金导向欧洲生产来创造就业机会，减少依赖并增强经济安全与主权」。中国商务部警告：「如果EU执意推进该立法，从而损害中国企业利益，中国将别无选择，只能采取反制措施。」自2024年以来欧洲高耗能和汽车行业已流失逾20万个岗位。 [7]</w:t>
      </w:r>
    </w:p>
    <w:p/>
    <w:p>
      <w:r>
        <w:rPr>
          <w:rFonts w:ascii="FangSong_GB2312" w:hAnsi="FangSong_GB2312" w:eastAsia="FangSong_GB2312"/>
          <w:b/>
          <w:sz w:val="24"/>
        </w:rPr>
        <w:t>8.道达尔满负荷运转法国最大炼油厂应对中东石油冲击</w:t>
      </w:r>
    </w:p>
    <w:p>
      <w:r>
        <w:rPr>
          <w:rFonts w:ascii="FangSong_GB2312" w:hAnsi="FangSong_GB2312" w:eastAsia="FangSong_GB2312"/>
          <w:b w:val="0"/>
          <w:sz w:val="21"/>
        </w:rPr>
        <w:t>2026年4月27日，法国能源巨头道达尔能源（TotalEnergies）将其位于勒阿弗尔附近的贡弗勒维尔（Gonfreville）炼油厂产能提升至100%，日处理原油约25万桶，以缓解全球能源供应中断对法国的冲击。该设施是法国最大的炼油厂，年加工原油约1200万吨，供应法国约12%的加油站燃料。此举源于2026年2月下旬伊朗-美国-以色列冲突导致霍尔木兹海峡关闭，大量油轮被迫绕行好望角，运输周期延长数周，欧洲燃油供应趋紧。此前贡弗勒维尔炼油厂约五分之一的原油来自海湾地区，现已改为从美国、欧洲和非洲采购。道达尔能源表示：「工业园区内每一个生产单元都在被充分利用，以确保炼油过程尽可能高效。」但公司官员承认柴油和航空燃油增产幅度「最多不超过5%」，凸显欧洲炼油产能的结构性瓶颈。 [8]</w:t>
      </w:r>
    </w:p>
    <w:p/>
    <w:p>
      <w:r>
        <w:rPr>
          <w:rFonts w:ascii="FangSong_GB2312" w:hAnsi="FangSong_GB2312" w:eastAsia="FangSong_GB2312"/>
          <w:b/>
          <w:sz w:val="24"/>
        </w:rPr>
        <w:t>9.中国工业企业利润3月同比增长15.8%超预期</w:t>
      </w:r>
    </w:p>
    <w:p>
      <w:r>
        <w:rPr>
          <w:rFonts w:ascii="FangSong_GB2312" w:hAnsi="FangSong_GB2312" w:eastAsia="FangSong_GB2312"/>
          <w:b w:val="0"/>
          <w:sz w:val="21"/>
        </w:rPr>
        <w:t>国家统计局数据显示，2026年3月全国规模以上工业企业利润同比增长15.8%，较1至2月的15.2%进一步加速。一季度累计工业利润达1.696万亿元（约2470亿美元），同比增长15.5%，其中装备制造业利润增长21%，高技术制造业利润增长47.4%。荷兰国际集团（ING）首席经济学家宋林警告称「该数据可能尚未反映伊朗战争的影响」。与此同时，鉴于一季度经济增长强于预期，中国3月广义公共支出同比下降2.5%，基础设施支出同比下降8.5%，显示北京主动收缩基建支出节奏，保留政策弹药。全年政策性金融工具额度提升60%至8000亿元，一季度土地出让收入同比下降24.4%，表明地方政府收入结构性缺口仍在扩大。 [9]</w:t>
      </w:r>
    </w:p>
    <w:p/>
    <w:p>
      <w:r>
        <w:rPr>
          <w:rFonts w:ascii="FangSong_GB2312" w:hAnsi="FangSong_GB2312" w:eastAsia="FangSong_GB2312"/>
          <w:b/>
          <w:sz w:val="24"/>
        </w:rPr>
        <w:t>10.DeepSeek发布V4模型首次基于华为昇腾芯片训练</w:t>
      </w:r>
    </w:p>
    <w:p>
      <w:r>
        <w:rPr>
          <w:rFonts w:ascii="FangSong_GB2312" w:hAnsi="FangSong_GB2312" w:eastAsia="FangSong_GB2312"/>
          <w:b w:val="0"/>
          <w:sz w:val="21"/>
        </w:rPr>
        <w:t>中国AI公司DeepSeek发布V4-Pro（1.6万亿参数，490亿活跃参数）和V4-Flash（2840亿参数）预览版，均为开源模型，专门针对华为昇腾950芯片优化，标志着对英伟达硬件的战略性脱离。新模型采用混合注意力架构，支持100万token上下文窗口，定价为每百万token 3.48美元。华为确认昇腾芯片已用于V4训练。Omdia分析师何辉评论称：「支撑DeepSeek V4运行表明中国顶级AI模型已可在国产硬件上运行。」此前业界普遍认为国产芯片在大模型训练中的性能差距仍有数代之遥，V4的发布打破了这一预期。开源策略加上极具竞争力的定价将加速全球开发者生态向中国模型迁移，对英伟达而言中国市场正在加速构建替代方案，长期收入损失风险上升。 [10]</w:t>
      </w:r>
    </w:p>
    <w:p/>
    <w:p>
      <w:r>
        <w:rPr>
          <w:rFonts w:ascii="FangSong_GB2312" w:hAnsi="FangSong_GB2312" w:eastAsia="FangSong_GB2312"/>
          <w:b/>
          <w:sz w:val="24"/>
        </w:rPr>
        <w:t>11.宁德时代发布六项电池技术突破含1500公里续航</w:t>
      </w:r>
    </w:p>
    <w:p>
      <w:r>
        <w:rPr>
          <w:rFonts w:ascii="FangSong_GB2312" w:hAnsi="FangSong_GB2312" w:eastAsia="FangSong_GB2312"/>
          <w:b w:val="0"/>
          <w:sz w:val="21"/>
        </w:rPr>
        <w:t>宁德时代在2026超级科技日上发布六项重大技术：第三代神行超快充电池（10%至90%充电仅需6分27秒）、第三代麒麟磷酸铁锂电池包（续航1000公里）、麒麟凝聚态电池（能量密度350 Wh/kg，续航1500公里）以及Naxtra钠离子电池（计划2026年四季度量产，CLTC续航600公里，-40°C下保持90%容量）。公司计划于2026年底前在中国190个城市建成4000座充换电站。2026北京国际汽车展览会同期开幕，展览面积38万平方米、1451辆展车，其中超过80%为新能源车型，181款为全球或中国首发车型。宁德时代的展位规模已可比肩主流整车厂，特斯拉连续第三年缺席，据报道单个展馆内的电动车型数量已超过整个美国市场的在售电动车总量。 [11]</w:t>
      </w:r>
    </w:p>
    <w:p/>
    <w:p>
      <w:r>
        <w:rPr>
          <w:rFonts w:ascii="FangSong_GB2312" w:hAnsi="FangSong_GB2312" w:eastAsia="FangSong_GB2312"/>
          <w:b/>
          <w:sz w:val="24"/>
        </w:rPr>
        <w:t>12.日本央行预计维持利率0.75%不变日元逼近160关口</w:t>
      </w:r>
    </w:p>
    <w:p>
      <w:r>
        <w:rPr>
          <w:rFonts w:ascii="FangSong_GB2312" w:hAnsi="FangSong_GB2312" w:eastAsia="FangSong_GB2312"/>
          <w:b w:val="0"/>
          <w:sz w:val="21"/>
        </w:rPr>
        <w:t>市场普遍预期日本央行将在4月27至28日会议上维持基准利率0.75%不变，这将是自2025年12月加息以来连续第三次按兵不动。行长植田和男因健康原因以电话方式参会。日元汇率在159.3至160兑1美元区间震荡，接近历史上触发当局干预的水平，财务大臣片山表示日本正以「高度紧迫感」关注汇率走势。荷兰国际集团（ING）发布非共识预警，维持日央行4月可能意外加息的判断，理由包括3月核心CPI达1.8%高于市场预测、春斗工资涨幅连续第三年突破5%达到5.09%。ING预计日央行将把2026财年通胀预测从1.9%上调至2.4%，并警告「4月加息可能引发日元急涨和日本国债抛售」。日经225指数4月27日早盘大涨1.4%至60584点，30年期国债收益率升至3.67%。 [12]</w:t>
      </w:r>
    </w:p>
    <w:p/>
    <w:p>
      <w:r>
        <w:rPr>
          <w:rFonts w:ascii="FangSong_GB2312" w:hAnsi="FangSong_GB2312" w:eastAsia="FangSong_GB2312"/>
          <w:b/>
          <w:sz w:val="24"/>
        </w:rPr>
        <w:t>13.日本解禁杀伤性武器出口实现历史性政策转向</w:t>
      </w:r>
    </w:p>
    <w:p>
      <w:r>
        <w:rPr>
          <w:rFonts w:ascii="FangSong_GB2312" w:hAnsi="FangSong_GB2312" w:eastAsia="FangSong_GB2312"/>
          <w:b w:val="0"/>
          <w:sz w:val="21"/>
        </w:rPr>
        <w:t>4月21日，高市早苗首相内阁批准废除日本长期以来禁止出口杀伤性武器的政策，允许出口战斗机、导弹、军舰等装备，出口对象初步限定为与日本签有防务协议的17个国家，不得向交战国出口。高市表示：「经此修订，所有防卫装备的转让原则上将成为可能。」澳大利亚已率先达成70亿美元军舰采购协议。中国外交部发言人誓言「抵制日本鲁莽的新式军事化」。与此同时，高市首相正推动在一年内修改和平宪法第九条以明确赋予自卫队合法地位，2026年2月大选中自民党联合政府获得众议院三分之二绝对多数316席，加上日本维新会共计352席，已具备发起修宪所需的国会门槛。日本政府同时启动向霍尔木兹海峡派遣海上自卫队扫雷舰的正式可行性评估。 [13]</w:t>
      </w:r>
    </w:p>
    <w:p/>
    <w:p>
      <w:r>
        <w:rPr>
          <w:rFonts w:ascii="FangSong_GB2312" w:hAnsi="FangSong_GB2312" w:eastAsia="FangSong_GB2312"/>
          <w:b/>
          <w:sz w:val="24"/>
        </w:rPr>
        <w:t>14.韩国KOSPI首破6600点总市值历史性超越六千万亿韩元</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2026年4月27日，韩国股市刷新历史纪录，综合股价指数（KOSPI）盘中触及6603.01点，较上一交易日涨1.83%；三市场合并市值达6031.97万亿韩元（约4.2万亿美元），首次突破6000万亿韩元大关。领涨板块主要为半导体与AI相关股，三星电子收涨1.59%，SK海力士上涨4.83%。SK海力士一季度营业利润达37.61万亿韩元（约255亿美元），同比暴增405.5%，营收增长198.1%至52.58万亿韩元，主因AI数据中心对高带宽内存（HBM）需求持续爆发。三星电子一季度营收133万亿韩元、营业利润57.2万亿韩元均创历史新高。大信证券分析师李庆敏（Lee Kyoung-min）表示：「SK海力士业绩公布后出现获利了结，市场预期兑现后前期已充分消化预期的板块将出现喘息调整。」韩国央行4月10日以全票一致维持基准利率于2.5%不变，实现连续第七次冻结。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https://www.ad-hoc-news.de/boerse/news/ueberblick/us-gdp-growth-slows-sharply-to-0-5-percent-in-q1-2026-signaling-economic/69163030</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https://www.aljazeera.com/news/liveblog/2026/4/27/iran-war-live-araghchi-to-meet-putin-trump-says-tehran-can-call-for-talks</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https://www.cnbc.com/2026/04/24/stock-market-next-week-outlook-for-april-27-may-1-2026.html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https://www.cnn.com/2026/04/27/world/king-charles-us-state-visit-intl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https://www.ons.gov.uk/economy/inflationandpriceindices/bulletins/consumerpriceinflation/march2026</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https://www.cnbc.com/2026/04/24/trump-tariffs-uk-tech-apple-google-meta.html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https://www.euronews.com/business/2026/04/27/china-slams-made-in-europe-push-mulls-retaliation</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https://www.euronews.com/business/2026/04/27/totalenergies-maximises-production-at-major-refinery-to-secure-french-fuel-supply</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https://wtaq.com/2026/04/26/chinas-industrial-profit-growth-quickens-even-as-iran-war-heightens-risks/</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https://www.cnbc.com/2026/04/24/deepseek-v4-llm-preview-open-source-ai-competition-china.html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https://thedriven.io/2026/04/22/catl-debuts-six-stunning-battery-innovations-including-1500km-ev-option-and-6-minute-charge/</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https://www.bloomberg.com/news/articles/2026-04-26/boj-seen-holding-rates-in-messaging-risk-for-ueda-as-yen-teeters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https://www.aljazeera.com/news/2026/4/21/japan-lifts-ban-on-lethal-weapons-exports-in-major-shift-of-pacifist-policy</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https://en.sedaily.com/markets/2026/04/27/kospi-tops-6600-for-first-time-in-intraday-trading</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