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中国每日热点新闻-2026年4月29日"/>
    <w:p>
      <w:pPr>
        <w:pStyle w:val="Heading1"/>
      </w:pPr>
      <w:r>
        <w:rPr>
          <w:rFonts w:hint="eastAsia"/>
        </w:rPr>
        <w:t xml:space="preserve">中国每日热点新闻</w:t>
      </w:r>
      <w:r>
        <w:t xml:space="preserve"> — </w:t>
      </w:r>
      <w:r>
        <w:rPr>
          <w:rFonts w:hint="eastAsia"/>
        </w:rPr>
        <w:t xml:space="preserve">2026年4月29日</w:t>
      </w:r>
    </w:p>
    <w:bookmarkStart w:id="11" w:name="一经济与市场"/>
    <w:p>
      <w:pPr>
        <w:pStyle w:val="Heading2"/>
      </w:pPr>
      <w:r>
        <w:rPr>
          <w:rFonts w:hint="eastAsia"/>
        </w:rPr>
        <w:t xml:space="preserve">一、经济与市场</w:t>
      </w:r>
    </w:p>
    <w:bookmarkStart w:id="9" w:name="一季度文化产业营收增长6.4服务业引领增速达9.9"/>
    <w:p>
      <w:pPr>
        <w:pStyle w:val="Heading3"/>
      </w:pPr>
      <w:r>
        <w:rPr>
          <w:rFonts w:hint="eastAsia"/>
        </w:rPr>
        <w:t xml:space="preserve">一季度文化产业营收增长6.4%，服务业引领增速达9.9%</w:t>
      </w:r>
    </w:p>
    <w:p>
      <w:pPr>
        <w:pStyle w:val="FirstParagraph"/>
      </w:pPr>
      <w:r>
        <w:rPr>
          <w:rFonts w:hint="eastAsia"/>
          <w:b/>
          <w:bCs/>
        </w:rPr>
        <w:t xml:space="preserve">摘要</w:t>
      </w:r>
    </w:p>
    <w:p>
      <w:pPr>
        <w:pStyle w:val="BodyText"/>
      </w:pPr>
      <w:r>
        <w:rPr>
          <w:rFonts w:hint="eastAsia"/>
        </w:rPr>
        <w:t xml:space="preserve">国家统计局2026年4月29日发布数据显示，全国8.2万家规模以上文化及相关产业企业一季度实现合计营收3.56万亿元，同比增长6.4%。其中，文化服务业表现尤为突出，增速达9.9%，创意设计服务增长12%，内容创作生产增长10.7%。分地区看，东部地区以6.9%的增速领跑全国，西部地区增长6.4%，中部地区增长3.8%，而东北地区则下降8.3%。文化产品生产增长1.5%，批发和零售环节增长2.6%。数据表明，文化服务业已成为拉动文化产业整体增长的核心引擎，数字化转型和创意经济正在为文化产业注入新动能。</w:t>
      </w:r>
    </w:p>
    <w:p>
      <w:pPr>
        <w:pStyle w:val="BodyText"/>
      </w:pPr>
      <w:r>
        <w:rPr>
          <w:b/>
          <w:bCs/>
        </w:rPr>
        <w:t xml:space="preserve">References</w:t>
      </w:r>
    </w:p>
    <w:p>
      <w:pPr>
        <w:pStyle w:val="BodyText"/>
      </w:pPr>
      <w:r>
        <w:t xml:space="preserve">[1] Xinhua. (2026, April 29). China’s cultural sector Q1 revenue rises 6.4%, services lead growth at 9.9%. Xinhua. https://english.news.cn/20260429/7b7c4dcdbb1142ea800094ad65bcf900/c.html</w:t>
      </w:r>
    </w:p>
    <w:p>
      <w:r>
        <w:pict>
          <v:rect style="width:0;height:1.5pt" o:hralign="center" o:hrstd="t" o:hr="t"/>
        </w:pict>
      </w:r>
    </w:p>
    <w:bookmarkEnd w:id="9"/>
    <w:bookmarkStart w:id="10" w:name="何立峰会见怡和集团主席承诺坚定扩大高水平开放"/>
    <w:p>
      <w:pPr>
        <w:pStyle w:val="Heading3"/>
      </w:pPr>
      <w:r>
        <w:rPr>
          <w:rFonts w:hint="eastAsia"/>
        </w:rPr>
        <w:t xml:space="preserve">何立峰会见怡和集团主席承诺坚定扩大高水平开放</w:t>
      </w:r>
    </w:p>
    <w:p>
      <w:pPr>
        <w:pStyle w:val="FirstParagraph"/>
      </w:pPr>
      <w:r>
        <w:rPr>
          <w:rFonts w:hint="eastAsia"/>
          <w:b/>
          <w:bCs/>
        </w:rPr>
        <w:t xml:space="preserve">摘要</w:t>
      </w:r>
    </w:p>
    <w:p>
      <w:pPr>
        <w:pStyle w:val="BodyText"/>
      </w:pPr>
      <w:r>
        <w:rPr>
          <w:rFonts w:hint="eastAsia"/>
        </w:rPr>
        <w:t xml:space="preserve">据人民日报海外版2026年4月29日报道，国务院副总理何立峰于4月28日在北京会见了怡和集团（Jardine</w:t>
      </w:r>
      <w:r>
        <w:t xml:space="preserve"> </w:t>
      </w:r>
      <w:r>
        <w:rPr>
          <w:rFonts w:hint="eastAsia"/>
        </w:rPr>
        <w:t xml:space="preserve">Matheson）执行主席本·凯瑟克（Ben</w:t>
      </w:r>
      <w:r>
        <w:t xml:space="preserve"> </w:t>
      </w:r>
      <w:r>
        <w:rPr>
          <w:rFonts w:hint="eastAsia"/>
        </w:rPr>
        <w:t xml:space="preserve">Keswick）。何立峰在会谈中明确表示，中国将在第十五个五年规划框架下「坚定不移扩大高水平对外开放，推动高质量发展」。凯瑟克则表示「怡和集团对中国发展前景充满信心，将继续深耕中国市场」。此次会见正值全球贸易紧张局势加剧之际，向国际社会释放了中国持续欢迎外商直接投资的积极信号，体现了中国在复杂国际环境下坚持对外开放的政策定力。</w:t>
      </w:r>
    </w:p>
    <w:p>
      <w:pPr>
        <w:pStyle w:val="BodyText"/>
      </w:pPr>
      <w:r>
        <w:rPr>
          <w:b/>
          <w:bCs/>
        </w:rPr>
        <w:t xml:space="preserve">References</w:t>
      </w:r>
    </w:p>
    <w:p>
      <w:pPr>
        <w:pStyle w:val="BodyText"/>
      </w:pPr>
      <w:r>
        <w:t xml:space="preserve">[2] People’s Daily Online. (2026, April 29). Vice Premier He Lifeng tells Jardine Matheson China will</w:t>
      </w:r>
      <w:r>
        <w:t xml:space="preserve"> </w:t>
      </w:r>
      <w:r>
        <w:t xml:space="preserve">“unwaveringly expand high-standard opening up”</w:t>
      </w:r>
      <w:r>
        <w:t xml:space="preserve">. People’s Daily Online. https://en.people.cn/n3/2026/0429/c90000-20451640.html</w:t>
      </w:r>
    </w:p>
    <w:p>
      <w:r>
        <w:pict>
          <v:rect style="width:0;height:1.5pt" o:hralign="center" o:hrstd="t" o:hr="t"/>
        </w:pict>
      </w:r>
    </w:p>
    <w:p>
      <w:pPr>
        <w:pStyle w:val="BlockText"/>
      </w:pPr>
      <w:r>
        <w:rPr>
          <w:rFonts w:hint="eastAsia"/>
          <w:b/>
          <w:bCs/>
        </w:rPr>
        <w:t xml:space="preserve">编辑说明：</w:t>
      </w:r>
      <w:r>
        <w:t xml:space="preserve"> </w:t>
      </w:r>
      <w:r>
        <w:rPr>
          <w:rFonts w:hint="eastAsia"/>
        </w:rPr>
        <w:t xml:space="preserve">本类别经验证合格的稿件为2篇，未达到每类最低3篇标准，原因为经验证的经济类稿件仅2篇。第三候选（全球贸易与投资促进峰会公告）因尚未举行、无实质性政策产出，不符合影响力门槛；路孚特、彭博社关于中国4月LNG进口量的相关稿件均需付费无法验证。</w:t>
      </w:r>
    </w:p>
    <w:p>
      <w:r>
        <w:pict>
          <v:rect style="width:0;height:1.5pt" o:hralign="center" o:hrstd="t" o:hr="t"/>
        </w:pict>
      </w:r>
    </w:p>
    <w:bookmarkEnd w:id="10"/>
    <w:bookmarkEnd w:id="11"/>
    <w:bookmarkStart w:id="14" w:name="二政治与外交"/>
    <w:p>
      <w:pPr>
        <w:pStyle w:val="Heading2"/>
      </w:pPr>
      <w:r>
        <w:rPr>
          <w:rFonts w:hint="eastAsia"/>
        </w:rPr>
        <w:t xml:space="preserve">二、政治与外交</w:t>
      </w:r>
    </w:p>
    <w:bookmarkStart w:id="12" w:name="习近平向上合组织绿色与可持续发展论坛致贺信"/>
    <w:p>
      <w:pPr>
        <w:pStyle w:val="Heading3"/>
      </w:pPr>
      <w:r>
        <w:rPr>
          <w:rFonts w:hint="eastAsia"/>
        </w:rPr>
        <w:t xml:space="preserve">习近平向上合组织绿色与可持续发展论坛致贺信</w:t>
      </w:r>
    </w:p>
    <w:p>
      <w:pPr>
        <w:pStyle w:val="FirstParagraph"/>
      </w:pPr>
      <w:r>
        <w:rPr>
          <w:rFonts w:hint="eastAsia"/>
          <w:b/>
          <w:bCs/>
        </w:rPr>
        <w:t xml:space="preserve">摘要</w:t>
      </w:r>
    </w:p>
    <w:p>
      <w:pPr>
        <w:pStyle w:val="BodyText"/>
      </w:pPr>
      <w:r>
        <w:rPr>
          <w:rFonts w:hint="eastAsia"/>
        </w:rPr>
        <w:t xml:space="preserve">据新华社2026年4月29日报道，上海合作组织绿色与可持续发展论坛当日在浙江省宁波市开幕，国家主席习近平向论坛发来贺信。习近平在贺信中引用「绿水青山就是金山银山」理念，呼吁上合组织成员国「推进全球生态文明建设」「建设清洁美丽、可持续发展的世界」。本届论坛恰逢上合组织成立25周年及中国第十五个五年规划启动之年，由上合组织睦邻友好合作委员会、中国生态环境部和浙江省人民政府共同主办。论坛的举办彰显了中国将绿色发展理念融入多边合作框架的外交战略，也为上合组织在生态领域的合作搭建了新平台。</w:t>
      </w:r>
    </w:p>
    <w:p>
      <w:pPr>
        <w:pStyle w:val="BodyText"/>
      </w:pPr>
      <w:r>
        <w:rPr>
          <w:b/>
          <w:bCs/>
        </w:rPr>
        <w:t xml:space="preserve">References</w:t>
      </w:r>
    </w:p>
    <w:p>
      <w:pPr>
        <w:pStyle w:val="BodyText"/>
      </w:pPr>
      <w:r>
        <w:t xml:space="preserve">[3] Xinhua. (2026, April 29). Xi Jinping sends congratulatory message to SCO Green and Sustainable Development Forum in Ningbo. Xinhua. https://english.news.cn/20260429/37d170f6330943bc8042ab7950eac4d2/c.html</w:t>
      </w:r>
      <w:r>
        <w:t xml:space="preserve"> </w:t>
      </w:r>
      <w:r>
        <w:t xml:space="preserve">[4] People’s Daily Online. (2026, April 29). Xi Jinping sends congratulatory message to SCO Green and Sustainable Development Forum in Ningbo. People’s Daily Online. http://en.people.cn/n3/2026/0429/c90000-20451652.html</w:t>
      </w:r>
    </w:p>
    <w:p>
      <w:r>
        <w:pict>
          <v:rect style="width:0;height:1.5pt" o:hralign="center" o:hrstd="t" o:hr="t"/>
        </w:pict>
      </w:r>
    </w:p>
    <w:bookmarkEnd w:id="12"/>
    <w:bookmarkStart w:id="13" w:name="中国常驻联合国代表傅聪呼吁中东各方保持克制并坚持两国方案"/>
    <w:p>
      <w:pPr>
        <w:pStyle w:val="Heading3"/>
      </w:pPr>
      <w:r>
        <w:rPr>
          <w:rFonts w:hint="eastAsia"/>
        </w:rPr>
        <w:t xml:space="preserve">中国常驻联合国代表傅聪呼吁中东各方保持克制并坚持两国方案</w:t>
      </w:r>
    </w:p>
    <w:p>
      <w:pPr>
        <w:pStyle w:val="FirstParagraph"/>
      </w:pPr>
      <w:r>
        <w:rPr>
          <w:rFonts w:hint="eastAsia"/>
          <w:b/>
          <w:bCs/>
        </w:rPr>
        <w:t xml:space="preserve">摘要</w:t>
      </w:r>
    </w:p>
    <w:p>
      <w:pPr>
        <w:pStyle w:val="BodyText"/>
      </w:pPr>
      <w:r>
        <w:rPr>
          <w:rFonts w:hint="eastAsia"/>
        </w:rPr>
        <w:t xml:space="preserve">据人民日报海外版2026年4月29日报道，中国常驻联合国代表傅聪在联合国安理会关于巴勒斯坦和中东局势的公开辩论中发言。傅聪指出，当前局势正处于「从战争走向和平的关键过渡阶段」，呼吁各方以「最大诚意」和「最大克制」推动问题解决。他重申中方立场，支持以1967年边界为基础、以东耶路撒冷为首都建立独立的巴勒斯坦国的两国方案，并谴责以色列定居点活动违反国际法和安理会相关决议。作为联合国安理会常任理事国，中国拥有否决权，其在中东问题上的表态对地区局势走向具有重要影响。</w:t>
      </w:r>
    </w:p>
    <w:p>
      <w:pPr>
        <w:pStyle w:val="BodyText"/>
      </w:pPr>
      <w:r>
        <w:rPr>
          <w:b/>
          <w:bCs/>
        </w:rPr>
        <w:t xml:space="preserve">References</w:t>
      </w:r>
    </w:p>
    <w:p>
      <w:pPr>
        <w:pStyle w:val="BodyText"/>
      </w:pPr>
      <w:r>
        <w:t xml:space="preserve">[5] People’s Daily Online. (2026, April 29). China’s UN envoy Fu Cong calls for Mideast restraint and two-state solution at UNSC debate. People’s Daily Online. http://en.people.cn/n3/2026/0429/c90000-20451744.html</w:t>
      </w:r>
      <w:r>
        <w:t xml:space="preserve"> </w:t>
      </w:r>
      <w:r>
        <w:t xml:space="preserve">[6] Xinhua. (2026, April 29). China’s UN envoy Fu Cong calls for Mideast restraint and two-state solution at UNSC debate. Xinhua. https://english.news.cn/20260429/36ec472d465748ca9f177cbf8c1fb3fb/c.html</w:t>
      </w:r>
    </w:p>
    <w:p>
      <w:r>
        <w:pict>
          <v:rect style="width:0;height:1.5pt" o:hralign="center" o:hrstd="t" o:hr="t"/>
        </w:pict>
      </w:r>
    </w:p>
    <w:p>
      <w:pPr>
        <w:pStyle w:val="BlockText"/>
      </w:pPr>
      <w:r>
        <w:rPr>
          <w:rFonts w:hint="eastAsia"/>
          <w:b/>
          <w:bCs/>
        </w:rPr>
        <w:t xml:space="preserve">编辑说明：</w:t>
      </w:r>
      <w:r>
        <w:t xml:space="preserve"> </w:t>
      </w:r>
      <w:r>
        <w:rPr>
          <w:rFonts w:hint="eastAsia"/>
        </w:rPr>
        <w:t xml:space="preserve">本类别经验证合格的稿件为2篇，未达到每类最低3篇标准，原因为联合国大会主席鲍尔博克访华的外交部公告日期为4月28日，且无经验证的4月29日会谈成果报道，未达到编辑标准。</w:t>
      </w:r>
    </w:p>
    <w:p>
      <w:r>
        <w:pict>
          <v:rect style="width:0;height:1.5pt" o:hralign="center" o:hrstd="t" o:hr="t"/>
        </w:pict>
      </w:r>
    </w:p>
    <w:bookmarkEnd w:id="13"/>
    <w:bookmarkEnd w:id="14"/>
    <w:bookmarkStart w:id="17" w:name="三科技与产业"/>
    <w:p>
      <w:pPr>
        <w:pStyle w:val="Heading2"/>
      </w:pPr>
      <w:r>
        <w:rPr>
          <w:rFonts w:hint="eastAsia"/>
        </w:rPr>
        <w:t xml:space="preserve">三、科技与产业</w:t>
      </w:r>
    </w:p>
    <w:bookmarkStart w:id="15" w:name="第九届数字中国建设峰会在福州开幕聚焦人工智能创新"/>
    <w:p>
      <w:pPr>
        <w:pStyle w:val="Heading3"/>
      </w:pPr>
      <w:r>
        <w:rPr>
          <w:rFonts w:hint="eastAsia"/>
        </w:rPr>
        <w:t xml:space="preserve">第九届数字中国建设峰会在福州开幕聚焦人工智能创新</w:t>
      </w:r>
    </w:p>
    <w:p>
      <w:pPr>
        <w:pStyle w:val="FirstParagraph"/>
      </w:pPr>
      <w:r>
        <w:rPr>
          <w:rFonts w:hint="eastAsia"/>
          <w:b/>
          <w:bCs/>
        </w:rPr>
        <w:t xml:space="preserve">摘要</w:t>
      </w:r>
    </w:p>
    <w:p>
      <w:pPr>
        <w:pStyle w:val="BodyText"/>
      </w:pPr>
      <w:r>
        <w:rPr>
          <w:rFonts w:hint="eastAsia"/>
        </w:rPr>
        <w:t xml:space="preserve">据新华社2026年4月29日报道，第九届数字中国建设峰会于4月29日至30日在福建省福州市举行，主题为「加快数字技术创新发展，深化数字中国建设」。峰会期间，国家数据局、国家互联网信息办公室、工业和信息化部将联合发布30余项政策、标准和报告，包括《数字中国发展报告（2025年）》和数字中国发展指数。开幕式上启动了人工智能应用市场，现场设置了5.6万平方米的体验展区。清华大学、北京大学等7所顶尖高校及10余家科研机构带来了最新技术成果展示。峰会集中释放了一批推动数字经济发展的政策信号，凸显了中国在人工智能和数字基础设施领域的战略布局。</w:t>
      </w:r>
    </w:p>
    <w:p>
      <w:pPr>
        <w:pStyle w:val="BodyText"/>
      </w:pPr>
      <w:r>
        <w:rPr>
          <w:b/>
          <w:bCs/>
        </w:rPr>
        <w:t xml:space="preserve">References</w:t>
      </w:r>
    </w:p>
    <w:p>
      <w:pPr>
        <w:pStyle w:val="BodyText"/>
      </w:pPr>
      <w:r>
        <w:t xml:space="preserve">[7] Xinhua. (2026, April 29). China’s 9th Digital China Summit opens in Fuzhou with AI innovation focus and 30+ policy releases. Xinhua. https://english.news.cn/20260429/bd1fc00597d4405280eb3676165feac9/c.html</w:t>
      </w:r>
    </w:p>
    <w:p>
      <w:r>
        <w:pict>
          <v:rect style="width:0;height:1.5pt" o:hralign="center" o:hrstd="t" o:hr="t"/>
        </w:pict>
      </w:r>
    </w:p>
    <w:bookmarkEnd w:id="15"/>
    <w:bookmarkStart w:id="16" w:name="中国在轨演示验证航天器金属3d打印技术"/>
    <w:p>
      <w:pPr>
        <w:pStyle w:val="Heading3"/>
      </w:pPr>
      <w:r>
        <w:rPr>
          <w:rFonts w:hint="eastAsia"/>
        </w:rPr>
        <w:t xml:space="preserve">中国在轨演示验证航天器金属3D打印技术</w:t>
      </w:r>
    </w:p>
    <w:p>
      <w:pPr>
        <w:pStyle w:val="FirstParagraph"/>
      </w:pPr>
      <w:r>
        <w:rPr>
          <w:rFonts w:hint="eastAsia"/>
          <w:b/>
          <w:bCs/>
        </w:rPr>
        <w:t xml:space="preserve">摘要</w:t>
      </w:r>
    </w:p>
    <w:p>
      <w:pPr>
        <w:pStyle w:val="BodyText"/>
      </w:pPr>
      <w:r>
        <w:rPr>
          <w:rFonts w:hint="eastAsia"/>
        </w:rPr>
        <w:t xml:space="preserve">据人民日报海外版（引自科技日报）2026年4月29日报道，中国科学院力学研究所与微小卫星创新研究院在清舟货运飞船上成功完成了在轨金属3D打印技术演示验证。该实验采用激光丝材送进工艺实现金属熔融沉积，针对微重力环境进行了特别适配。实验验证了多次远程遥控启停循环，确认了系统的运行可靠性。这一技术实现了太空中「按需制造」的能力，可用于在轨生产零部件、备件及进行结构修复。未来，该技术将应用于中国空间站运营及月球探测任务，标志着中国在太空制造技术领域取得了重要突破。</w:t>
      </w:r>
    </w:p>
    <w:p>
      <w:pPr>
        <w:pStyle w:val="BodyText"/>
      </w:pPr>
      <w:r>
        <w:rPr>
          <w:b/>
          <w:bCs/>
        </w:rPr>
        <w:t xml:space="preserve">References</w:t>
      </w:r>
    </w:p>
    <w:p>
      <w:pPr>
        <w:pStyle w:val="BodyText"/>
      </w:pPr>
      <w:r>
        <w:t xml:space="preserve">[8] People’s Daily Online. (2026, April 29). China demonstrates metal 3D printing technology aboard spacecraft in orbit. People’s Daily Online. http://en.people.cn/n3/2026/0429/c90000-20451654.html</w:t>
      </w:r>
    </w:p>
    <w:p>
      <w:r>
        <w:pict>
          <v:rect style="width:0;height:1.5pt" o:hralign="center" o:hrstd="t" o:hr="t"/>
        </w:pict>
      </w:r>
    </w:p>
    <w:p>
      <w:pPr>
        <w:pStyle w:val="BlockText"/>
      </w:pPr>
      <w:r>
        <w:rPr>
          <w:rFonts w:hint="eastAsia"/>
          <w:b/>
          <w:bCs/>
        </w:rPr>
        <w:t xml:space="preserve">编辑说明：</w:t>
      </w:r>
      <w:r>
        <w:t xml:space="preserve"> </w:t>
      </w:r>
      <w:r>
        <w:rPr>
          <w:rFonts w:hint="eastAsia"/>
        </w:rPr>
        <w:t xml:space="preserve">本类别经验证合格的稿件为2篇，未达到每类最低3篇标准，原因为百度自动驾驶许可暂停事件由彭博社及日经亚洲证实，但上述两家媒体均为付费墙，无法从许可来源矩阵的免费渠道核实；Philips</w:t>
      </w:r>
      <w:r>
        <w:t xml:space="preserve"> </w:t>
      </w:r>
      <w:r>
        <w:rPr>
          <w:rFonts w:hint="eastAsia"/>
        </w:rPr>
        <w:t xml:space="preserve">CEO采访为既有运营回顾，不构成当日新增事件。</w:t>
      </w:r>
    </w:p>
    <w:p>
      <w:r>
        <w:pict>
          <v:rect style="width:0;height:1.5pt" o:hralign="center" o:hrstd="t" o:hr="t"/>
        </w:pict>
      </w:r>
    </w:p>
    <w:bookmarkEnd w:id="16"/>
    <w:bookmarkEnd w:id="17"/>
    <w:bookmarkStart w:id="22" w:name="四社会与民生"/>
    <w:p>
      <w:pPr>
        <w:pStyle w:val="Heading2"/>
      </w:pPr>
      <w:r>
        <w:rPr>
          <w:rFonts w:hint="eastAsia"/>
        </w:rPr>
        <w:t xml:space="preserve">四、社会与民生</w:t>
      </w:r>
    </w:p>
    <w:bookmarkStart w:id="18" w:name="职业伤害保障试点扩展至全国31个省区市覆盖网约车和外卖骑手"/>
    <w:p>
      <w:pPr>
        <w:pStyle w:val="Heading3"/>
      </w:pPr>
      <w:r>
        <w:rPr>
          <w:rFonts w:hint="eastAsia"/>
        </w:rPr>
        <w:t xml:space="preserve">职业伤害保障试点扩展至全国31个省区市覆盖网约车和外卖骑手</w:t>
      </w:r>
    </w:p>
    <w:p>
      <w:pPr>
        <w:pStyle w:val="FirstParagraph"/>
      </w:pPr>
      <w:r>
        <w:rPr>
          <w:rFonts w:hint="eastAsia"/>
          <w:b/>
          <w:bCs/>
        </w:rPr>
        <w:t xml:space="preserve">摘要</w:t>
      </w:r>
    </w:p>
    <w:p>
      <w:pPr>
        <w:pStyle w:val="BodyText"/>
      </w:pPr>
      <w:r>
        <w:rPr>
          <w:rFonts w:hint="eastAsia"/>
        </w:rPr>
        <w:t xml:space="preserve">据人民日报海外版2026年4月29日报道，人力资源和社会保障部宣布，自2026年7月起将职业伤害保障试点扩大至全国31个省级行政区。保障范围涵盖9个网约车平台和5家即时配送企业，中小型企业将在2026年内纳入覆盖范围。自2022年7月试点启动以来，已有超过2700万名劳动者参保。中国灵活就业劳动者总数估计达到8400万人。这一政策发布的时间节点恰在2026年五一劳动节（5月1日）前夕，且紧随4月26日出台的更广泛的灵活就业劳动者权益保障指导意见，后者涉及最低工资、算法透明度和劳动合同标准化等内容。</w:t>
      </w:r>
    </w:p>
    <w:p>
      <w:pPr>
        <w:pStyle w:val="BodyText"/>
      </w:pPr>
      <w:r>
        <w:rPr>
          <w:b/>
          <w:bCs/>
        </w:rPr>
        <w:t xml:space="preserve">References</w:t>
      </w:r>
    </w:p>
    <w:p>
      <w:pPr>
        <w:pStyle w:val="BodyText"/>
      </w:pPr>
      <w:r>
        <w:t xml:space="preserve">[9] People’s Daily Online. (2026, April 29). China expands occupational injury insurance to all 31 provinces for ride-hailing and delivery gig workers. People’s Daily Online. http://en.people.cn/n3/2026/0429/c90000-20451646.html</w:t>
      </w:r>
    </w:p>
    <w:p>
      <w:r>
        <w:pict>
          <v:rect style="width:0;height:1.5pt" o:hralign="center" o:hrstd="t" o:hr="t"/>
        </w:pict>
      </w:r>
    </w:p>
    <w:bookmarkEnd w:id="18"/>
    <w:bookmarkStart w:id="19" w:name="教育部新增15个交叉学科本科专业涵盖机器人与脑机科学"/>
    <w:p>
      <w:pPr>
        <w:pStyle w:val="Heading3"/>
      </w:pPr>
      <w:r>
        <w:rPr>
          <w:rFonts w:hint="eastAsia"/>
        </w:rPr>
        <w:t xml:space="preserve">教育部新增15个交叉学科本科专业涵盖机器人与脑机科学</w:t>
      </w:r>
    </w:p>
    <w:p>
      <w:pPr>
        <w:pStyle w:val="FirstParagraph"/>
      </w:pPr>
      <w:r>
        <w:rPr>
          <w:rFonts w:hint="eastAsia"/>
          <w:b/>
          <w:bCs/>
        </w:rPr>
        <w:t xml:space="preserve">摘要</w:t>
      </w:r>
    </w:p>
    <w:p>
      <w:pPr>
        <w:pStyle w:val="BodyText"/>
      </w:pPr>
      <w:r>
        <w:rPr>
          <w:rFonts w:hint="eastAsia"/>
        </w:rPr>
        <w:t xml:space="preserve">据人民日报海外版2026年4月29日报道，教育部新增设15个交叉学科本科专业。其中，9所高校获批开设「具身智能」专业，该专业融合机器人技术、人工智能与物理系统集成。新增专业领域涵盖未来机器人、脑机科学与技术、能源工程、深地科学、农业机器人、生物制造、数字文化与旅游以及数字贸易等方向。这些专业设置与第十五个五年规划在先进制造、人工智能和能源转型等重点领域的战略优先方向高度契合，体现了中国高等教育体系为新兴产业发展培养急需人才的系统性布局。</w:t>
      </w:r>
    </w:p>
    <w:p>
      <w:pPr>
        <w:pStyle w:val="BodyText"/>
      </w:pPr>
      <w:r>
        <w:rPr>
          <w:b/>
          <w:bCs/>
        </w:rPr>
        <w:t xml:space="preserve">References</w:t>
      </w:r>
    </w:p>
    <w:p>
      <w:pPr>
        <w:pStyle w:val="BodyText"/>
      </w:pPr>
      <w:r>
        <w:t xml:space="preserve">[10] People’s Daily Online. (2026, April 29). China adds 15 new interdisciplinary university majors including robotics, brain-machine science and energy engineering. People’s Daily Online. http://en.people.cn/n3/2026/0429/c90000-20451641.html</w:t>
      </w:r>
    </w:p>
    <w:p>
      <w:r>
        <w:pict>
          <v:rect style="width:0;height:1.5pt" o:hralign="center" o:hrstd="t" o:hr="t"/>
        </w:pict>
      </w:r>
    </w:p>
    <w:bookmarkEnd w:id="19"/>
    <w:bookmarkStart w:id="20" w:name="中国设定2030年互助养老目标应对六十岁以上人口突破三点二亿"/>
    <w:p>
      <w:pPr>
        <w:pStyle w:val="Heading3"/>
      </w:pPr>
      <w:r>
        <w:rPr>
          <w:rFonts w:hint="eastAsia"/>
        </w:rPr>
        <w:t xml:space="preserve">中国设定2030年互助养老目标应对六十岁以上人口突破三点二亿</w:t>
      </w:r>
    </w:p>
    <w:p>
      <w:pPr>
        <w:pStyle w:val="FirstParagraph"/>
      </w:pPr>
      <w:r>
        <w:rPr>
          <w:rFonts w:hint="eastAsia"/>
          <w:b/>
          <w:bCs/>
        </w:rPr>
        <w:t xml:space="preserve">摘要</w:t>
      </w:r>
    </w:p>
    <w:p>
      <w:pPr>
        <w:pStyle w:val="BodyText"/>
      </w:pPr>
      <w:r>
        <w:rPr>
          <w:rFonts w:hint="eastAsia"/>
        </w:rPr>
        <w:t xml:space="preserve">据人民日报海外版2026年4月29日报道，中国11个政府部门联合发布了关于推进互助养老服务的指导意见。目前中国60岁及以上人口已突破3.2亿，占总人口的23%，预计十年内将超过4亿。指导意见提出到2030年实现70%的城乡社区养老服务设施具备互助养老服务功能的目标，并要求建立针对独居、高龄等困难老年人的定期探访关爱机制。民政部养老服务司司长李邦华和首都经济贸易大学教授江全宝（音译）均参与了政策解读。这一政策是中国应对深度老龄化社会挑战的重要制度安排。</w:t>
      </w:r>
    </w:p>
    <w:p>
      <w:pPr>
        <w:pStyle w:val="BodyText"/>
      </w:pPr>
      <w:r>
        <w:rPr>
          <w:b/>
          <w:bCs/>
        </w:rPr>
        <w:t xml:space="preserve">References</w:t>
      </w:r>
    </w:p>
    <w:p>
      <w:pPr>
        <w:pStyle w:val="BodyText"/>
      </w:pPr>
      <w:r>
        <w:t xml:space="preserve">[11] People’s Daily Online. (2026, April 29). China sets 2030 target for mutual-aid eldercare as population aged 60+ surpasses 320 million. People’s Daily Online. http://en.people.cn/n3/2026/0429/c90000-20451763.html</w:t>
      </w:r>
    </w:p>
    <w:p>
      <w:r>
        <w:pict>
          <v:rect style="width:0;height:1.5pt" o:hralign="center" o:hrstd="t" o:hr="t"/>
        </w:pict>
      </w:r>
    </w:p>
    <w:bookmarkEnd w:id="20"/>
    <w:bookmarkStart w:id="21" w:name="中国发布银发经济发展路线图力争2035年成为国民经济增长新支柱"/>
    <w:p>
      <w:pPr>
        <w:pStyle w:val="Heading3"/>
      </w:pPr>
      <w:r>
        <w:rPr>
          <w:rFonts w:hint="eastAsia"/>
        </w:rPr>
        <w:t xml:space="preserve">中国发布银发经济发展路线图力争2035年成为国民经济增长新支柱</w:t>
      </w:r>
    </w:p>
    <w:p>
      <w:pPr>
        <w:pStyle w:val="FirstParagraph"/>
      </w:pPr>
      <w:r>
        <w:rPr>
          <w:rFonts w:hint="eastAsia"/>
          <w:b/>
          <w:bCs/>
        </w:rPr>
        <w:t xml:space="preserve">摘要</w:t>
      </w:r>
    </w:p>
    <w:p>
      <w:pPr>
        <w:pStyle w:val="BodyText"/>
      </w:pPr>
      <w:r>
        <w:rPr>
          <w:rFonts w:hint="eastAsia"/>
        </w:rPr>
        <w:t xml:space="preserve">据人民日报海外版2026年4月29日报道，中国政府发布银发经济发展路线图，明确将银发经济定位为2035年国民经济增长支柱。截至2025年底，中国60岁以上人口超过3.1亿，预计到2035年将达到4亿。截至2025年7月，全国已建成近6300个「一刻钟便民生活圈」。天津市已建设1800余家社区食堂，浙江省老年文化活动创造收入达1亿元。民政部养老服务司司长李邦华表示「发展银发经济对于应对老龄化挑战至关重要」。苏州市民政局局长盛乐指出「科技在应对养老挑战中发挥关键作用」。首都经济贸易大学教授江全宝认为「银发经济正在成为拉动内需增长的新引擎」。</w:t>
      </w:r>
    </w:p>
    <w:p>
      <w:pPr>
        <w:pStyle w:val="BodyText"/>
      </w:pPr>
      <w:r>
        <w:rPr>
          <w:rFonts w:hint="eastAsia"/>
          <w:b/>
          <w:bCs/>
        </w:rPr>
        <w:t xml:space="preserve">分析</w:t>
      </w:r>
    </w:p>
    <w:p>
      <w:pPr>
        <w:pStyle w:val="BodyText"/>
      </w:pPr>
      <w:r>
        <w:rPr>
          <w:rFonts w:hint="eastAsia"/>
        </w:rPr>
        <w:t xml:space="preserve">多位官员和学者的表态共同勾勒出银发经济的政策逻辑：在人口结构快速老龄化的背景下，将养老消费需求转化为经济增长动力。李邦华从国家战略层面阐释了银发经济的必要性，盛乐从地方实践角度强调了科技赋能的重要性，江全宝则从学术视角分析了银发经济作为内需新增长点的潜力。从天津社区食堂到浙江老年文化消费的地方实践来看，银发经济已从政策倡导进入落地实施阶段。</w:t>
      </w:r>
    </w:p>
    <w:p>
      <w:pPr>
        <w:pStyle w:val="BodyText"/>
      </w:pPr>
      <w:r>
        <w:rPr>
          <w:b/>
          <w:bCs/>
        </w:rPr>
        <w:t xml:space="preserve">References</w:t>
      </w:r>
    </w:p>
    <w:p>
      <w:pPr>
        <w:pStyle w:val="BodyText"/>
      </w:pPr>
      <w:r>
        <w:t xml:space="preserve">[12] People’s Daily Online. (2026, April 29). China rolls out</w:t>
      </w:r>
      <w:r>
        <w:t xml:space="preserve"> </w:t>
      </w:r>
      <w:r>
        <w:t xml:space="preserve">“silver economy”</w:t>
      </w:r>
      <w:r>
        <w:t xml:space="preserve"> </w:t>
      </w:r>
      <w:r>
        <w:t xml:space="preserve">road map targeting elderly consumers as growth driver by 2035. People’s Daily Online. http://en.people.cn/n3/2026/0429/c90000-20451653.html</w:t>
      </w:r>
    </w:p>
    <w:p>
      <w:r>
        <w:pict>
          <v:rect style="width:0;height:1.5pt" o:hralign="center" o:hrstd="t" o:hr="t"/>
        </w:pict>
      </w:r>
    </w:p>
    <w:bookmarkEnd w:id="21"/>
    <w:bookmarkEnd w:id="22"/>
    <w:bookmarkStart w:id="23" w:name="五其他重要事件"/>
    <w:p>
      <w:pPr>
        <w:pStyle w:val="Heading2"/>
      </w:pPr>
      <w:r>
        <w:rPr>
          <w:rFonts w:hint="eastAsia"/>
        </w:rPr>
        <w:t xml:space="preserve">五、其他重要事件</w:t>
      </w:r>
    </w:p>
    <w:p>
      <w:pPr>
        <w:pStyle w:val="BlockText"/>
      </w:pPr>
      <w:r>
        <w:rPr>
          <w:rFonts w:hint="eastAsia"/>
          <w:b/>
          <w:bCs/>
        </w:rPr>
        <w:t xml:space="preserve">编辑说明：</w:t>
      </w:r>
      <w:r>
        <w:t xml:space="preserve"> </w:t>
      </w:r>
      <w:r>
        <w:rPr>
          <w:rFonts w:hint="eastAsia"/>
        </w:rPr>
        <w:t xml:space="preserve">本类别经验证合格的稿件为0篇，未达到每类最低3篇标准，原因为上海合作组织绿色论坛前夕的绿色科技综述属于活动配套宣传稿，各项成就均属已披露信息，4月29日无新政策或事件产出；无其他符合条件的稿件进入审核流程。</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2026-04-29T08:50:47Z</dcterms:created>
  <dcterms:modified xsi:type="dcterms:W3CDTF">2026-04-29T08:50:47Z</dcterms:modified>
</cp:coreProperties>
</file>

<file path=docProps/custom.xml><?xml version="1.0" encoding="utf-8"?>
<Properties xmlns="http://schemas.openxmlformats.org/officeDocument/2006/custom-properties" xmlns:vt="http://schemas.openxmlformats.org/officeDocument/2006/docPropsVTypes"/>
</file>