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日本每日热点新闻-2026年4月29日"/>
    <w:p>
      <w:pPr>
        <w:pStyle w:val="Heading1"/>
      </w:pPr>
      <w:r>
        <w:rPr>
          <w:rFonts w:hint="eastAsia"/>
        </w:rPr>
        <w:t xml:space="preserve">日本每日热点新闻</w:t>
      </w:r>
      <w:r>
        <w:t xml:space="preserve"> — </w:t>
      </w:r>
      <w:r>
        <w:rPr>
          <w:rFonts w:hint="eastAsia"/>
        </w:rPr>
        <w:t xml:space="preserve">2026年4月29日</w:t>
      </w:r>
    </w:p>
    <w:bookmarkStart w:id="14" w:name="一经济与市场"/>
    <w:p>
      <w:pPr>
        <w:pStyle w:val="Heading2"/>
      </w:pPr>
      <w:r>
        <w:rPr>
          <w:rFonts w:hint="eastAsia"/>
        </w:rPr>
        <w:t xml:space="preserve">一、经济与市场</w:t>
      </w:r>
    </w:p>
    <w:bookmarkStart w:id="9" w:name="日本出光兴产超级油轮战时首次通过霍尔木兹海峡"/>
    <w:p>
      <w:pPr>
        <w:pStyle w:val="Heading3"/>
      </w:pPr>
      <w:r>
        <w:rPr>
          <w:rFonts w:hint="eastAsia"/>
        </w:rPr>
        <w:t xml:space="preserve">日本出光兴产超级油轮战时首次通过霍尔木兹海峡</w:t>
      </w:r>
    </w:p>
    <w:p>
      <w:pPr>
        <w:pStyle w:val="FirstParagraph"/>
      </w:pPr>
      <w:r>
        <w:rPr>
          <w:rFonts w:hint="eastAsia"/>
          <w:b/>
          <w:bCs/>
        </w:rPr>
        <w:t xml:space="preserve">摘要</w:t>
      </w:r>
    </w:p>
    <w:p>
      <w:pPr>
        <w:pStyle w:val="BodyText"/>
      </w:pPr>
      <w:r>
        <w:rPr>
          <w:rFonts w:hint="eastAsia"/>
        </w:rPr>
        <w:t xml:space="preserve">4月29日，出光兴产旗下一艘悬挂巴拿马旗的超大型油轮（VLCC）「出光丸」成功通过霍尔木兹海峡，这是美伊战争爆发以来日本炼油企业自有船舶首次完成该海峡通行。该油轮在沙特阿拉伯朱艾马终端装载约200万桶沙特原油，沿德黑兰批准的北侧航线——途经格什姆岛和拉拉克岛附近水域——顺利通行。日本政府高级官员确认「未支付任何费用」。此次通行是持续外交努力的成果，包括日本首相高市早苗4月8日与伊朗总统佩泽什基安的通话，以及外务大臣茂木敏充4月15日与伊朗外长阿拉格齐的通话。该油轮预计5月18日前后抵达名古屋港。</w:t>
      </w:r>
    </w:p>
    <w:p>
      <w:pPr>
        <w:pStyle w:val="BodyText"/>
      </w:pPr>
      <w:r>
        <w:rPr>
          <w:b/>
          <w:bCs/>
        </w:rPr>
        <w:t xml:space="preserve">References</w:t>
      </w:r>
    </w:p>
    <w:p>
      <w:pPr>
        <w:pStyle w:val="BodyText"/>
      </w:pPr>
      <w:r>
        <w:t xml:space="preserve">[1] Nikkei Asia. (2026, April 29). Japanese supertanker appears to transit Strait of Hormuz. Nikkei Asia. https://asia.nikkei.com/spotlight/iran-tensions/iran-war/japanese-supertanker-appears-to-transit-strait-of-hormuz</w:t>
      </w:r>
    </w:p>
    <w:p>
      <w:r>
        <w:pict>
          <v:rect style="width:0;height:1.5pt" o:hralign="center" o:hrstd="t" o:hr="t"/>
        </w:pict>
      </w:r>
    </w:p>
    <w:bookmarkEnd w:id="9"/>
    <w:bookmarkStart w:id="10" w:name="小松制作所预测净利润下降16受中东战争和美国关税拖累"/>
    <w:p>
      <w:pPr>
        <w:pStyle w:val="Heading3"/>
      </w:pPr>
      <w:r>
        <w:rPr>
          <w:rFonts w:hint="eastAsia"/>
        </w:rPr>
        <w:t xml:space="preserve">小松制作所预测净利润下降16%受中东战争和美国关税拖累</w:t>
      </w:r>
    </w:p>
    <w:p>
      <w:pPr>
        <w:pStyle w:val="FirstParagraph"/>
      </w:pPr>
      <w:r>
        <w:rPr>
          <w:rFonts w:hint="eastAsia"/>
          <w:b/>
          <w:bCs/>
        </w:rPr>
        <w:t xml:space="preserve">摘要</w:t>
      </w:r>
    </w:p>
    <w:p>
      <w:pPr>
        <w:pStyle w:val="BodyText"/>
      </w:pPr>
      <w:r>
        <w:rPr>
          <w:rFonts w:hint="eastAsia"/>
        </w:rPr>
        <w:t xml:space="preserve">4月29日，日本建筑机械制造商小松制作所发布2026财年业绩指引，预计合并净利润将同比下降16%至3180亿日元（约19.9亿美元），主要受到中东冲突和美国关税的双重冲击。预计净销售额微降0.4%至4.118万亿日元，营业利润率预计从上年的13.7%压缩至12.3%。小松制作所指出，由于竞争对手维持价格不变，公司「难以将成本上涨转嫁给客户」。这一业绩前景凸显了地缘政治风险对日本制造业出口企业盈利能力的持续压力，尤其是在中东局势推高原材料和物流成本的背景下。</w:t>
      </w:r>
    </w:p>
    <w:p>
      <w:pPr>
        <w:pStyle w:val="BodyText"/>
      </w:pPr>
      <w:r>
        <w:rPr>
          <w:b/>
          <w:bCs/>
        </w:rPr>
        <w:t xml:space="preserve">References</w:t>
      </w:r>
    </w:p>
    <w:p>
      <w:pPr>
        <w:pStyle w:val="BodyText"/>
      </w:pPr>
      <w:r>
        <w:t xml:space="preserve">[2] Otake, R. (2026, April 29). Komatsu expects profits to tumble 16% on Iran war, US tariffs. Nikkei Asia. https://asia.nikkei.com/business/construction/komatsu-expects-profits-to-tumble-16-on-iran-war-us-tariffs</w:t>
      </w:r>
    </w:p>
    <w:p>
      <w:r>
        <w:pict>
          <v:rect style="width:0;height:1.5pt" o:hralign="center" o:hrstd="t" o:hr="t"/>
        </w:pict>
      </w:r>
    </w:p>
    <w:bookmarkEnd w:id="10"/>
    <w:bookmarkStart w:id="11" w:name="日本转向中国石化产品应对中东石脑油供应紧缺"/>
    <w:p>
      <w:pPr>
        <w:pStyle w:val="Heading3"/>
      </w:pPr>
      <w:r>
        <w:rPr>
          <w:rFonts w:hint="eastAsia"/>
        </w:rPr>
        <w:t xml:space="preserve">日本转向中国石化产品应对中东石脑油供应紧缺</w:t>
      </w:r>
    </w:p>
    <w:p>
      <w:pPr>
        <w:pStyle w:val="FirstParagraph"/>
      </w:pPr>
      <w:r>
        <w:rPr>
          <w:rFonts w:hint="eastAsia"/>
          <w:b/>
          <w:bCs/>
        </w:rPr>
        <w:t xml:space="preserve">摘要</w:t>
      </w:r>
    </w:p>
    <w:p>
      <w:pPr>
        <w:pStyle w:val="BodyText"/>
      </w:pPr>
      <w:r>
        <w:rPr>
          <w:rFonts w:hint="eastAsia"/>
        </w:rPr>
        <w:t xml:space="preserve">4月29日，《日本经济新闻亚洲版》报道指出，随着伊朗战争严重制约日本石脑油供应（日本海外石脑油正常进口量的70%以上来自中东），日本制造商已开始从中国采购塑料和石化中间体。4月非中东渠道的石脑油采购量预计将翻倍至90万千升，较正常基准的45万千升大幅增加。从中国采购的中间体包括聚乙烯和二甲苯，广泛用于食品包装和汽车轮胎等产品。报道援引称「中东局势扰乱了日本关键石化原料石脑油的供应，日本制造商正转向中国采购化学品，用途涵盖食品托盘到轮胎」。日本政府表示，目前国内石脑油等效储备约可维持四个月。</w:t>
      </w:r>
    </w:p>
    <w:p>
      <w:pPr>
        <w:pStyle w:val="BodyText"/>
      </w:pPr>
      <w:r>
        <w:rPr>
          <w:b/>
          <w:bCs/>
        </w:rPr>
        <w:t xml:space="preserve">References</w:t>
      </w:r>
    </w:p>
    <w:p>
      <w:pPr>
        <w:pStyle w:val="BodyText"/>
      </w:pPr>
      <w:r>
        <w:t xml:space="preserve">[3] Nikkei Asia. (2026, April 29). Japan turns to Chinese petrochemicals amid naphtha crunch. Nikkei Asia. https://asia.nikkei.com/economy/trade/japan-turns-to-chinese-petrochemicals-amid-naphtha-crunch</w:t>
      </w:r>
    </w:p>
    <w:p>
      <w:r>
        <w:pict>
          <v:rect style="width:0;height:1.5pt" o:hralign="center" o:hrstd="t" o:hr="t"/>
        </w:pict>
      </w:r>
    </w:p>
    <w:bookmarkEnd w:id="11"/>
    <w:bookmarkStart w:id="12" w:name="三菱综合材料将碳化钨产品提价逾三倍应对中国出口管制"/>
    <w:p>
      <w:pPr>
        <w:pStyle w:val="Heading3"/>
      </w:pPr>
      <w:r>
        <w:rPr>
          <w:rFonts w:hint="eastAsia"/>
        </w:rPr>
        <w:t xml:space="preserve">三菱综合材料将碳化钨产品提价逾三倍应对中国出口管制</w:t>
      </w:r>
    </w:p>
    <w:p>
      <w:pPr>
        <w:pStyle w:val="FirstParagraph"/>
      </w:pPr>
      <w:r>
        <w:rPr>
          <w:rFonts w:hint="eastAsia"/>
          <w:b/>
          <w:bCs/>
        </w:rPr>
        <w:t xml:space="preserve">摘要</w:t>
      </w:r>
    </w:p>
    <w:p>
      <w:pPr>
        <w:pStyle w:val="BodyText"/>
      </w:pPr>
      <w:r>
        <w:rPr>
          <w:rFonts w:hint="eastAsia"/>
        </w:rPr>
        <w:t xml:space="preserve">4月29日，《日本经济新闻亚洲版》记者重野新太报道，三菱综合材料株式会社将把碳化钨切削工具产品部分品级的价格提高三倍以上，原因是北京持续实施的稀有金属出口管制限制了全球钨供应。报道指出「日本三菱综合材料将把用于硬质切削工具的钨产品价格在部分情况下提高三倍以上，因中国出口限制持续制约这一稀有金属的供应」。碳化钨是日本制造业精密加工工具的关键材料，此次大幅提价反映出中国稀有金属出口管控对日本制造业供应链的深远影响，企业成本压力显著加大。</w:t>
      </w:r>
    </w:p>
    <w:p>
      <w:pPr>
        <w:pStyle w:val="BodyText"/>
      </w:pPr>
      <w:r>
        <w:rPr>
          <w:b/>
          <w:bCs/>
        </w:rPr>
        <w:t xml:space="preserve">References</w:t>
      </w:r>
    </w:p>
    <w:p>
      <w:pPr>
        <w:pStyle w:val="BodyText"/>
      </w:pPr>
      <w:r>
        <w:t xml:space="preserve">[4] Shigeno, A. (2026, April 29). Mitsubishi Materials to lift tungsten carbide prices on tight China supply. Nikkei Asia. https://asia.nikkei.com/business/companies/mitsubishi-materials-to-lift-tungsten-carbide-prices-on-tight-china-supply</w:t>
      </w:r>
    </w:p>
    <w:p>
      <w:r>
        <w:pict>
          <v:rect style="width:0;height:1.5pt" o:hralign="center" o:hrstd="t" o:hr="t"/>
        </w:pict>
      </w:r>
    </w:p>
    <w:bookmarkEnd w:id="12"/>
    <w:bookmarkStart w:id="13" w:name="日本财务省牵头为太平洋岛国建立集中汇款结算机制抗衡中国影响力"/>
    <w:p>
      <w:pPr>
        <w:pStyle w:val="Heading3"/>
      </w:pPr>
      <w:r>
        <w:rPr>
          <w:rFonts w:hint="eastAsia"/>
        </w:rPr>
        <w:t xml:space="preserve">日本财务省牵头为太平洋岛国建立集中汇款结算机制抗衡中国影响力</w:t>
      </w:r>
    </w:p>
    <w:p>
      <w:pPr>
        <w:pStyle w:val="FirstParagraph"/>
      </w:pPr>
      <w:r>
        <w:rPr>
          <w:rFonts w:hint="eastAsia"/>
          <w:b/>
          <w:bCs/>
        </w:rPr>
        <w:t xml:space="preserve">摘要</w:t>
      </w:r>
    </w:p>
    <w:p>
      <w:pPr>
        <w:pStyle w:val="BodyText"/>
      </w:pPr>
      <w:r>
        <w:rPr>
          <w:rFonts w:hint="eastAsia"/>
        </w:rPr>
        <w:t xml:space="preserve">4月29日，《日本经济新闻亚洲版》报道指出，日本财务省宣布将牵头建立「太平洋支付机制」（Pacific</w:t>
      </w:r>
      <w:r>
        <w:t xml:space="preserve"> Payments </w:t>
      </w:r>
      <w:r>
        <w:rPr>
          <w:rFonts w:hint="eastAsia"/>
        </w:rPr>
        <w:t xml:space="preserve">Mechanism），为太平洋岛国的国际汇款提供集中结算服务，以填补西方银行撤出代理行服务后留下的空白。日本财务大臣片山皋月将于5月在乌兹别克斯坦撒马尔罕举行的日本-太平洋岛国财长会议上正式提出该倡议。报道称「日本财务省将帮助建立一个框架，为太平洋岛国和领地处理国际汇款，因处理此类交易的大型银行越来越多地撤出该地区」。该计划旨在部署日本数字支付技术，并抗衡中国以人民币为基础在太平洋地区日益扩大的金融影响力——2011年至2022年间，该地区约60%的国际汇款服务合同已流失。</w:t>
      </w:r>
    </w:p>
    <w:p>
      <w:pPr>
        <w:pStyle w:val="BodyText"/>
      </w:pPr>
      <w:r>
        <w:rPr>
          <w:b/>
          <w:bCs/>
        </w:rPr>
        <w:t xml:space="preserve">References</w:t>
      </w:r>
    </w:p>
    <w:p>
      <w:pPr>
        <w:pStyle w:val="BodyText"/>
      </w:pPr>
      <w:r>
        <w:t xml:space="preserve">[5] Ishibichi, J. (2026, April 29). Japan to help Pacific island nations create payment processor. Nikkei Asia. https://asia.nikkei.com/business/finance/japan-to-help-pacific-island-nations-create-payment-processor</w:t>
      </w:r>
    </w:p>
    <w:p>
      <w:r>
        <w:pict>
          <v:rect style="width:0;height:1.5pt" o:hralign="center" o:hrstd="t" o:hr="t"/>
        </w:pict>
      </w:r>
    </w:p>
    <w:bookmarkEnd w:id="13"/>
    <w:bookmarkEnd w:id="14"/>
    <w:bookmarkStart w:id="18" w:name="二政治与外交"/>
    <w:p>
      <w:pPr>
        <w:pStyle w:val="Heading2"/>
      </w:pPr>
      <w:r>
        <w:rPr>
          <w:rFonts w:hint="eastAsia"/>
        </w:rPr>
        <w:t xml:space="preserve">二、政治与外交</w:t>
      </w:r>
    </w:p>
    <w:bookmarkStart w:id="15" w:name="日本terra-drone投资第二家乌克兰拦截无人机企业瞄准防务出口"/>
    <w:p>
      <w:pPr>
        <w:pStyle w:val="Heading3"/>
      </w:pPr>
      <w:r>
        <w:rPr>
          <w:rFonts w:hint="eastAsia"/>
        </w:rPr>
        <w:t xml:space="preserve">日本Terra</w:t>
      </w:r>
      <w:r>
        <w:t xml:space="preserve"> </w:t>
      </w:r>
      <w:r>
        <w:rPr>
          <w:rFonts w:hint="eastAsia"/>
        </w:rPr>
        <w:t xml:space="preserve">Drone投资第二家乌克兰拦截无人机企业瞄准防务出口</w:t>
      </w:r>
    </w:p>
    <w:p>
      <w:pPr>
        <w:pStyle w:val="FirstParagraph"/>
      </w:pPr>
      <w:r>
        <w:rPr>
          <w:rFonts w:hint="eastAsia"/>
          <w:b/>
          <w:bCs/>
        </w:rPr>
        <w:t xml:space="preserve">摘要</w:t>
      </w:r>
    </w:p>
    <w:p>
      <w:pPr>
        <w:pStyle w:val="BodyText"/>
      </w:pPr>
      <w:r>
        <w:rPr>
          <w:rFonts w:hint="eastAsia"/>
        </w:rPr>
        <w:t xml:space="preserve">4月29日，《日本经济新闻亚洲版》报道，日本无人机开发商Terra</w:t>
      </w:r>
      <w:r>
        <w:t xml:space="preserve"> </w:t>
      </w:r>
      <w:r>
        <w:rPr>
          <w:rFonts w:hint="eastAsia"/>
        </w:rPr>
        <w:t xml:space="preserve">Drone宣布对乌克兰固定翼拦截无人机制造商WinnyLab</w:t>
      </w:r>
      <w:r>
        <w:t xml:space="preserve"> </w:t>
      </w:r>
      <w:r>
        <w:rPr>
          <w:rFonts w:hint="eastAsia"/>
        </w:rPr>
        <w:t xml:space="preserve">LLC进行战略投资，这是继Amazing</w:t>
      </w:r>
      <w:r>
        <w:t xml:space="preserve"> Drones </w:t>
      </w:r>
      <w:r>
        <w:rPr>
          <w:rFonts w:hint="eastAsia"/>
        </w:rPr>
        <w:t xml:space="preserve">LLC之后该公司第二次投资乌克兰防务企业。WinnyLab的电动固定翼拦截无人机最高时速可达312公里，作战半径75公里，能在GPS拒止和通信干扰条件下击败「见证者」（Shahed）型无人机。报道指出「对WinnyLab的投资旨在实现拦截无人机的量产」。此举反映了日本在解除致命武器出口长期禁令后更广泛的防务出口自由化进程，Terra</w:t>
      </w:r>
      <w:r>
        <w:t xml:space="preserve"> </w:t>
      </w:r>
      <w:r>
        <w:rPr>
          <w:rFonts w:hint="eastAsia"/>
        </w:rPr>
        <w:t xml:space="preserve">Drone正积极布局分层防空系统的规模化生产。</w:t>
      </w:r>
    </w:p>
    <w:p>
      <w:pPr>
        <w:pStyle w:val="BodyText"/>
      </w:pPr>
      <w:r>
        <w:rPr>
          <w:b/>
          <w:bCs/>
        </w:rPr>
        <w:t xml:space="preserve">References</w:t>
      </w:r>
    </w:p>
    <w:p>
      <w:pPr>
        <w:pStyle w:val="BodyText"/>
      </w:pPr>
      <w:r>
        <w:t xml:space="preserve">[6] Kaneko, N., &amp; Shibata, Y. (2026, April 29). Japan’s Terra Drone backs 2nd Ukrainian peer with eye on defense exports. Nikkei Asia. https://asia.nikkei.com/business/aerospace-defense-industries/japan-s-terra-drone-backs-2nd-ukrainian-peer-with-eye-on-defense-exports</w:t>
      </w:r>
    </w:p>
    <w:p>
      <w:r>
        <w:pict>
          <v:rect style="width:0;height:1.5pt" o:hralign="center" o:hrstd="t" o:hr="t"/>
        </w:pict>
      </w:r>
    </w:p>
    <w:bookmarkEnd w:id="15"/>
    <w:bookmarkStart w:id="16" w:name="日本众议院通过入管法修正案永居申请费上限提高30倍并创设jesta系统"/>
    <w:p>
      <w:pPr>
        <w:pStyle w:val="Heading3"/>
      </w:pPr>
      <w:r>
        <w:rPr>
          <w:rFonts w:hint="eastAsia"/>
        </w:rPr>
        <w:t xml:space="preserve">日本众议院通过入管法修正案永居申请费上限提高30倍并创设JESTA系统</w:t>
      </w:r>
    </w:p>
    <w:p>
      <w:pPr>
        <w:pStyle w:val="FirstParagraph"/>
      </w:pPr>
      <w:r>
        <w:rPr>
          <w:rFonts w:hint="eastAsia"/>
          <w:b/>
          <w:bCs/>
        </w:rPr>
        <w:t xml:space="preserve">摘要</w:t>
      </w:r>
    </w:p>
    <w:p>
      <w:pPr>
        <w:pStyle w:val="BodyText"/>
      </w:pPr>
      <w:r>
        <w:rPr>
          <w:rFonts w:hint="eastAsia"/>
        </w:rPr>
        <w:t xml:space="preserve">4月29日，日本众议院通过立法，自1982年以来首次提高入境管理手续费法定上限。永久居留申请费上限由1万日元提高至30万日元，在留资格变更和延期申请费上限提高至10万日元。法案同时创设「日本电子旅行授权系统」（JESTA），这是一个面向目前约74个免签国公民的在线入境预审平台，预计于2028财年启动运行。报道指出「若法案在参议院获得通过，新的入管手续费将在本财年内（截至明年3月）实施」。该法案获得执政自民党和两个在野党的支持，现已移交参议院审议。</w:t>
      </w:r>
    </w:p>
    <w:p>
      <w:pPr>
        <w:pStyle w:val="BodyText"/>
      </w:pPr>
      <w:r>
        <w:rPr>
          <w:b/>
          <w:bCs/>
        </w:rPr>
        <w:t xml:space="preserve">References</w:t>
      </w:r>
    </w:p>
    <w:p>
      <w:pPr>
        <w:pStyle w:val="BodyText"/>
      </w:pPr>
      <w:r>
        <w:t xml:space="preserve">[7] The Japan Times. (2026, April 29). Immigration fees rise. The Japan Times. https://www.japantimes.co.jp/news/2026/04/29/japan/crime-legal/immigration-fees-rise/</w:t>
      </w:r>
    </w:p>
    <w:p>
      <w:r>
        <w:pict>
          <v:rect style="width:0;height:1.5pt" o:hralign="center" o:hrstd="t" o:hr="t"/>
        </w:pict>
      </w:r>
    </w:p>
    <w:bookmarkEnd w:id="16"/>
    <w:bookmarkStart w:id="17" w:name="日本公布2026年春季叙勋名单高达创始人富野由悠季获旭日章"/>
    <w:p>
      <w:pPr>
        <w:pStyle w:val="Heading3"/>
      </w:pPr>
      <w:r>
        <w:rPr>
          <w:rFonts w:hint="eastAsia"/>
        </w:rPr>
        <w:t xml:space="preserve">日本公布2026年春季叙勋名单高达创始人富野由悠季获旭日章</w:t>
      </w:r>
    </w:p>
    <w:p>
      <w:pPr>
        <w:pStyle w:val="FirstParagraph"/>
      </w:pPr>
      <w:r>
        <w:rPr>
          <w:rFonts w:hint="eastAsia"/>
          <w:b/>
          <w:bCs/>
        </w:rPr>
        <w:t xml:space="preserve">摘要</w:t>
      </w:r>
    </w:p>
    <w:p>
      <w:pPr>
        <w:pStyle w:val="BodyText"/>
      </w:pPr>
      <w:r>
        <w:rPr>
          <w:rFonts w:hint="eastAsia"/>
        </w:rPr>
        <w:t xml:space="preserve">4月29日（昭和之日），日本政府公布2026年春季叙勋名单，共有3875人获得表彰。其中10人获颁旭日大绶章。动画导演富野由悠季（84岁），「机动战士高达」系列创作者，获颁旭日中绶章；漫画家里中满智子（78岁），创作作品逾500部，获颁同等勋章。富野由悠季表示「能够获得这样的荣誉，我真的非常高兴」。本次受勋者中女性占比为11.5%，反映出日本各界对文化艺术领域杰出贡献者的认可。</w:t>
      </w:r>
    </w:p>
    <w:p>
      <w:pPr>
        <w:pStyle w:val="BodyText"/>
      </w:pPr>
      <w:r>
        <w:rPr>
          <w:b/>
          <w:bCs/>
        </w:rPr>
        <w:t xml:space="preserve">References</w:t>
      </w:r>
    </w:p>
    <w:p>
      <w:pPr>
        <w:pStyle w:val="BodyText"/>
      </w:pPr>
      <w:r>
        <w:t xml:space="preserve">[8] Nippon.com. (2026, April 29). Japan recognizes 3,875 people in 2026 spring honors. Nippon.com. https://www.nippon.com/en/news/yjj2026042900152/japan-recognizes-3-875-people-in-2026-spring-honors.html</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东京电子与台积电合作关系因员工泄密定罪面临风险"/>
    <w:p>
      <w:pPr>
        <w:pStyle w:val="Heading3"/>
      </w:pPr>
      <w:r>
        <w:rPr>
          <w:rFonts w:hint="eastAsia"/>
        </w:rPr>
        <w:t xml:space="preserve">东京电子与台积电合作关系因员工泄密定罪面临风险</w:t>
      </w:r>
    </w:p>
    <w:p>
      <w:pPr>
        <w:pStyle w:val="FirstParagraph"/>
      </w:pPr>
      <w:r>
        <w:rPr>
          <w:rFonts w:hint="eastAsia"/>
          <w:b/>
          <w:bCs/>
        </w:rPr>
        <w:t xml:space="preserve">摘要</w:t>
      </w:r>
    </w:p>
    <w:p>
      <w:pPr>
        <w:pStyle w:val="BodyText"/>
      </w:pPr>
      <w:r>
        <w:rPr>
          <w:rFonts w:hint="eastAsia"/>
        </w:rPr>
        <w:t xml:space="preserve">4月29日，《日本经济新闻亚洲版》报道，台湾一家法院认定东京电子子公司一名前员工泄露台积电（TSMC）机密技术数据罪名成立，此事可能损害这家日本芯片设备制造商与其最重要客户之间的特殊协同开发关系。报道指出「台湾法院认定东京电子旗下一个部门的前员工泄露了台积电的机密数据，这可能破坏这家日本芯片工具制造商与一个在其技术发展中扮演关键角色的重要客户之间的关系」。该案再次引发外界对日本半导体产业供应链知识产权安全的关注，尤其是在日本大力投资扩展国内芯片制造能力的背景下。</w:t>
      </w:r>
    </w:p>
    <w:p>
      <w:pPr>
        <w:pStyle w:val="BodyText"/>
      </w:pPr>
      <w:r>
        <w:rPr>
          <w:b/>
          <w:bCs/>
        </w:rPr>
        <w:t xml:space="preserve">References</w:t>
      </w:r>
    </w:p>
    <w:p>
      <w:pPr>
        <w:pStyle w:val="BodyText"/>
      </w:pPr>
      <w:r>
        <w:t xml:space="preserve">[9] Ryugen, H., &amp; Eguchi, R. (2026, April 29). Tokyo Electron’s close ties with TSMC at risk after chip tech leak. Nikkei Asia. https://asia.nikkei.com/business/tech/semiconductors/tokyo-electron-s-close-ties-with-tsmc-at-risk-after-chip-tech-leak</w:t>
      </w:r>
    </w:p>
    <w:p>
      <w:r>
        <w:pict>
          <v:rect style="width:0;height:1.5pt" o:hralign="center" o:hrstd="t" o:hr="t"/>
        </w:pict>
      </w:r>
    </w:p>
    <w:bookmarkEnd w:id="19"/>
    <w:bookmarkStart w:id="20" w:name="日本计划实施全球首次太空太阳能电力向地面传输实验"/>
    <w:p>
      <w:pPr>
        <w:pStyle w:val="Heading3"/>
      </w:pPr>
      <w:r>
        <w:rPr>
          <w:rFonts w:hint="eastAsia"/>
        </w:rPr>
        <w:t xml:space="preserve">日本计划实施全球首次太空太阳能电力向地面传输实验</w:t>
      </w:r>
    </w:p>
    <w:p>
      <w:pPr>
        <w:pStyle w:val="FirstParagraph"/>
      </w:pPr>
      <w:r>
        <w:rPr>
          <w:rFonts w:hint="eastAsia"/>
          <w:b/>
          <w:bCs/>
        </w:rPr>
        <w:t xml:space="preserve">摘要</w:t>
      </w:r>
    </w:p>
    <w:p>
      <w:pPr>
        <w:pStyle w:val="BodyText"/>
      </w:pPr>
      <w:r>
        <w:rPr>
          <w:rFonts w:hint="eastAsia"/>
        </w:rPr>
        <w:t xml:space="preserve">4月29日，《日本经济新闻亚洲版》记者黑田真奈报道，日本正准备于2026年晚些时候发射一颗卫星，实施可能成为全球首次的太空太阳能微波无线输电地面接收示范实验。该卫星项目名为「OHISAMA」，将在约400公里轨道高度运行，通过微波束向位于长野县Suwa市的13天线地面接收站传输约1千瓦电力。报道称「日本计划进行一项实验，利用微波将太空太阳能电池板产生的电力传输到地球，这一潜在的全球首创可能有助于解决电力短缺并促进未来的月球探索」。长期愿景是到2050年部署一个面积达2.5平方公里的太空太阳能阵列，以应对国内电力短缺并支持月球作业。</w:t>
      </w:r>
    </w:p>
    <w:p>
      <w:pPr>
        <w:pStyle w:val="BodyText"/>
      </w:pPr>
      <w:r>
        <w:rPr>
          <w:b/>
          <w:bCs/>
        </w:rPr>
        <w:t xml:space="preserve">References</w:t>
      </w:r>
    </w:p>
    <w:p>
      <w:pPr>
        <w:pStyle w:val="BodyText"/>
      </w:pPr>
      <w:r>
        <w:t xml:space="preserve">[10] Kuroda, M. (2026, April 29). Japan eyes world-first transmission of space-based solar power to Earth. Nikkei Asia. https://asia.nikkei.com/business/science/japan-eyes-world-first-transmission-of-space-based-solar-power-to-earth</w:t>
      </w:r>
    </w:p>
    <w:p>
      <w:r>
        <w:pict>
          <v:rect style="width:0;height:1.5pt" o:hralign="center" o:hrstd="t" o:hr="t"/>
        </w:pict>
      </w:r>
    </w:p>
    <w:bookmarkEnd w:id="20"/>
    <w:bookmarkStart w:id="21" w:name="本田加速追赶越南和印度快速增长的电动摩托车市场"/>
    <w:p>
      <w:pPr>
        <w:pStyle w:val="Heading3"/>
      </w:pPr>
      <w:r>
        <w:rPr>
          <w:rFonts w:hint="eastAsia"/>
        </w:rPr>
        <w:t xml:space="preserve">本田加速追赶越南和印度快速增长的电动摩托车市场</w:t>
      </w:r>
    </w:p>
    <w:p>
      <w:pPr>
        <w:pStyle w:val="FirstParagraph"/>
      </w:pPr>
      <w:r>
        <w:rPr>
          <w:rFonts w:hint="eastAsia"/>
          <w:b/>
          <w:bCs/>
        </w:rPr>
        <w:t xml:space="preserve">摘要</w:t>
      </w:r>
    </w:p>
    <w:p>
      <w:pPr>
        <w:pStyle w:val="BodyText"/>
      </w:pPr>
      <w:r>
        <w:rPr>
          <w:rFonts w:hint="eastAsia"/>
        </w:rPr>
        <w:t xml:space="preserve">4月29日，《日本经济新闻亚洲版》报道，本田汽车正努力在越南和印度的电动摩托车市场收复失地，此前越南加速推进环境法规迫使企业比本田预期更快地转向电动化，令本田措手不及。报道指出「本田汽车在越南和印度的电动摩托车市场落后后，正竭力弥补失地」。本田在越南汽车展上展示了ICON</w:t>
      </w:r>
      <w:r>
        <w:t xml:space="preserve"> </w:t>
      </w:r>
      <w:r>
        <w:rPr>
          <w:rFonts w:hint="eastAsia"/>
        </w:rPr>
        <w:t xml:space="preserve">e车型。来自中国和当地的电动车竞争对手凭借价格更实惠的产品率先占领市场，给本田带来显著竞争压力。这一局面凸显出传统燃油车巨头在新兴市场电动化转型中面临的战略调整挑战。</w:t>
      </w:r>
    </w:p>
    <w:p>
      <w:pPr>
        <w:pStyle w:val="BodyText"/>
      </w:pPr>
      <w:r>
        <w:rPr>
          <w:b/>
          <w:bCs/>
        </w:rPr>
        <w:t xml:space="preserve">References</w:t>
      </w:r>
    </w:p>
    <w:p>
      <w:pPr>
        <w:pStyle w:val="BodyText"/>
      </w:pPr>
      <w:r>
        <w:t xml:space="preserve">[11] Miyake, I., &amp; Nitta, Y. (2026, April 29). Honda plays catch-up in Vietnam and India’s e-motorcycle markets. Nikkei Asia. https://asia.nikkei.com/business/automobiles/electric-vehicles/honda-plays-catch-up-in-vietnam-and-india-s-e-motorcycle-markets</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天皇陛下与高市首相出席昭和时代百年国家纪念仪式"/>
    <w:p>
      <w:pPr>
        <w:pStyle w:val="Heading3"/>
      </w:pPr>
      <w:r>
        <w:rPr>
          <w:rFonts w:hint="eastAsia"/>
        </w:rPr>
        <w:t xml:space="preserve">天皇陛下与高市首相出席昭和时代百年国家纪念仪式</w:t>
      </w:r>
    </w:p>
    <w:p>
      <w:pPr>
        <w:pStyle w:val="FirstParagraph"/>
      </w:pPr>
      <w:r>
        <w:rPr>
          <w:rFonts w:hint="eastAsia"/>
          <w:b/>
          <w:bCs/>
        </w:rPr>
        <w:t xml:space="preserve">摘要</w:t>
      </w:r>
    </w:p>
    <w:p>
      <w:pPr>
        <w:pStyle w:val="BodyText"/>
      </w:pPr>
      <w:r>
        <w:rPr>
          <w:rFonts w:hint="eastAsia"/>
        </w:rPr>
        <w:t xml:space="preserve">4月29日（昭和之日），德仁天皇和雅子皇后出席在东京日本武道馆举行的政府主办纪念仪式，纪念昭和时代开始一百周年。日本首相高市早苗、众议院议长、参议院议长和最高法院首席大法官分别发表正式致辞。日本财务省为此发行了面值1000日元的纪念银币，币面设计融合了新干线列车、东京塔和早期高速公路等昭和时代标志性元素。出于安保需要，北之丸公园自4月28日晚间起限制公众进入。这一仪式彰显了日本社会对昭和时代历史遗产的重视与纪念。</w:t>
      </w:r>
    </w:p>
    <w:p>
      <w:pPr>
        <w:pStyle w:val="BodyText"/>
      </w:pPr>
      <w:r>
        <w:rPr>
          <w:b/>
          <w:bCs/>
        </w:rPr>
        <w:t xml:space="preserve">References</w:t>
      </w:r>
    </w:p>
    <w:p>
      <w:pPr>
        <w:pStyle w:val="BodyText"/>
      </w:pPr>
      <w:r>
        <w:t xml:space="preserve">[12] GaijinPot. (2026, April 29). Showa Day: Japan celebrate the 100th anniversary of the Showa era. GaijinPot. https://blog.gaijinpot.com/showa-day-japan-celebrate-the-100th-anniversary-of-the-showa-era/</w:t>
      </w:r>
    </w:p>
    <w:p>
      <w:r>
        <w:pict>
          <v:rect style="width:0;height:1.5pt" o:hralign="center" o:hrstd="t" o:hr="t"/>
        </w:pict>
      </w:r>
    </w:p>
    <w:bookmarkEnd w:id="23"/>
    <w:bookmarkStart w:id="24" w:name="太空酿造清酒獭祭联手三菱重工拍出1.1亿日元天价"/>
    <w:p>
      <w:pPr>
        <w:pStyle w:val="Heading3"/>
      </w:pPr>
      <w:r>
        <w:rPr>
          <w:rFonts w:hint="eastAsia"/>
        </w:rPr>
        <w:t xml:space="preserve">太空酿造清酒獭祭联手三菱重工拍出1.1亿日元天价</w:t>
      </w:r>
    </w:p>
    <w:p>
      <w:pPr>
        <w:pStyle w:val="FirstParagraph"/>
      </w:pPr>
      <w:r>
        <w:rPr>
          <w:rFonts w:hint="eastAsia"/>
          <w:b/>
          <w:bCs/>
        </w:rPr>
        <w:t xml:space="preserve">摘要</w:t>
      </w:r>
    </w:p>
    <w:p>
      <w:pPr>
        <w:pStyle w:val="BodyText"/>
      </w:pPr>
      <w:r>
        <w:rPr>
          <w:rFonts w:hint="eastAsia"/>
        </w:rPr>
        <w:t xml:space="preserve">4月29日，《日本经济新闻亚洲版》报道，一瓶由外太空发酵酒醪酿造的清酒以1.1亿日元（约69万美元）的价格在拍卖会上成交。该项目由高端清酒品牌「獭祭」（Dassai）与三菱重工业联合开发，作为其更长期目标——在月球酿造清酒——的前期试验。报道称「日本清酒品牌獭祭使用在外太空发酵的酒醪成功酿造清酒，项目合作伙伴三菱重工周二表示，一瓶限量版以1.1亿日元成交」。发酵试验在空间站上完成，拍卖所得将用于支持日本太空开发相关项目。</w:t>
      </w:r>
    </w:p>
    <w:p>
      <w:pPr>
        <w:pStyle w:val="BodyText"/>
      </w:pPr>
      <w:r>
        <w:rPr>
          <w:b/>
          <w:bCs/>
        </w:rPr>
        <w:t xml:space="preserve">References</w:t>
      </w:r>
    </w:p>
    <w:p>
      <w:pPr>
        <w:pStyle w:val="BodyText"/>
      </w:pPr>
      <w:r>
        <w:t xml:space="preserve">[13] Kurose, T. (2026, April 29). Japanese sake made in space fetches nearly $700,000. Nikkei Asia. https://asia.nikkei.com/business/food-beverage/japanese-sake-made-in-space-fetches-nearly-700-000</w:t>
      </w:r>
    </w:p>
    <w:p>
      <w:r>
        <w:pict>
          <v:rect style="width:0;height:1.5pt" o:hralign="center" o:hrstd="t" o:hr="t"/>
        </w:pict>
      </w:r>
    </w:p>
    <w:bookmarkEnd w:id="24"/>
    <w:bookmarkStart w:id="25" w:name="年黄金周启幕国内出行2390万人次但人均消费六年来首降"/>
    <w:p>
      <w:pPr>
        <w:pStyle w:val="Heading3"/>
      </w:pPr>
      <w:r>
        <w:rPr>
          <w:rFonts w:hint="eastAsia"/>
        </w:rPr>
        <w:t xml:space="preserve">2026年黄金周启幕国内出行2390万人次但人均消费六年来首降</w:t>
      </w:r>
    </w:p>
    <w:p>
      <w:pPr>
        <w:pStyle w:val="FirstParagraph"/>
      </w:pPr>
      <w:r>
        <w:rPr>
          <w:rFonts w:hint="eastAsia"/>
          <w:b/>
          <w:bCs/>
        </w:rPr>
        <w:t xml:space="preserve">摘要</w:t>
      </w:r>
    </w:p>
    <w:p>
      <w:pPr>
        <w:pStyle w:val="BodyText"/>
      </w:pPr>
      <w:r>
        <w:rPr>
          <w:rFonts w:hint="eastAsia"/>
        </w:rPr>
        <w:t xml:space="preserve">4月29日昭和之日，日本2026年黄金周假期正式拉开帷幕。日本旅行社JTB预测，4月29日至5月7日期间国内出行人数将达2390万人次，连续第六年增长，接近2019年疫情前2400万人次的纪录水平。然而，人均消费预计同比下降2.1%至46,000日元，为2020年以来首次下滑。JTB代表指出「经济前景的不确定性，包括原油价格上涨」是消费信心承压的主要原因。国际出境游方面，预计出行人数同比增长8.5%至57.2万人次，其中韩国、台湾和中国占比约60%。东京证券交易所因假期休市。</w:t>
      </w:r>
    </w:p>
    <w:p>
      <w:pPr>
        <w:pStyle w:val="BodyText"/>
      </w:pPr>
      <w:r>
        <w:rPr>
          <w:rFonts w:hint="eastAsia"/>
          <w:b/>
          <w:bCs/>
        </w:rPr>
        <w:t xml:space="preserve">分析</w:t>
      </w:r>
    </w:p>
    <w:p>
      <w:pPr>
        <w:pStyle w:val="BodyText"/>
      </w:pPr>
      <w:r>
        <w:rPr>
          <w:rFonts w:hint="eastAsia"/>
        </w:rPr>
        <w:t xml:space="preserve">JTB代表指出「经济前景的不确定性，包括原油价格上涨」正在抑制消费者支出意愿。尽管出行人数持续攀升，人均消费的六年来首次下降反映出中东局势带来的能源成本上升和整体经济不确定性对日本家庭消费信心的侵蚀。</w:t>
      </w:r>
    </w:p>
    <w:p>
      <w:pPr>
        <w:pStyle w:val="BodyText"/>
      </w:pPr>
      <w:r>
        <w:rPr>
          <w:b/>
          <w:bCs/>
        </w:rPr>
        <w:t xml:space="preserve">References</w:t>
      </w:r>
    </w:p>
    <w:p>
      <w:pPr>
        <w:pStyle w:val="BodyText"/>
      </w:pPr>
      <w:r>
        <w:t xml:space="preserve">[14] Nippon.com. (2026, April 21). Golden Week 2026 travel forecast. Nippon.com. https://www.nippon.com/en/japan-data/h02761/</w:t>
      </w:r>
    </w:p>
    <w:p>
      <w:r>
        <w:pict>
          <v:rect style="width:0;height:1.5pt" o:hralign="center" o:hrstd="t" o:hr="t"/>
        </w:pict>
      </w:r>
    </w:p>
    <w:bookmarkEnd w:id="25"/>
    <w:bookmarkEnd w:id="26"/>
    <w:bookmarkStart w:id="27" w:name="五其他重要事件"/>
    <w:p>
      <w:pPr>
        <w:pStyle w:val="Heading2"/>
      </w:pPr>
      <w:r>
        <w:rPr>
          <w:rFonts w:hint="eastAsia"/>
        </w:rPr>
        <w:t xml:space="preserve">五、其他重要事件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2026-04-29T08:47:43Z</dcterms:created>
  <dcterms:modified xsi:type="dcterms:W3CDTF">2026-04-29T08:47:43Z</dcterms:modified>
</cp:coreProperties>
</file>

<file path=docProps/custom.xml><?xml version="1.0" encoding="utf-8"?>
<Properties xmlns="http://schemas.openxmlformats.org/officeDocument/2006/custom-properties" xmlns:vt="http://schemas.openxmlformats.org/officeDocument/2006/docPropsVTypes"/>
</file>