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韩国每日热点新闻-2026年4月29日"/>
    <w:p>
      <w:pPr>
        <w:pStyle w:val="Heading1"/>
      </w:pPr>
      <w:r>
        <w:rPr>
          <w:rFonts w:hint="eastAsia"/>
        </w:rPr>
        <w:t xml:space="preserve">韩国每日热点新闻</w:t>
      </w:r>
      <w:r>
        <w:t xml:space="preserve"> — </w:t>
      </w:r>
      <w:r>
        <w:rPr>
          <w:rFonts w:hint="eastAsia"/>
        </w:rPr>
        <w:t xml:space="preserve">2026年4月29日</w:t>
      </w:r>
    </w:p>
    <w:p>
      <w:pPr>
        <w:pStyle w:val="BlockText"/>
      </w:pPr>
      <w:r>
        <w:rPr>
          <w:rFonts w:hint="eastAsia"/>
        </w:rPr>
        <w:t xml:space="preserve">报告日期：2026-04-29</w:t>
      </w:r>
      <w:r>
        <w:t xml:space="preserve"> | </w:t>
      </w:r>
      <w:r>
        <w:rPr>
          <w:rFonts w:hint="eastAsia"/>
        </w:rPr>
        <w:t xml:space="preserve">语言：zh</w:t>
      </w:r>
      <w:r>
        <w:t xml:space="preserve"> | </w:t>
      </w:r>
      <w:r>
        <w:rPr>
          <w:rFonts w:hint="eastAsia"/>
        </w:rPr>
        <w:t xml:space="preserve">来源核验：T1–T4</w:t>
      </w:r>
    </w:p>
    <w:bookmarkStart w:id="13" w:name="一经济与市场"/>
    <w:p>
      <w:pPr>
        <w:pStyle w:val="Heading2"/>
      </w:pPr>
      <w:r>
        <w:rPr>
          <w:rFonts w:hint="eastAsia"/>
        </w:rPr>
        <w:t xml:space="preserve">一、经济与市场</w:t>
      </w:r>
    </w:p>
    <w:bookmarkStart w:id="9" w:name="穆迪经济学家警告韩国芯片出口过度集中4月出口预计同比跳升逾45"/>
    <w:p>
      <w:pPr>
        <w:pStyle w:val="Heading3"/>
      </w:pPr>
      <w:r>
        <w:rPr>
          <w:rFonts w:hint="eastAsia"/>
        </w:rPr>
        <w:t xml:space="preserve">穆迪经济学家警告韩国芯片出口过度集中，4月出口预计同比跳升逾45%</w:t>
      </w:r>
    </w:p>
    <w:p>
      <w:pPr>
        <w:pStyle w:val="FirstParagraph"/>
      </w:pPr>
      <w:r>
        <w:rPr>
          <w:rFonts w:hint="eastAsia"/>
          <w:b/>
          <w:bCs/>
        </w:rPr>
        <w:t xml:space="preserve">摘要</w:t>
      </w:r>
    </w:p>
    <w:p>
      <w:pPr>
        <w:pStyle w:val="BodyText"/>
      </w:pPr>
      <w:r>
        <w:rPr>
          <w:rFonts w:hint="eastAsia"/>
        </w:rPr>
        <w:t xml:space="preserve">2026年4月29日，穆迪分析（Moody’s</w:t>
      </w:r>
      <w:r>
        <w:t xml:space="preserve"> </w:t>
      </w:r>
      <w:r>
        <w:rPr>
          <w:rFonts w:hint="eastAsia"/>
        </w:rPr>
        <w:t xml:space="preserve">Analytics）经济学家戴夫·贾（Dave</w:t>
      </w:r>
      <w:r>
        <w:t xml:space="preserve"> </w:t>
      </w:r>
      <w:r>
        <w:rPr>
          <w:rFonts w:hint="eastAsia"/>
        </w:rPr>
        <w:t xml:space="preserve">Chia）警告称，韩国经济正呈现出对半导体出口过度依赖的风险迹象，尽管他承认韩国整体产业基础较台湾更为多元。韩国一季度GDP环比增长0.5%，二季度预计环比放缓至约0.3%，韩国央行基准利率维持在2.5%。韩国4月出口预期同比大增约45.3%——据路透社调查20位经济学家的中位数预测，AI驱动的存储芯片需求抵消了中东冲突的不利影响；受访经济学家另预计4月进口同比增长14.5%，通胀率或升至2.6%。贾指出，韩国汽车与机械等传统制造业面临美国关税与全球竞争的双重压力，而中东地缘冲突将从两个方向夹击韩国：削弱全球需求抑制出口，并通过高能源价格压缩居民和企业支出。他表示：</w:t>
      </w:r>
      <w:r>
        <w:rPr>
          <w:rFonts w:hint="eastAsia"/>
        </w:rPr>
        <w:t xml:space="preserve">“韩国的产业基础比台湾更加多元化。除庞大的科技板块外，韩国在传统制造业领域同样拥有相当规模，这是台湾所不具备的。”</w:t>
      </w:r>
    </w:p>
    <w:p>
      <w:pPr>
        <w:pStyle w:val="BodyText"/>
      </w:pPr>
      <w:r>
        <w:rPr>
          <w:rFonts w:hint="eastAsia"/>
          <w:b/>
          <w:bCs/>
        </w:rPr>
        <w:t xml:space="preserve">分析</w:t>
      </w:r>
    </w:p>
    <w:p>
      <w:pPr>
        <w:pStyle w:val="BodyText"/>
      </w:pPr>
      <w:r>
        <w:rPr>
          <w:rFonts w:hint="eastAsia"/>
        </w:rPr>
        <w:t xml:space="preserve">穆迪分析经济学家戴夫·贾于4月29日指出：</w:t>
      </w:r>
      <w:r>
        <w:rPr>
          <w:rFonts w:hint="eastAsia"/>
        </w:rPr>
        <w:t xml:space="preserve">“冲突将通过削弱全球需求来拖累出口，同时通过抬升能源价格来挤压国内居民和企业支出。”</w:t>
      </w:r>
      <w:r>
        <w:rPr>
          <w:rFonts w:hint="eastAsia"/>
        </w:rPr>
        <w:t xml:space="preserve">该警告揭示了韩国当前增长引擎的结构性脆弱——在AI资本开支驱动的芯片超级周期掩护下，韩国经济对单一出口品类的依赖正在加深，而外部冲击的传导渠道同样在扩宽。</w:t>
      </w:r>
    </w:p>
    <w:p>
      <w:pPr>
        <w:pStyle w:val="BodyText"/>
      </w:pPr>
      <w:r>
        <w:rPr>
          <w:b/>
          <w:bCs/>
        </w:rPr>
        <w:t xml:space="preserve">References</w:t>
      </w:r>
    </w:p>
    <w:p>
      <w:pPr>
        <w:pStyle w:val="BodyText"/>
      </w:pPr>
      <w:r>
        <w:t xml:space="preserve">[1] Im, E.-b. (2026, April 29). Is Korea becoming too dependent on chips? Moody’s weighs in. The Korea Herald. https://www.koreaherald.com/article/10728514</w:t>
      </w:r>
    </w:p>
    <w:p>
      <w:r>
        <w:pict>
          <v:rect style="width:0;height:1.5pt" o:hralign="center" o:hrstd="t" o:hr="t"/>
        </w:pict>
      </w:r>
    </w:p>
    <w:bookmarkEnd w:id="9"/>
    <w:bookmarkStart w:id="10" w:name="kospi连续三日刷新收盘纪录收报6690.90点"/>
    <w:p>
      <w:pPr>
        <w:pStyle w:val="Heading3"/>
      </w:pPr>
      <w:r>
        <w:rPr>
          <w:rFonts w:hint="eastAsia"/>
        </w:rPr>
        <w:t xml:space="preserve">KOSPI连续三日刷新收盘纪录，收报6690.90点</w:t>
      </w:r>
    </w:p>
    <w:p>
      <w:pPr>
        <w:pStyle w:val="FirstParagraph"/>
      </w:pPr>
      <w:r>
        <w:rPr>
          <w:rFonts w:hint="eastAsia"/>
          <w:b/>
          <w:bCs/>
        </w:rPr>
        <w:t xml:space="preserve">摘要</w:t>
      </w:r>
    </w:p>
    <w:p>
      <w:pPr>
        <w:pStyle w:val="BodyText"/>
      </w:pPr>
      <w:r>
        <w:rPr>
          <w:rFonts w:hint="eastAsia"/>
        </w:rPr>
        <w:t xml:space="preserve">2026年4月29日，韩国综合股价指数（KOSPI）连续第三个交易日创下收盘历史新高，上涨49.88点（0.75%），收报6,690.90点。该指数当日低开22.02点后逐步回升：指数分别于4月27日首次突破6,600点（收6,615.03），于4月28日收于6,641.02，继而于当日再创新高。个股方面，SK海力士下跌7,000韩元（0.54%）至1,293,000韩元；三星电子上涨4,000韩元（1.80%）至226,000韩元。科斯达克指数同步上扬4.68点（0.39%），收报1,220.26点。市场焦点转向4月29日美国科技四巨头（Alphabet、微软、Meta、亚马逊）一季度财报及美联储利率决议，投资者将其视为AI基础设施投资趋势的重要风向标。韩元汇率小幅走软至1,479韩元兑1美元；布伦特原油维持110美元/桶上方，西德克萨斯轻质原油（WTI）在99美元/桶附近。新韩证券（Shinhan</w:t>
      </w:r>
      <w:r>
        <w:t xml:space="preserve"> </w:t>
      </w:r>
      <w:r>
        <w:rPr>
          <w:rFonts w:hint="eastAsia"/>
        </w:rPr>
        <w:t xml:space="preserve">Securities）分析师指出，获利回吐压力与地缘政治紧张局势及企业盈利分歧构成短期市场阻力。</w:t>
      </w:r>
    </w:p>
    <w:p>
      <w:pPr>
        <w:pStyle w:val="BodyText"/>
      </w:pPr>
      <w:r>
        <w:rPr>
          <w:rFonts w:hint="eastAsia"/>
          <w:b/>
          <w:bCs/>
        </w:rPr>
        <w:t xml:space="preserve">分析</w:t>
      </w:r>
    </w:p>
    <w:p>
      <w:pPr>
        <w:pStyle w:val="BodyText"/>
      </w:pPr>
      <w:r>
        <w:rPr>
          <w:rFonts w:hint="eastAsia"/>
        </w:rPr>
        <w:t xml:space="preserve">新韩证券分析师表示：</w:t>
      </w:r>
      <w:r>
        <w:rPr>
          <w:rFonts w:hint="eastAsia"/>
        </w:rPr>
        <w:t xml:space="preserve">“由于多重因素催生获利回吐情绪，投资者正处于观望状态。”</w:t>
      </w:r>
      <w:r>
        <w:rPr>
          <w:rFonts w:hint="eastAsia"/>
        </w:rPr>
        <w:t xml:space="preserve">该判断契合KOSPI在连创历史高位后进入短暂震荡整固的市场逻辑——美国科技巨头盈利验证与美联储政策信号将成为下一阶段指数能否突破7,000点的关键催化剂。</w:t>
      </w:r>
    </w:p>
    <w:p>
      <w:pPr>
        <w:pStyle w:val="BodyText"/>
      </w:pPr>
      <w:r>
        <w:rPr>
          <w:b/>
          <w:bCs/>
        </w:rPr>
        <w:t xml:space="preserve">References</w:t>
      </w:r>
    </w:p>
    <w:p>
      <w:pPr>
        <w:pStyle w:val="BodyText"/>
      </w:pPr>
      <w:r>
        <w:t xml:space="preserve">[2] Jun, J.-h. (2026, April 29). KOSPI extends record streak to 3rd day, posting modest gains ahead of key events. The Korea Times. https://www.koreatimes.co.kr/economy/others/20260429/kospi-extends-record-streak-to-3rd-day-posting-modest-gains-ahead-of-key-events</w:t>
      </w:r>
    </w:p>
    <w:p>
      <w:r>
        <w:pict>
          <v:rect style="width:0;height:1.5pt" o:hralign="center" o:hrstd="t" o:hr="t"/>
        </w:pict>
      </w:r>
    </w:p>
    <w:bookmarkEnd w:id="10"/>
    <w:bookmarkStart w:id="11" w:name="韩国3月零售销售同比增长5.6旅游旺季与开学季双轮驱动消费"/>
    <w:p>
      <w:pPr>
        <w:pStyle w:val="Heading3"/>
      </w:pPr>
      <w:r>
        <w:rPr>
          <w:rFonts w:hint="eastAsia"/>
        </w:rPr>
        <w:t xml:space="preserve">韩国3月零售销售同比增长5.6%，旅游旺季与开学季双轮驱动消费</w:t>
      </w:r>
    </w:p>
    <w:p>
      <w:pPr>
        <w:pStyle w:val="FirstParagraph"/>
      </w:pPr>
      <w:r>
        <w:rPr>
          <w:rFonts w:hint="eastAsia"/>
          <w:b/>
          <w:bCs/>
        </w:rPr>
        <w:t xml:space="preserve">摘要</w:t>
      </w:r>
    </w:p>
    <w:p>
      <w:pPr>
        <w:pStyle w:val="BodyText"/>
      </w:pPr>
      <w:r>
        <w:rPr>
          <w:rFonts w:hint="eastAsia"/>
        </w:rPr>
        <w:t xml:space="preserve">2026年4月29日，韩国产业通商资源部公布数据显示，2026年3月主要零售企业营业收入同比增长5.6%，主要受入境旅游激增与开学季消费拉动。线下零售同比增长1.9%，其中百货店领跑，同比增幅高达14.7%，便利店增长2.7%。3月入境外国游客达206万人次，创历史单月新高，带动时尚、运动及儿童用品销售显著提振。大型超市线下销售同比下降15.2%，反映消费者向电商渠道的持续结构性迁移。线上零售平台同比增长8.1%，化妆品、食品杂货、家居用品和家电品类尤为突出。从市场份额来看，3月线上平台占零售总收入的60.6%，百货店占15.4%，便利店13.9%，超市8.1%。消费数据表明，在中东冲突与高能源价格带来宏观不确定性的背景下，韩国国内消费需求仍具韧性。</w:t>
      </w:r>
    </w:p>
    <w:p>
      <w:pPr>
        <w:pStyle w:val="BodyText"/>
      </w:pPr>
      <w:r>
        <w:rPr>
          <w:rFonts w:hint="eastAsia"/>
          <w:b/>
          <w:bCs/>
        </w:rPr>
        <w:t xml:space="preserve">分析</w:t>
      </w:r>
    </w:p>
    <w:p>
      <w:pPr>
        <w:pStyle w:val="BodyText"/>
      </w:pPr>
      <w:r>
        <w:rPr>
          <w:rFonts w:hint="eastAsia"/>
        </w:rPr>
        <w:t xml:space="preserve">百货店同比增幅14.7%与创纪录入境客流相互印证，显示韩元在全球资本流入驱动下的相对强势未能显著抑制入境消费。在高油价侵蚀居民可支配收入的大背景下，外国游客消费已成为支撑零售景气的不可忽视变量。</w:t>
      </w:r>
    </w:p>
    <w:p>
      <w:pPr>
        <w:pStyle w:val="BodyText"/>
      </w:pPr>
      <w:r>
        <w:rPr>
          <w:b/>
          <w:bCs/>
        </w:rPr>
        <w:t xml:space="preserve">References</w:t>
      </w:r>
    </w:p>
    <w:p>
      <w:pPr>
        <w:pStyle w:val="BodyText"/>
      </w:pPr>
      <w:r>
        <w:t xml:space="preserve">[3] (2026, April 29). Retail sales rise 5.6% in March on tourism boost, back-to-school season demand. The Korea Herald. https://www.koreaherald.com/article/10728310</w:t>
      </w:r>
    </w:p>
    <w:p>
      <w:r>
        <w:pict>
          <v:rect style="width:0;height:1.5pt" o:hralign="center" o:hrstd="t" o:hr="t"/>
        </w:pict>
      </w:r>
    </w:p>
    <w:bookmarkEnd w:id="11"/>
    <w:bookmarkStart w:id="12" w:name="韩国与卡塔尔就制造ai半导体与生物健康深化合作达成共识"/>
    <w:p>
      <w:pPr>
        <w:pStyle w:val="Heading3"/>
      </w:pPr>
      <w:r>
        <w:rPr>
          <w:rFonts w:hint="eastAsia"/>
        </w:rPr>
        <w:t xml:space="preserve">韩国与卡塔尔就制造AI、半导体与生物健康深化合作达成共识</w:t>
      </w:r>
    </w:p>
    <w:p>
      <w:pPr>
        <w:pStyle w:val="FirstParagraph"/>
      </w:pPr>
      <w:r>
        <w:rPr>
          <w:rFonts w:hint="eastAsia"/>
          <w:b/>
          <w:bCs/>
        </w:rPr>
        <w:t xml:space="preserve">摘要</w:t>
      </w:r>
    </w:p>
    <w:p>
      <w:pPr>
        <w:pStyle w:val="BodyText"/>
      </w:pPr>
      <w:r>
        <w:rPr>
          <w:rFonts w:hint="eastAsia"/>
        </w:rPr>
        <w:t xml:space="preserve">2026年4月29日，韩国通商产业资源部部长余翰久（Yeo</w:t>
      </w:r>
      <w:r>
        <w:t xml:space="preserve"> </w:t>
      </w:r>
      <w:r>
        <w:rPr>
          <w:rFonts w:hint="eastAsia"/>
        </w:rPr>
        <w:t xml:space="preserve">Han-koo）在首尔会见卡塔尔商业和工业部长阿赫迈德·本·穆罕默德·萨耶德（Ahmed</w:t>
      </w:r>
      <w:r>
        <w:t xml:space="preserve"> bin Mohammed </w:t>
      </w:r>
      <w:r>
        <w:rPr>
          <w:rFonts w:hint="eastAsia"/>
        </w:rPr>
        <w:t xml:space="preserve">Al-Sayed），双方就拓展双边经济与投资合作深入交换意见。两国部长同意在先进产业领域强化协作，将韩国制造业实力与卡塔尔的资本及产业多元化战略对接，重点涵盖对接韩国”制造业AI转型（M.AX）</w:t>
      </w:r>
      <w:r>
        <w:rPr>
          <w:rFonts w:hint="eastAsia"/>
        </w:rPr>
        <w:t xml:space="preserve">“计划的智造AI与机器人领域、半导体产业及生物健康产业。余翰久强调韩国生物制药企业近期在卡塔尔的业务拓展，并就本土AI芯片无晶圆厂企业的潜在投资合作机会进行磋商；同时高度肯定卡塔尔在持续中东冲突中展现的经济韧性，并重申首尔对深化与多哈能源合作的坚定承诺。此次会晤标志着韩卡双边关系正从以往以能源贸易为核心的模式，向涵盖高端制造与科技投资的多维伙伴关系延伸。余翰久表示：”</w:t>
      </w:r>
      <w:r>
        <w:rPr>
          <w:rFonts w:hint="eastAsia"/>
        </w:rPr>
        <w:t xml:space="preserve">未来，我们将在战略伙伴关系框架下持续夯实能源安全，同时将双边经济合作稳步扩展至制造AI、生物技术等未来产业。”</w:t>
      </w:r>
    </w:p>
    <w:p>
      <w:pPr>
        <w:pStyle w:val="BodyText"/>
      </w:pPr>
      <w:r>
        <w:rPr>
          <w:rFonts w:hint="eastAsia"/>
          <w:b/>
          <w:bCs/>
        </w:rPr>
        <w:t xml:space="preserve">分析</w:t>
      </w:r>
    </w:p>
    <w:p>
      <w:pPr>
        <w:pStyle w:val="BodyText"/>
      </w:pPr>
      <w:r>
        <w:rPr>
          <w:rFonts w:hint="eastAsia"/>
        </w:rPr>
        <w:t xml:space="preserve">余翰久部长的表态揭示了韩国湾区外交的新逻辑：以产业技术换取海湾主权资本，并将能源安全与新兴产业投资捆绑推进。在中东局势不确定性持续高企、韩国能源进口依赖短期难以改变的背景下，多元化战略伙伴关系对冲供应链风险的战略意义愈发凸显。</w:t>
      </w:r>
    </w:p>
    <w:p>
      <w:pPr>
        <w:pStyle w:val="BodyText"/>
      </w:pPr>
      <w:r>
        <w:rPr>
          <w:b/>
          <w:bCs/>
        </w:rPr>
        <w:t xml:space="preserve">References</w:t>
      </w:r>
    </w:p>
    <w:p>
      <w:pPr>
        <w:pStyle w:val="BodyText"/>
      </w:pPr>
      <w:r>
        <w:t xml:space="preserve">[4] (2026, April 29). S. Korea, Qatar to push for deeper cooperation in manufacturing AI, semiconductor, biohealth. The Korea Herald. https://www.koreaherald.com/article/10728305</w:t>
      </w:r>
    </w:p>
    <w:p>
      <w:r>
        <w:pict>
          <v:rect style="width:0;height:1.5pt" o:hralign="center" o:hrstd="t" o:hr="t"/>
        </w:pict>
      </w:r>
    </w:p>
    <w:bookmarkEnd w:id="12"/>
    <w:bookmarkEnd w:id="13"/>
    <w:bookmarkStart w:id="18" w:name="二政治与外交"/>
    <w:p>
      <w:pPr>
        <w:pStyle w:val="Heading2"/>
      </w:pPr>
      <w:r>
        <w:rPr>
          <w:rFonts w:hint="eastAsia"/>
        </w:rPr>
        <w:t xml:space="preserve">二、政治与外交</w:t>
      </w:r>
    </w:p>
    <w:bookmarkStart w:id="14" w:name="首尔高等法院将尹锡悦妨碍司法罪改判七年有期徒刑"/>
    <w:p>
      <w:pPr>
        <w:pStyle w:val="Heading3"/>
      </w:pPr>
      <w:r>
        <w:rPr>
          <w:rFonts w:hint="eastAsia"/>
        </w:rPr>
        <w:t xml:space="preserve">首尔高等法院将尹锡悦妨碍司法罪改判七年有期徒刑</w:t>
      </w:r>
    </w:p>
    <w:p>
      <w:pPr>
        <w:pStyle w:val="FirstParagraph"/>
      </w:pPr>
      <w:r>
        <w:rPr>
          <w:rFonts w:hint="eastAsia"/>
          <w:b/>
          <w:bCs/>
        </w:rPr>
        <w:t xml:space="preserve">摘要</w:t>
      </w:r>
    </w:p>
    <w:p>
      <w:pPr>
        <w:pStyle w:val="BodyText"/>
      </w:pPr>
      <w:r>
        <w:rPr>
          <w:rFonts w:hint="eastAsia"/>
        </w:rPr>
        <w:t xml:space="preserve">2026年4月29日，首尔高等法院就前总统尹锡悦（Yoon</w:t>
      </w:r>
      <w:r>
        <w:t xml:space="preserve"> </w:t>
      </w:r>
      <w:r>
        <w:rPr>
          <w:rFonts w:hint="eastAsia"/>
        </w:rPr>
        <w:t xml:space="preserve">Suk-yeol）在2024年12月3日宣布戒严令后涉嫌妨碍司法与滥用职权一案作出二审判决，将一审五年有期徒刑改判为七年，成为处理戒严令相关案件专项法庭作出的首份二审判决。法院认定尹锡悦在宣布戒严令过程中将七名内阁部长排除在审议之外，违反宪法及相关法律；下令事后追溯起草并销毁一份倒填日期的戒严公告；指示助理隐匿与叛乱调查相关的加密电话记录；并向总统安全室人员下达指令，阻止高级官员侦查处（CIO）调查人员执行合法逮捕令。此外，法院认定尹锡悦指示工作人员向外国媒体传播关于戒严令范围与影响的不实信息，并将此行为定性为”损害韩国国际公信力的误导性公开传播行为”。主审法官宣布，尹锡悦的行为动机与后果”极为恶劣”。尹方与特别检察官均已提起交叉上诉——尹方主张逮捕令依据”非法调查”而无效，特检官要求判处10年有期徒刑；二审法院对尹方抗辩主张全部予以驳回。尹锡悦此前已于2026年2月因煽动叛乱罪被另一法院一审判处无期徒刑。</w:t>
      </w:r>
    </w:p>
    <w:p>
      <w:pPr>
        <w:pStyle w:val="BodyText"/>
      </w:pPr>
      <w:r>
        <w:rPr>
          <w:rFonts w:hint="eastAsia"/>
          <w:b/>
          <w:bCs/>
        </w:rPr>
        <w:t xml:space="preserve">分析</w:t>
      </w:r>
    </w:p>
    <w:p>
      <w:pPr>
        <w:pStyle w:val="BodyText"/>
      </w:pPr>
      <w:r>
        <w:rPr>
          <w:rFonts w:hint="eastAsia"/>
        </w:rPr>
        <w:t xml:space="preserve">首尔高等法院主审法官于4月29日宣判称，尹锡悦的行为动机与后果”极为恶劣”。在二审加重量刑的同时，法院就虚假信息传播新增认定，意在强化对滥用国家权力操控舆论行为的制度性震慑，亦为最高法院终审设定了更高的量刑基准。</w:t>
      </w:r>
    </w:p>
    <w:p>
      <w:pPr>
        <w:pStyle w:val="BodyText"/>
      </w:pPr>
      <w:r>
        <w:rPr>
          <w:b/>
          <w:bCs/>
        </w:rPr>
        <w:t xml:space="preserve">References</w:t>
      </w:r>
    </w:p>
    <w:p>
      <w:pPr>
        <w:pStyle w:val="BodyText"/>
      </w:pPr>
      <w:r>
        <w:t xml:space="preserve">[5] Jung, M.-h. (2026, April 29). Appeals court raises ex-President Yoon’s obstruction of justice sentence to 7 years. The Korea Times. https://www.koreatimes.co.kr/southkorea/law-crime/20260429/appeals-court-raises-ex-president-yoons-obstruction-of-justice-sentence-to-7-years</w:t>
      </w:r>
    </w:p>
    <w:p>
      <w:r>
        <w:pict>
          <v:rect style="width:0;height:1.5pt" o:hralign="center" o:hrstd="t" o:hr="t"/>
        </w:pict>
      </w:r>
    </w:p>
    <w:bookmarkEnd w:id="14"/>
    <w:bookmarkStart w:id="15" w:name="李在明会见小党独立议员批评外交政策争论为自我伤害"/>
    <w:p>
      <w:pPr>
        <w:pStyle w:val="Heading3"/>
      </w:pPr>
      <w:r>
        <w:rPr>
          <w:rFonts w:hint="eastAsia"/>
        </w:rPr>
        <w:t xml:space="preserve">李在明会见小党独立议员批评外交政策争论为”自我伤害”</w:t>
      </w:r>
    </w:p>
    <w:p>
      <w:pPr>
        <w:pStyle w:val="FirstParagraph"/>
      </w:pPr>
      <w:r>
        <w:rPr>
          <w:rFonts w:hint="eastAsia"/>
          <w:b/>
          <w:bCs/>
        </w:rPr>
        <w:t xml:space="preserve">摘要</w:t>
      </w:r>
    </w:p>
    <w:p>
      <w:pPr>
        <w:pStyle w:val="BodyText"/>
      </w:pPr>
      <w:r>
        <w:rPr>
          <w:rFonts w:hint="eastAsia"/>
        </w:rPr>
        <w:t xml:space="preserve">2026年4月29日，韩国总统李在明（Lee</w:t>
      </w:r>
      <w:r>
        <w:t xml:space="preserve"> </w:t>
      </w:r>
      <w:r>
        <w:rPr>
          <w:rFonts w:hint="eastAsia"/>
        </w:rPr>
        <w:t xml:space="preserve">Jae-myung）在青瓦台举办午宴，邀请国会五个小党及无党籍共21名议员出席——这是李在明自就任以来首次将所有小政党成员汇聚于总统官邸。与会者涵盖重建韩国党、进步党、新改革党、基本收入党、社会民主党成员及无党籍议员。李在明就政府在中东冲突应对、检察改革及房地产市场等重大议题的政策立场进行阐述，并寻求跨党派合作。他将国内各政治力量就对外和安全政策的党派论争定性为具有战略破坏性的行为，并与其他民主国家的政治做法形成鲜明对比。李在明表示：</w:t>
      </w:r>
      <w:r>
        <w:rPr>
          <w:rFonts w:hint="eastAsia"/>
        </w:rPr>
        <w:t xml:space="preserve">“政治力量在国内问题上可以存在分歧和冲突，但在其他国家，很难看到他们在对外事务上如此自我伤害。”</w:t>
      </w:r>
      <w:r>
        <w:rPr>
          <w:rFonts w:hint="eastAsia"/>
        </w:rPr>
        <w:t xml:space="preserve">他承认当前外部环境的恶化”并非我们仅凭自身力量就能轻易化解”，同时明确表示自身责任最重，将”竭尽所能”。此次午宴召开之际，美韩同盟正面临多重压力：华盛顿因统一部长公开披露朝鲜龟城铀浓缩设施而部分暂停情报共享，美国共和党议员就Coupang案介入韩国司法程序，以及双方在战时作战指挥权（OPCON）移交进度与条件上的分歧。</w:t>
      </w:r>
    </w:p>
    <w:p>
      <w:pPr>
        <w:pStyle w:val="BodyText"/>
      </w:pPr>
      <w:r>
        <w:rPr>
          <w:rFonts w:hint="eastAsia"/>
          <w:b/>
          <w:bCs/>
        </w:rPr>
        <w:t xml:space="preserve">分析</w:t>
      </w:r>
    </w:p>
    <w:p>
      <w:pPr>
        <w:pStyle w:val="BodyText"/>
      </w:pPr>
      <w:r>
        <w:rPr>
          <w:rFonts w:hint="eastAsia"/>
        </w:rPr>
        <w:t xml:space="preserve">李在明将对外政策争论定性为”自我伤害”，反映出政府正将内部政治摩擦与外交信誉损耗之间的因果关系纳入执政论述。该表态亦为向小党寻求支持、扩大执政联盟基础提供了政治逻辑。</w:t>
      </w:r>
    </w:p>
    <w:p>
      <w:pPr>
        <w:pStyle w:val="BodyText"/>
      </w:pPr>
      <w:r>
        <w:rPr>
          <w:b/>
          <w:bCs/>
        </w:rPr>
        <w:t xml:space="preserve">References</w:t>
      </w:r>
    </w:p>
    <w:p>
      <w:pPr>
        <w:pStyle w:val="BodyText"/>
      </w:pPr>
      <w:r>
        <w:t xml:space="preserve">[6] (2026, April 29). Lee calls partisan feuding over foreign affairs</w:t>
      </w:r>
      <w:r>
        <w:t xml:space="preserve"> </w:t>
      </w:r>
      <w:r>
        <w:t xml:space="preserve">‘self-inflicted harm’</w:t>
      </w:r>
      <w:r>
        <w:t xml:space="preserve"> </w:t>
      </w:r>
      <w:r>
        <w:t xml:space="preserve">at cross-party luncheon. The Korea Herald. https://www.koreaherald.com/article/10728495</w:t>
      </w:r>
    </w:p>
    <w:p>
      <w:r>
        <w:pict>
          <v:rect style="width:0;height:1.5pt" o:hralign="center" o:hrstd="t" o:hr="t"/>
        </w:pict>
      </w:r>
    </w:p>
    <w:bookmarkEnd w:id="15"/>
    <w:bookmarkStart w:id="16" w:name="北韩借新博物馆公开美化赴俄阵亡士兵强化出兵叙事"/>
    <w:p>
      <w:pPr>
        <w:pStyle w:val="Heading3"/>
      </w:pPr>
      <w:r>
        <w:rPr>
          <w:rFonts w:hint="eastAsia"/>
        </w:rPr>
        <w:t xml:space="preserve">北韩借新博物馆公开美化赴俄阵亡士兵，强化出兵叙事</w:t>
      </w:r>
    </w:p>
    <w:p>
      <w:pPr>
        <w:pStyle w:val="FirstParagraph"/>
      </w:pPr>
      <w:r>
        <w:rPr>
          <w:rFonts w:hint="eastAsia"/>
          <w:b/>
          <w:bCs/>
        </w:rPr>
        <w:t xml:space="preserve">摘要</w:t>
      </w:r>
    </w:p>
    <w:p>
      <w:pPr>
        <w:pStyle w:val="BodyText"/>
      </w:pPr>
      <w:r>
        <w:rPr>
          <w:rFonts w:hint="eastAsia"/>
        </w:rPr>
        <w:t xml:space="preserve">2026年4月29日，朝鲜《劳动新闻》报道称，全国各界人士包括党政官员、军人、工人及学生正有组织地前往新建的”海外军事行动战斗功勋纪念博物馆”参观悼念，韩国分析人士将此解读为平壤为出兵俄罗斯进行公开正名与常态化的官方举动。该博物馆完工典礼于4月26日举行，朝鲜领导人金正恩、俄罗斯国家杜马主席沃洛金（Vyacheslav</w:t>
      </w:r>
      <w:r>
        <w:t xml:space="preserve"> </w:t>
      </w:r>
      <w:r>
        <w:rPr>
          <w:rFonts w:hint="eastAsia"/>
        </w:rPr>
        <w:t xml:space="preserve">Volodin）及俄国防部长别洛乌索夫（Andrei</w:t>
      </w:r>
      <w:r>
        <w:t xml:space="preserve"> </w:t>
      </w:r>
      <w:r>
        <w:rPr>
          <w:rFonts w:hint="eastAsia"/>
        </w:rPr>
        <w:t xml:space="preserve">Belousov）出席。博物馆展示了参战士兵使用的战斗物资、朝鲜国旗、部队赴战前提交的劳动党入党申请书及士兵家书。据日本共同社报道，馆内一座纪念碑上镌刻有约2,300名推定阵亡士兵的姓名，遗骸安葬于馆外。参观者被报道宣誓”将永远铭记烈士们的崇高精神与遗愿”，并支持劳动党决策。《劳动新闻》将该博物馆定性为”永久传扬朝鲜人民军战士海外军事行动英雄业绩与崇高精神”的场所。韩国国家情报院此前估计，约6,000名朝鲜士兵在战斗中阵亡或负伤；自2024年末以来，朝鲜已向俄罗斯部署约1.5万名战斗部队。</w:t>
      </w:r>
    </w:p>
    <w:p>
      <w:pPr>
        <w:pStyle w:val="BodyText"/>
      </w:pPr>
      <w:r>
        <w:rPr>
          <w:rFonts w:hint="eastAsia"/>
          <w:b/>
          <w:bCs/>
        </w:rPr>
        <w:t xml:space="preserve">分析</w:t>
      </w:r>
    </w:p>
    <w:p>
      <w:pPr>
        <w:pStyle w:val="BodyText"/>
      </w:pPr>
      <w:r>
        <w:rPr>
          <w:rFonts w:hint="eastAsia"/>
        </w:rPr>
        <w:t xml:space="preserve">北韩此次以国家博物馆规格公开表彰对俄派兵，是金正恩政权将出兵俄罗斯从秘密军事行动转化为国内政治合法性资产的重要信号。俄高层官员出席开馆典礼，更将这一叙事确立为俄朝战略同盟的象征性里程碑，预示朝方将进一步推进军事存在常态化。</w:t>
      </w:r>
    </w:p>
    <w:p>
      <w:pPr>
        <w:pStyle w:val="BodyText"/>
      </w:pPr>
      <w:r>
        <w:rPr>
          <w:b/>
          <w:bCs/>
        </w:rPr>
        <w:t xml:space="preserve">References</w:t>
      </w:r>
    </w:p>
    <w:p>
      <w:pPr>
        <w:pStyle w:val="BodyText"/>
      </w:pPr>
      <w:r>
        <w:t xml:space="preserve">[7] (2026, April 29). Pyongyang appears to justify support of Russia’s war in Ukraine with glorification of fallen soldiers. The Korea Herald. https://www.koreaherald.com/article/10728517</w:t>
      </w:r>
    </w:p>
    <w:p>
      <w:r>
        <w:pict>
          <v:rect style="width:0;height:1.5pt" o:hralign="center" o:hrstd="t" o:hr="t"/>
        </w:pict>
      </w:r>
    </w:p>
    <w:bookmarkEnd w:id="16"/>
    <w:bookmarkStart w:id="17" w:name="月3日地方选举临近逾四成候选人携前科背景入场"/>
    <w:p>
      <w:pPr>
        <w:pStyle w:val="Heading3"/>
      </w:pPr>
      <w:r>
        <w:rPr>
          <w:rFonts w:hint="eastAsia"/>
        </w:rPr>
        <w:t xml:space="preserve">6月3日地方选举临近，逾四成候选人携前科背景入场</w:t>
      </w:r>
    </w:p>
    <w:p>
      <w:pPr>
        <w:pStyle w:val="FirstParagraph"/>
      </w:pPr>
      <w:r>
        <w:rPr>
          <w:rFonts w:hint="eastAsia"/>
          <w:b/>
          <w:bCs/>
        </w:rPr>
        <w:t xml:space="preserve">摘要</w:t>
      </w:r>
    </w:p>
    <w:p>
      <w:pPr>
        <w:pStyle w:val="BodyText"/>
      </w:pPr>
      <w:r>
        <w:rPr>
          <w:rFonts w:hint="eastAsia"/>
        </w:rPr>
        <w:t xml:space="preserve">2026年4月29日，《韩国先驱报》报道称，随着2026年6月3日地方选举日益临近，主要都市区67名已登记候选人中，43.2%有犯罪记录，执政的共同民主党与在野国民力量党双双受到波及。国民力量党首尔九老区区长候选人洪德希（Hong</w:t>
      </w:r>
      <w:r>
        <w:t xml:space="preserve"> </w:t>
      </w:r>
      <w:r>
        <w:rPr>
          <w:rFonts w:hint="eastAsia"/>
        </w:rPr>
        <w:t xml:space="preserve">Deok-hee）因曾为一名谋杀亲夫的女性出庭辩护而遭受批评；洪德希以”每名被告都享有宪法赋予的获得辩护的权利”为由为自己辩护。共同民主党安山市长候选人全英美（Chun</w:t>
      </w:r>
      <w:r>
        <w:t xml:space="preserve"> </w:t>
      </w:r>
      <w:r>
        <w:rPr>
          <w:rFonts w:hint="eastAsia"/>
        </w:rPr>
        <w:t xml:space="preserve">Young-mi）在竞选活动中坦承酒后驾车经历，并援引总统李在明相似前科作类比后随即道歉。国民力量党密阳候选人朴振洙（Park</w:t>
      </w:r>
      <w:r>
        <w:t xml:space="preserve"> </w:t>
      </w:r>
      <w:r>
        <w:rPr>
          <w:rFonts w:hint="eastAsia"/>
        </w:rPr>
        <w:t xml:space="preserve">Jin-su）尽管有1998年和2011年两度毒品定罪记录仍获提名，他请求选民”考虑到这些违法行为已是陈年旧事”。共同民主党首尔市长候选人郑元午（Chung</w:t>
      </w:r>
      <w:r>
        <w:t xml:space="preserve"> </w:t>
      </w:r>
      <w:r>
        <w:rPr>
          <w:rFonts w:hint="eastAsia"/>
        </w:rPr>
        <w:t xml:space="preserve">Won-o）则就一起1995年的伤害事件接受质询，表示已将其视为教训。八名共同民主党议员按照法定程序，须于4月29日前辞去国会议席方能参加6月3日地方选举，其议席空缺将在同日补选中填补。两大主要政党均面临在这场被广泛视为李在明政府执政中期信任投票的选举中展现清廉施政形象的压力。</w:t>
      </w:r>
    </w:p>
    <w:p>
      <w:pPr>
        <w:pStyle w:val="BodyText"/>
      </w:pPr>
      <w:r>
        <w:rPr>
          <w:rFonts w:hint="eastAsia"/>
          <w:b/>
          <w:bCs/>
        </w:rPr>
        <w:t xml:space="preserve">分析</w:t>
      </w:r>
    </w:p>
    <w:p>
      <w:pPr>
        <w:pStyle w:val="BodyText"/>
      </w:pPr>
      <w:r>
        <w:rPr>
          <w:rFonts w:hint="eastAsia"/>
        </w:rPr>
        <w:t xml:space="preserve">逾四成候选人带着犯罪背景走上地方选举舞台，折射出韩国政党内部提名机制的透明度与问责标准仍有待提升。在后戒严时代公众对政治道德期待显著提高的背景下，这一现象构成两大党派的结构性政治风险，并可能压低投票率或催生弃权效应。</w:t>
      </w:r>
    </w:p>
    <w:p>
      <w:pPr>
        <w:pStyle w:val="BodyText"/>
      </w:pPr>
      <w:r>
        <w:rPr>
          <w:b/>
          <w:bCs/>
        </w:rPr>
        <w:t xml:space="preserve">References</w:t>
      </w:r>
    </w:p>
    <w:p>
      <w:pPr>
        <w:pStyle w:val="BodyText"/>
      </w:pPr>
      <w:r>
        <w:t xml:space="preserve">[8] (2026, April 29). Criminal records and controversies shadow local election candidates ahead of June 3 vote. The Korea Herald. https://www.koreaherald.com/article/10728390</w:t>
      </w:r>
    </w:p>
    <w:p>
      <w:r>
        <w:pict>
          <v:rect style="width:0;height:1.5pt" o:hralign="center" o:hrstd="t" o:hr="t"/>
        </w:pict>
      </w:r>
    </w:p>
    <w:bookmarkEnd w:id="17"/>
    <w:bookmarkEnd w:id="18"/>
    <w:bookmarkStart w:id="22" w:name="三科技与产业"/>
    <w:p>
      <w:pPr>
        <w:pStyle w:val="Heading2"/>
      </w:pPr>
      <w:r>
        <w:rPr>
          <w:rFonts w:hint="eastAsia"/>
        </w:rPr>
        <w:t xml:space="preserve">三、科技与产业</w:t>
      </w:r>
    </w:p>
    <w:bookmarkStart w:id="19" w:name="英伟达高管访首尔与三星sk海力士会谈聚焦物理ai合作"/>
    <w:p>
      <w:pPr>
        <w:pStyle w:val="Heading3"/>
      </w:pPr>
      <w:r>
        <w:rPr>
          <w:rFonts w:hint="eastAsia"/>
        </w:rPr>
        <w:t xml:space="preserve">英伟达高管访首尔与三星、SK海力士会谈，聚焦物理AI合作</w:t>
      </w:r>
    </w:p>
    <w:p>
      <w:pPr>
        <w:pStyle w:val="FirstParagraph"/>
      </w:pPr>
      <w:r>
        <w:rPr>
          <w:rFonts w:hint="eastAsia"/>
          <w:b/>
          <w:bCs/>
        </w:rPr>
        <w:t xml:space="preserve">摘要</w:t>
      </w:r>
    </w:p>
    <w:p>
      <w:pPr>
        <w:pStyle w:val="BodyText"/>
      </w:pPr>
      <w:r>
        <w:rPr>
          <w:rFonts w:hint="eastAsia"/>
        </w:rPr>
        <w:t xml:space="preserve">2026年4月29日，英伟达（Nvidia）物理AI平台产品与技术营销高级总监麦迪逊·黄（Madison</w:t>
      </w:r>
      <w:r>
        <w:t xml:space="preserve"> </w:t>
      </w:r>
      <w:r>
        <w:rPr>
          <w:rFonts w:hint="eastAsia"/>
        </w:rPr>
        <w:t xml:space="preserve">Huang）赴韩，先后与三星电子（Samsung</w:t>
      </w:r>
      <w:r>
        <w:t xml:space="preserve"> </w:t>
      </w:r>
      <w:r>
        <w:rPr>
          <w:rFonts w:hint="eastAsia"/>
        </w:rPr>
        <w:t xml:space="preserve">Electronics）及SK海力士高管举行工作级磋商，重点商讨在物理人工智能领域的深化合作——该领域涵盖工业机器人、工厂自动化与物理仿真环境的AI应用。黄女士主管英伟达全方位实时仿真与协作平台Omniverse及工业物理AI部署机器人平台。三星与SK海力士均为全球顶级高带宽存储芯片（HBM）供应商，是英伟达AI加速器的核心配套组件提供方。在访韩首尔国立大学发表AI主题演讲并会见LG电子和现代汽车高层后，黄女士进行了当日与三星、SK海力士的会谈。此访信号显示，英伟达的AI平台战略与韩国制造工业基础的融合正在深化，尤其是”物理AI”——即在现实世界中运行与交互、而非仅存在于数字或云端环境的系统——正成为双方合作的新主轴。</w:t>
      </w:r>
    </w:p>
    <w:p>
      <w:pPr>
        <w:pStyle w:val="BodyText"/>
      </w:pPr>
      <w:r>
        <w:rPr>
          <w:rFonts w:hint="eastAsia"/>
          <w:b/>
          <w:bCs/>
        </w:rPr>
        <w:t xml:space="preserve">分析</w:t>
      </w:r>
    </w:p>
    <w:p>
      <w:pPr>
        <w:pStyle w:val="BodyText"/>
      </w:pPr>
      <w:r>
        <w:rPr>
          <w:rFonts w:hint="eastAsia"/>
        </w:rPr>
        <w:t xml:space="preserve">英伟达将黄女士的访问日程覆盖LG、现代与三星、SK海力士，显示其物理AI战略的触角正从半导体供应链延伸至家电与汽车制造生态。这一布局与韩国政府的M.AX制造业AI转型计划形成战略共鸣，并可能加速英伟达在韩工业AI场景的本土化落地。</w:t>
      </w:r>
    </w:p>
    <w:p>
      <w:pPr>
        <w:pStyle w:val="BodyText"/>
      </w:pPr>
      <w:r>
        <w:rPr>
          <w:b/>
          <w:bCs/>
        </w:rPr>
        <w:t xml:space="preserve">References</w:t>
      </w:r>
    </w:p>
    <w:p>
      <w:pPr>
        <w:pStyle w:val="BodyText"/>
      </w:pPr>
      <w:r>
        <w:t xml:space="preserve">[9] (2026, April 29). Nvidia official to meet with Samsung, SK hynix executives for physical AI partnership. The Korea Times. https://www.koreatimes.co.kr/business/companies/20260429/nvidia-official-to-meet-with-samsung-sk-hynix-executives-for-physical-ai-partnership</w:t>
      </w:r>
    </w:p>
    <w:p>
      <w:r>
        <w:pict>
          <v:rect style="width:0;height:1.5pt" o:hralign="center" o:hrstd="t" o:hr="t"/>
        </w:pict>
      </w:r>
    </w:p>
    <w:bookmarkEnd w:id="19"/>
    <w:bookmarkStart w:id="20" w:name="公平交易委员会将coupang创始人金范锡列为集团实际控制人触发更严监管"/>
    <w:p>
      <w:pPr>
        <w:pStyle w:val="Heading3"/>
      </w:pPr>
      <w:r>
        <w:rPr>
          <w:rFonts w:hint="eastAsia"/>
        </w:rPr>
        <w:t xml:space="preserve">公平交易委员会将Coupang创始人金范锡列为集团实际控制人，触发更严监管</w:t>
      </w:r>
    </w:p>
    <w:p>
      <w:pPr>
        <w:pStyle w:val="FirstParagraph"/>
      </w:pPr>
      <w:r>
        <w:rPr>
          <w:rFonts w:hint="eastAsia"/>
          <w:b/>
          <w:bCs/>
        </w:rPr>
        <w:t xml:space="preserve">摘要</w:t>
      </w:r>
    </w:p>
    <w:p>
      <w:pPr>
        <w:pStyle w:val="BodyText"/>
      </w:pPr>
      <w:r>
        <w:rPr>
          <w:rFonts w:hint="eastAsia"/>
        </w:rPr>
        <w:t xml:space="preserve">2026年4月29日，韩国公平交易委员会（FTC）依据国内反垄断法，正式将电商巨头Coupang创始人金范锡（Bom</w:t>
      </w:r>
      <w:r>
        <w:t xml:space="preserve"> </w:t>
      </w:r>
      <w:r>
        <w:rPr>
          <w:rFonts w:hint="eastAsia"/>
        </w:rPr>
        <w:t xml:space="preserve">Kim）列为集团”同一人”，以其个人取代美国上市主体Coupang</w:t>
      </w:r>
      <w:r>
        <w:t xml:space="preserve"> </w:t>
      </w:r>
      <w:r>
        <w:rPr>
          <w:rFonts w:hint="eastAsia"/>
        </w:rPr>
        <w:t xml:space="preserve">Inc.的法律认定地位。此次重新认定的直接触发因素是公平交易委员会对涉及3,370万用户数据泄露事件的调查——调查揭示，金范锡的胞弟、公司副总裁金游锡（Kim</w:t>
      </w:r>
      <w:r>
        <w:t xml:space="preserve"> </w:t>
      </w:r>
      <w:r>
        <w:rPr>
          <w:rFonts w:hint="eastAsia"/>
        </w:rPr>
        <w:t xml:space="preserve">Yoo-seok）尽管未持有国内关联方股权，实际上对核心业务运营施加了决定性影响。公平交易委员会官员表示：</w:t>
      </w:r>
      <w:r>
        <w:rPr>
          <w:rFonts w:hint="eastAsia"/>
        </w:rPr>
        <w:t xml:space="preserve">“我们确认金游锡对核心业务运营施加了事实上的影响力。”</w:t>
      </w:r>
      <w:r>
        <w:rPr>
          <w:rFonts w:hint="eastAsia"/>
        </w:rPr>
        <w:t xml:space="preserve">新认定要求Coupang披露金范锡持股20%及以上的所有境外关联实体，并加强对关联交易的审查。此举还导致全国大型企业集团公示范围扩大至102家，涵盖3,538家关联企业。Coupang宣布将提起行政诉讼，称”金游锡依照韩国反垄断法并非高管，且不持有国内关联方股权”。鉴于此案引发美国共和党议员介入韩国司法程序的外交摩擦，法律专家警告该纠纷存在升级为韩美双边贸易争端的风险。Coupang今年已投入逾百万美元游说美国国会，其股价自数据泄露事件曝光以来累计下跌约30%。</w:t>
      </w:r>
    </w:p>
    <w:p>
      <w:pPr>
        <w:pStyle w:val="BodyText"/>
      </w:pPr>
      <w:r>
        <w:rPr>
          <w:rFonts w:hint="eastAsia"/>
          <w:b/>
          <w:bCs/>
        </w:rPr>
        <w:t xml:space="preserve">分析</w:t>
      </w:r>
    </w:p>
    <w:p>
      <w:pPr>
        <w:pStyle w:val="BodyText"/>
      </w:pPr>
      <w:r>
        <w:rPr>
          <w:rFonts w:hint="eastAsia"/>
        </w:rPr>
        <w:t xml:space="preserve">公平交易委员会将创始人亲属的”事实影响力”纳入控制人认定标准，是对以家族关系分散监管责任的复杂跨国企业架构发出的明确监管信号。该案正值Coupang的美韩外交摩擦持续升温，此次认定将在强化国内监管主权的同时，进一步考验首尔在盟友压力下坚守司法独立的政治意志。</w:t>
      </w:r>
    </w:p>
    <w:p>
      <w:pPr>
        <w:pStyle w:val="BodyText"/>
      </w:pPr>
      <w:r>
        <w:rPr>
          <w:b/>
          <w:bCs/>
        </w:rPr>
        <w:t xml:space="preserve">References</w:t>
      </w:r>
    </w:p>
    <w:p>
      <w:pPr>
        <w:pStyle w:val="BodyText"/>
      </w:pPr>
      <w:r>
        <w:t xml:space="preserve">[10] No, K.-m. (2026, April 29). Brother’s involvement opens door for tighter scrutiny of Coupang. The Korea Herald. https://www.koreaherald.com/article/10728528</w:t>
      </w:r>
    </w:p>
    <w:p>
      <w:r>
        <w:pict>
          <v:rect style="width:0;height:1.5pt" o:hralign="center" o:hrstd="t" o:hr="t"/>
        </w:pict>
      </w:r>
    </w:p>
    <w:bookmarkEnd w:id="20"/>
    <w:bookmarkStart w:id="21" w:name="韩国一季度银行外汇日均成交量创历史新高达1026.5亿美元"/>
    <w:p>
      <w:pPr>
        <w:pStyle w:val="Heading3"/>
      </w:pPr>
      <w:r>
        <w:rPr>
          <w:rFonts w:hint="eastAsia"/>
        </w:rPr>
        <w:t xml:space="preserve">韩国一季度银行外汇日均成交量创历史新高，达1026.5亿美元</w:t>
      </w:r>
    </w:p>
    <w:p>
      <w:pPr>
        <w:pStyle w:val="FirstParagraph"/>
      </w:pPr>
      <w:r>
        <w:rPr>
          <w:rFonts w:hint="eastAsia"/>
          <w:b/>
          <w:bCs/>
        </w:rPr>
        <w:t xml:space="preserve">摘要</w:t>
      </w:r>
    </w:p>
    <w:p>
      <w:pPr>
        <w:pStyle w:val="BodyText"/>
      </w:pPr>
      <w:r>
        <w:rPr>
          <w:rFonts w:hint="eastAsia"/>
        </w:rPr>
        <w:t xml:space="preserve">2026年4月29日，韩国央行（Bank</w:t>
      </w:r>
      <w:r>
        <w:t xml:space="preserve"> of </w:t>
      </w:r>
      <w:r>
        <w:rPr>
          <w:rFonts w:hint="eastAsia"/>
        </w:rPr>
        <w:t xml:space="preserve">Korea）公布数据显示，2026年一季度（1-3月）银行日均外汇成交量达1,026.5亿美元，创2008年央行以现行统计口径建立外汇数据以来的最高季度水平。这一数字较上一季度的846.2亿美元环比增长21.3%。韩国央行将大幅跃升归因于两大主要因素：外国投资者对韩国本土股票和债券的交易量大幅增加，以及汇率市场自身波动性的提升。具体拆分来看，一季度即期外汇成交量环比增长26.2%，达423.9亿美元；衍生品交易量环比增长18.1%，达602.7亿美元。外汇市场活动的历史性高峰，反映了在半导体与AI板块股市涨势驱动KOSPI创历史新高的同期，跨境资本流入韩国金融市场的力度明显加强。与此同时，韩元汇率因伊朗战争带动的高油价而承压，也推升了用于能源进口的美元购汇需求，为外汇市场提供了额外的成交来源。</w:t>
      </w:r>
    </w:p>
    <w:p>
      <w:pPr>
        <w:pStyle w:val="BodyText"/>
      </w:pPr>
      <w:r>
        <w:rPr>
          <w:rFonts w:hint="eastAsia"/>
          <w:b/>
          <w:bCs/>
        </w:rPr>
        <w:t xml:space="preserve">分析</w:t>
      </w:r>
    </w:p>
    <w:p>
      <w:pPr>
        <w:pStyle w:val="BodyText"/>
      </w:pPr>
      <w:r>
        <w:rPr>
          <w:rFonts w:hint="eastAsia"/>
        </w:rPr>
        <w:t xml:space="preserve">韩国央行的数据揭示了一幅双向拉动的外汇市场图景：海外投资者的净流入与本土能源进口美元购汇同步增加，共同将外汇日均成交量推至历史峰值。在KOSPI屡创新高与能源进口双重需求叠加之下，外汇市场深度与波动率管理将成为央行审慎监控的优先项。</w:t>
      </w:r>
    </w:p>
    <w:p>
      <w:pPr>
        <w:pStyle w:val="BodyText"/>
      </w:pPr>
      <w:r>
        <w:rPr>
          <w:b/>
          <w:bCs/>
        </w:rPr>
        <w:t xml:space="preserve">References</w:t>
      </w:r>
    </w:p>
    <w:p>
      <w:pPr>
        <w:pStyle w:val="BodyText"/>
      </w:pPr>
      <w:r>
        <w:t xml:space="preserve">[11] (2026, April 29). Daily FX turnover hits quarterly high in Q1: BOK. The Korea Times. https://www.koreatimes.co.kr/economy/20260429/daily-fx-turnover-hits-quarterly-high-in-q1-bok</w:t>
      </w:r>
    </w:p>
    <w:p>
      <w:r>
        <w:pict>
          <v:rect style="width:0;height:1.5pt" o:hralign="center" o:hrstd="t" o:hr="t"/>
        </w:pict>
      </w:r>
    </w:p>
    <w:bookmarkEnd w:id="21"/>
    <w:bookmarkEnd w:id="22"/>
    <w:bookmarkStart w:id="25" w:name="四社会与民生"/>
    <w:p>
      <w:pPr>
        <w:pStyle w:val="Heading2"/>
      </w:pPr>
      <w:r>
        <w:rPr>
          <w:rFonts w:hint="eastAsia"/>
        </w:rPr>
        <w:t xml:space="preserve">四、社会与民生</w: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标准的新闻，未达最低</w:t>
      </w:r>
      <w:r>
        <w:rPr>
          <w:i/>
          <w:iCs/>
        </w:rPr>
        <w:t xml:space="preserve"> 3 </w:t>
      </w:r>
      <w:r>
        <w:rPr>
          <w:rFonts w:hint="eastAsia"/>
          <w:i/>
          <w:iCs/>
        </w:rPr>
        <w:t xml:space="preserve">条要求。</w:t>
      </w:r>
    </w:p>
    <w:bookmarkStart w:id="23" w:name="韩国劳动法漏洞致五人以下小微企业职工游离职场骚扰保护网外"/>
    <w:p>
      <w:pPr>
        <w:pStyle w:val="Heading3"/>
      </w:pPr>
      <w:r>
        <w:rPr>
          <w:rFonts w:hint="eastAsia"/>
        </w:rPr>
        <w:t xml:space="preserve">韩国劳动法漏洞致五人以下小微企业职工游离职场骚扰保护网外</w:t>
      </w:r>
    </w:p>
    <w:p>
      <w:pPr>
        <w:pStyle w:val="FirstParagraph"/>
      </w:pPr>
      <w:r>
        <w:rPr>
          <w:rFonts w:hint="eastAsia"/>
          <w:b/>
          <w:bCs/>
        </w:rPr>
        <w:t xml:space="preserve">摘要</w:t>
      </w:r>
    </w:p>
    <w:p>
      <w:pPr>
        <w:pStyle w:val="BodyText"/>
      </w:pPr>
      <w:r>
        <w:rPr>
          <w:rFonts w:hint="eastAsia"/>
        </w:rPr>
        <w:t xml:space="preserve">2026年4月29日，据《韩国时报》援引韩国日报报道，韩国现行《职场骚扰防治法》因仅适用于员工人数五人及以上的企业，令数十万在小微企业就职的劳动者在遭受骚扰时无法获得法律保障。一名被叫做郑某的运输公司员工长期被迫为上司处理私人杂务，当他投诉遭受骚扰时，当局以其雇主平均员工数为4.66人——低于法定门槛——为由拒绝受理。另一名化名朴恩珍（Park</w:t>
      </w:r>
      <w:r>
        <w:t xml:space="preserve"> </w:t>
      </w:r>
      <w:r>
        <w:rPr>
          <w:rFonts w:hint="eastAsia"/>
        </w:rPr>
        <w:t xml:space="preserve">Eun-jin）的女性在一家书店遭受长达六年的言语虐待与无薪假安排，她表示：</w:t>
      </w:r>
      <w:r>
        <w:rPr>
          <w:rFonts w:hint="eastAsia"/>
        </w:rPr>
        <w:t xml:space="preserve">“此前从未在众人面前遭受过如此侮辱。”</w:t>
      </w:r>
      <w:r>
        <w:rPr>
          <w:rFonts w:hint="eastAsia"/>
        </w:rPr>
        <w:t xml:space="preserve">权益倡导组织”甲质119”对1,000名劳动者的调查显示，小微企业骚扰受害者中有53.1%表示情节严重，高于全体劳动者43.4%的比例；同时，小微企业受害者中没有一人获得心理辅导转介，而大型企业这一比例为16.7%。金成熙（Kim</w:t>
      </w:r>
      <w:r>
        <w:t xml:space="preserve"> </w:t>
      </w:r>
      <w:r>
        <w:rPr>
          <w:rFonts w:hint="eastAsia"/>
        </w:rPr>
        <w:t xml:space="preserve">Sung-hee）教授指出，小型工作场所员工无法通过内部调动规避骚扰，往往导致骚扰行为愈演愈烈；法律专家金钟真（Kim</w:t>
      </w:r>
      <w:r>
        <w:t xml:space="preserve"> </w:t>
      </w:r>
      <w:r>
        <w:rPr>
          <w:rFonts w:hint="eastAsia"/>
        </w:rPr>
        <w:t xml:space="preserve">Jong-jin）建议在骚扰调查期间启动带薪休假等程序性改革。</w:t>
      </w:r>
    </w:p>
    <w:p>
      <w:pPr>
        <w:pStyle w:val="BodyText"/>
      </w:pPr>
      <w:r>
        <w:rPr>
          <w:rFonts w:hint="eastAsia"/>
          <w:b/>
          <w:bCs/>
        </w:rPr>
        <w:t xml:space="preserve">分析</w:t>
      </w:r>
    </w:p>
    <w:p>
      <w:pPr>
        <w:pStyle w:val="BodyText"/>
      </w:pPr>
      <w:r>
        <w:rPr>
          <w:rFonts w:hint="eastAsia"/>
        </w:rPr>
        <w:t xml:space="preserve">“五人门槛”</w:t>
      </w:r>
      <w:r>
        <w:rPr>
          <w:rFonts w:hint="eastAsia"/>
        </w:rPr>
        <w:t xml:space="preserve">制度性豁免折射出韩国劳动保护体系的设计缺陷——在中小微企业占就业主体的结构下，法律盲区恰恰覆盖了最难自我救济的劳动群体。在韩国劳动市场改革讨论持续深化的当下，此议题有望成为立法机关的政治压力测试点。</w:t>
      </w:r>
    </w:p>
    <w:p>
      <w:pPr>
        <w:pStyle w:val="BodyText"/>
      </w:pPr>
      <w:r>
        <w:rPr>
          <w:b/>
          <w:bCs/>
        </w:rPr>
        <w:t xml:space="preserve">References</w:t>
      </w:r>
    </w:p>
    <w:p>
      <w:pPr>
        <w:pStyle w:val="BodyText"/>
      </w:pPr>
      <w:r>
        <w:t xml:space="preserve">[12] Hankookilbo. (2026, April 29). Korean labor law loophole leaves microbusiness workers unprotected. The Korea Times. https://www.koreatimes.co.kr/southkorea/society/20260429/korean-labor-law-loophole-leaves-microbusiness-workers-unprotected</w:t>
      </w:r>
    </w:p>
    <w:p>
      <w:r>
        <w:pict>
          <v:rect style="width:0;height:1.5pt" o:hralign="center" o:hrstd="t" o:hr="t"/>
        </w:pict>
      </w:r>
    </w:p>
    <w:bookmarkEnd w:id="23"/>
    <w:bookmarkStart w:id="24" w:name="工会与bgf物流就货运车司机待遇问题达成初步协议此前一名工会成员在抗议中遇难"/>
    <w:p>
      <w:pPr>
        <w:pStyle w:val="Heading3"/>
      </w:pPr>
      <w:r>
        <w:rPr>
          <w:rFonts w:hint="eastAsia"/>
        </w:rPr>
        <w:t xml:space="preserve">工会与BGF物流就货运车司机待遇问题达成初步协议，此前一名工会成员在抗议中遇难</w:t>
      </w:r>
    </w:p>
    <w:p>
      <w:pPr>
        <w:pStyle w:val="FirstParagraph"/>
      </w:pPr>
      <w:r>
        <w:rPr>
          <w:rFonts w:hint="eastAsia"/>
          <w:b/>
          <w:bCs/>
        </w:rPr>
        <w:t xml:space="preserve">摘要</w:t>
      </w:r>
    </w:p>
    <w:p>
      <w:pPr>
        <w:pStyle w:val="BodyText"/>
      </w:pPr>
      <w:r>
        <w:rPr>
          <w:rFonts w:hint="eastAsia"/>
        </w:rPr>
        <w:t xml:space="preserve">2026年4月29日，韩国公共服务和运输工人联合工会宣布，已就工人核心诉求与CU便利店旗下物流子公司BGF物流（BGF</w:t>
      </w:r>
      <w:r>
        <w:t xml:space="preserve"> </w:t>
      </w:r>
      <w:r>
        <w:rPr>
          <w:rFonts w:hint="eastAsia"/>
        </w:rPr>
        <w:t xml:space="preserve">Logis）达成初步劳资协议，正式签署仪式定于当天上午11时举行。此前，一名50多岁的工会成员在庆尚南道晋州市BGF物流配送中心附近参加集会时，被一辆2.5吨货运卡车撞击后不幸遇难，另有两人受伤。工会的核心诉求包括增加休息日、提高货运费率，以及禁止公司向参与劳动行动的工会成员提起损害赔偿诉讼。初步协议明确，正式签署后”主要BGF物流配送中心的封锁将立即解除”。警方以故意杀人罪逮捕了肇事司机（最初定性为特殊人身伤害罪），并对两名涉嫌驾驶货车冲撞配送中心入口和威胁执法人员的工会成员另行移交检察机关处理。此次劳资纠纷发生于韩国物流与制造业劳动争议持续升温的大背景之下。</w:t>
      </w:r>
    </w:p>
    <w:p>
      <w:pPr>
        <w:pStyle w:val="BodyText"/>
      </w:pPr>
      <w:r>
        <w:rPr>
          <w:rFonts w:hint="eastAsia"/>
          <w:b/>
          <w:bCs/>
        </w:rPr>
        <w:t xml:space="preserve">分析</w:t>
      </w:r>
    </w:p>
    <w:p>
      <w:pPr>
        <w:pStyle w:val="BodyText"/>
      </w:pPr>
      <w:r>
        <w:rPr>
          <w:rFonts w:hint="eastAsia"/>
        </w:rPr>
        <w:t xml:space="preserve">致命事故为旷日持久的劳资对峙提供了一个急迫的政治解决窗口，协议达成之迅速反映出悲剧事件对劳资双方谈判立场的重置效应。BGF物流案将进一步聚焦社会对平台及电商物流链中末端运力工人劳动权益保障的关注。</w:t>
      </w:r>
    </w:p>
    <w:p>
      <w:pPr>
        <w:pStyle w:val="BodyText"/>
      </w:pPr>
      <w:r>
        <w:rPr>
          <w:b/>
          <w:bCs/>
        </w:rPr>
        <w:t xml:space="preserve">References</w:t>
      </w:r>
    </w:p>
    <w:p>
      <w:pPr>
        <w:pStyle w:val="BodyText"/>
      </w:pPr>
      <w:r>
        <w:t xml:space="preserve">[13] (2026, April 29). Unionized cargo workers, BGF Logis reach tentative agreement after fatal truck accident. The Korea Times. https://www.koreatimes.co.kr/southkorea/society/20260429/unionized-cargo-workers-bgf-logis-reach-tentative-agreement-after-fatal-truck-accident</w:t>
      </w:r>
    </w:p>
    <w:p>
      <w:r>
        <w:pict>
          <v:rect style="width:0;height:1.5pt" o:hralign="center" o:hrstd="t" o:hr="t"/>
        </w:pict>
      </w:r>
    </w:p>
    <w:bookmarkEnd w:id="24"/>
    <w:bookmarkEnd w:id="25"/>
    <w:bookmarkStart w:id="29" w:name="五其他重要事件"/>
    <w:p>
      <w:pPr>
        <w:pStyle w:val="Heading2"/>
      </w:pPr>
      <w:r>
        <w:rPr>
          <w:rFonts w:hint="eastAsia"/>
        </w:rPr>
        <w:t xml:space="preserve">五、其他重要事件</w:t>
      </w:r>
    </w:p>
    <w:bookmarkStart w:id="26" w:name="第27届全州国际电影节开幕237部影片呈现独立与艺术电影风貌"/>
    <w:p>
      <w:pPr>
        <w:pStyle w:val="Heading3"/>
      </w:pPr>
      <w:r>
        <w:rPr>
          <w:rFonts w:hint="eastAsia"/>
        </w:rPr>
        <w:t xml:space="preserve">第27届全州国际电影节开幕，237部影片呈现独立与艺术电影风貌</w:t>
      </w:r>
    </w:p>
    <w:p>
      <w:pPr>
        <w:pStyle w:val="FirstParagraph"/>
      </w:pPr>
      <w:r>
        <w:rPr>
          <w:rFonts w:hint="eastAsia"/>
          <w:b/>
          <w:bCs/>
        </w:rPr>
        <w:t xml:space="preserve">摘要</w:t>
      </w:r>
    </w:p>
    <w:p>
      <w:pPr>
        <w:pStyle w:val="BodyText"/>
      </w:pPr>
      <w:r>
        <w:rPr>
          <w:rFonts w:hint="eastAsia"/>
        </w:rPr>
        <w:t xml:space="preserve">2026年4月29日，韩国规模最大的独立与艺术电影展映平台——第27届全州国际电影节在全州艺术中心（Sori</w:t>
      </w:r>
      <w:r>
        <w:t xml:space="preserve"> Arts </w:t>
      </w:r>
      <w:r>
        <w:rPr>
          <w:rFonts w:hint="eastAsia"/>
        </w:rPr>
        <w:t xml:space="preserve">Center）隆重揭幕，活动将持续至5月8日，为期10天。本届电影节共展映来自54个国家的237部影片，其中国际单元140部（较上届增加13部），韩国竞赛单元10部（含4部纪录片）。开幕影片为美国导演肯特·琼斯（Kent</w:t>
      </w:r>
      <w:r>
        <w:t xml:space="preserve"> </w:t>
      </w:r>
      <w:r>
        <w:rPr>
          <w:rFonts w:hint="eastAsia"/>
        </w:rPr>
        <w:t xml:space="preserve">Jones）执导的《迟来的声誉》（Late</w:t>
      </w:r>
      <w:r>
        <w:t xml:space="preserve"> </w:t>
      </w:r>
      <w:r>
        <w:rPr>
          <w:rFonts w:hint="eastAsia"/>
        </w:rPr>
        <w:t xml:space="preserve">Fame），该片于2025年8月第82届威尼斯国际电影节首映，讲述”一位平静生活被一群年轻仰慕者重新发现其久被遗忘作品所打破的诗人”的故事。本届电影节设有专题回顾单元，向去年12月辞世的韩国著名演员安圣基（Ahn</w:t>
      </w:r>
      <w:r>
        <w:t xml:space="preserve"> </w:t>
      </w:r>
      <w:r>
        <w:rPr>
          <w:rFonts w:hint="eastAsia"/>
        </w:rPr>
        <w:t xml:space="preserve">Sung-ki）致敬。闭幕影片为韩国导演金贤智（Kim</w:t>
      </w:r>
      <w:r>
        <w:t xml:space="preserve"> </w:t>
      </w:r>
      <w:r>
        <w:rPr>
          <w:rFonts w:hint="eastAsia"/>
        </w:rPr>
        <w:t xml:space="preserve">Hyun-ji）执导的《南太岭》（Namtaeryeong），影片描绘2024年12月一群驾驶拖拉机前往首尔要求弹劾时任总统尹锡悦的农民，将电影节文化视野与韩国近年政治变局紧密连接。开幕典礼于当晚6时30分在全州艺术中心举行。</w:t>
      </w:r>
    </w:p>
    <w:p>
      <w:pPr>
        <w:pStyle w:val="BodyText"/>
      </w:pPr>
      <w:r>
        <w:rPr>
          <w:rFonts w:hint="eastAsia"/>
          <w:b/>
          <w:bCs/>
        </w:rPr>
        <w:t xml:space="preserve">分析</w:t>
      </w:r>
    </w:p>
    <w:p>
      <w:pPr>
        <w:pStyle w:val="BodyText"/>
      </w:pPr>
      <w:r>
        <w:rPr>
          <w:rFonts w:hint="eastAsia"/>
        </w:rPr>
        <w:t xml:space="preserve">闭幕影片以戒严期间农民赴京抗议为题材，体现出全州电影节作为社会与政治议题重要文化叙事场域的一贯定位，也折射出韩国影视创作者将历史时刻即时转化为艺术表达的高度能动性。</w:t>
      </w:r>
    </w:p>
    <w:p>
      <w:pPr>
        <w:pStyle w:val="BodyText"/>
      </w:pPr>
      <w:r>
        <w:rPr>
          <w:b/>
          <w:bCs/>
        </w:rPr>
        <w:t xml:space="preserve">References</w:t>
      </w:r>
    </w:p>
    <w:p>
      <w:pPr>
        <w:pStyle w:val="BodyText"/>
      </w:pPr>
      <w:r>
        <w:t xml:space="preserve">[14] (2026, April 29). Jeonju Int’l Film Festival to kick off with 237 films. The Korea Times. https://www.koreatimes.co.kr/entertainment/films/20260429/jeonju-intl-film-festival-to-kick-off-with-237-films</w:t>
      </w:r>
    </w:p>
    <w:p>
      <w:r>
        <w:pict>
          <v:rect style="width:0;height:1.5pt" o:hralign="center" o:hrstd="t" o:hr="t"/>
        </w:pict>
      </w:r>
    </w:p>
    <w:bookmarkEnd w:id="26"/>
    <w:bookmarkStart w:id="27" w:name="ador全体律师在对前newjeans成员danielle诉讼开审前集体辞职"/>
    <w:p>
      <w:pPr>
        <w:pStyle w:val="Heading3"/>
      </w:pPr>
      <w:r>
        <w:rPr>
          <w:rFonts w:hint="eastAsia"/>
        </w:rPr>
        <w:t xml:space="preserve">ADOR全体律师在对前NewJeans成员Danielle诉讼开审前集体辞职</w:t>
      </w:r>
    </w:p>
    <w:p>
      <w:pPr>
        <w:pStyle w:val="FirstParagraph"/>
      </w:pPr>
      <w:r>
        <w:rPr>
          <w:rFonts w:hint="eastAsia"/>
          <w:b/>
          <w:bCs/>
        </w:rPr>
        <w:t xml:space="preserve">摘要</w:t>
      </w:r>
    </w:p>
    <w:p>
      <w:pPr>
        <w:pStyle w:val="BodyText"/>
      </w:pPr>
      <w:r>
        <w:rPr>
          <w:rFonts w:hint="eastAsia"/>
        </w:rPr>
        <w:t xml:space="preserve">2026年4月29日，韩国顶级律师事务所金与张（Kim</w:t>
      </w:r>
      <w:r>
        <w:t xml:space="preserve"> &amp; </w:t>
      </w:r>
      <w:r>
        <w:rPr>
          <w:rFonts w:hint="eastAsia"/>
        </w:rPr>
        <w:t xml:space="preserve">Chang）代理ADOR标签对前NewJeans成员Danielle提起的430亿韩元（约2,900万美元）民事损害赔偿诉讼的全部5名律师，在3月26日首次庭前听证会后不足一个月内集体辞职，原因未予公开说明。ADOR就Danielle、一名家属及前CEO闵熙珍（Min</w:t>
      </w:r>
      <w:r>
        <w:t xml:space="preserve"> </w:t>
      </w:r>
      <w:r>
        <w:rPr>
          <w:rFonts w:hint="eastAsia"/>
        </w:rPr>
        <w:t xml:space="preserve">Hee-jin）等人提起诉讼，指控去年12月Danielle被驱逐出合约团体后存在严重违约行为。随着全体法律代理人退出，HYBE（ADOR母公司）须重新委任代理律师，法律观察人士认为此举可能大幅延误诉讼进程。下次庭审分别定于5月14日及7月2日。在3月的首次庭前听证中，Danielle方面律师指控ADOR主动寻求程序性拖延，称对方”近期曾申请将庭前听证推迟两个月”，暗示原告有意拖延诉讼；ADOR则表示”案件涉及诸多争议事项，需要仔细审查”。金与张作为韩国最具声望律师事务所之一，全体律师集体突然退出，在韩国娱乐与法律媒体引发广泛揣测。</w:t>
      </w:r>
    </w:p>
    <w:p>
      <w:pPr>
        <w:pStyle w:val="BodyText"/>
      </w:pPr>
      <w:r>
        <w:rPr>
          <w:rFonts w:hint="eastAsia"/>
          <w:b/>
          <w:bCs/>
        </w:rPr>
        <w:t xml:space="preserve">分析</w:t>
      </w:r>
    </w:p>
    <w:p>
      <w:pPr>
        <w:pStyle w:val="BodyText"/>
      </w:pPr>
      <w:r>
        <w:rPr>
          <w:rFonts w:hint="eastAsia"/>
        </w:rPr>
        <w:t xml:space="preserve">顶级律所的集体退出在程序推进上对ADOR造成实质性阻碍，并引发对其起诉策略可持续性的外部质疑。在韩国娱乐公司与艺人合约纠纷日趋复杂化的背景下，此案的程序走向将对K-pop行业合约治理实践产生示范影响。</w:t>
      </w:r>
    </w:p>
    <w:p>
      <w:pPr>
        <w:pStyle w:val="BodyText"/>
      </w:pPr>
      <w:r>
        <w:rPr>
          <w:b/>
          <w:bCs/>
        </w:rPr>
        <w:t xml:space="preserve">References</w:t>
      </w:r>
    </w:p>
    <w:p>
      <w:pPr>
        <w:pStyle w:val="BodyText"/>
      </w:pPr>
      <w:r>
        <w:t xml:space="preserve">[15] Xportsnews. (2026, April 29). ADOR lawyers quit before Danielle court date. The Korea Times. https://www.koreatimes.co.kr/entertainment/k-pop/20260429/ador-lawyers-quit-before-danielle-court-date</w:t>
      </w:r>
    </w:p>
    <w:p>
      <w:r>
        <w:pict>
          <v:rect style="width:0;height:1.5pt" o:hralign="center" o:hrstd="t" o:hr="t"/>
        </w:pict>
      </w:r>
    </w:p>
    <w:bookmarkEnd w:id="27"/>
    <w:bookmarkStart w:id="28" w:name="尹锡悦就海军陆战队员死亡调查干预案出庭对所有指控全部否认"/>
    <w:p>
      <w:pPr>
        <w:pStyle w:val="Heading3"/>
      </w:pPr>
      <w:r>
        <w:rPr>
          <w:rFonts w:hint="eastAsia"/>
        </w:rPr>
        <w:t xml:space="preserve">尹锡悦就海军陆战队员死亡调查干预案出庭，对所有指控全部否认</w:t>
      </w:r>
    </w:p>
    <w:p>
      <w:pPr>
        <w:pStyle w:val="FirstParagraph"/>
      </w:pPr>
      <w:r>
        <w:rPr>
          <w:rFonts w:hint="eastAsia"/>
          <w:b/>
          <w:bCs/>
        </w:rPr>
        <w:t xml:space="preserve">摘要</w:t>
      </w:r>
    </w:p>
    <w:p>
      <w:pPr>
        <w:pStyle w:val="BodyText"/>
      </w:pPr>
      <w:r>
        <w:rPr>
          <w:rFonts w:hint="eastAsia"/>
        </w:rPr>
        <w:t xml:space="preserve">2026年4月29日，前总统尹锡悦辩护团队在另一起独立案件的首次正式庭审中进行全面否认——该案指控尹锡悦滥用总统权力干预2023年7月海军陆战队下士蔡秀根（Chae</w:t>
      </w:r>
      <w:r>
        <w:t xml:space="preserve"> </w:t>
      </w:r>
      <w:r>
        <w:rPr>
          <w:rFonts w:hint="eastAsia"/>
        </w:rPr>
        <w:t xml:space="preserve">Su-geun）死亡事件的调查。蔡秀根下士在临津江搜救行动中牺牲，批评人士认为高级指挥官存在处置不当。原军事调查将责任指向一名高级海军陆战队指挥官，但检察官指控尹锡悦与前国家安保室长赵太庸（Cho</w:t>
      </w:r>
      <w:r>
        <w:t xml:space="preserve"> </w:t>
      </w:r>
      <w:r>
        <w:rPr>
          <w:rFonts w:hint="eastAsia"/>
        </w:rPr>
        <w:t xml:space="preserve">Tae-yong）及前国防部长李钟燮（Lee</w:t>
      </w:r>
      <w:r>
        <w:t xml:space="preserve"> </w:t>
      </w:r>
      <w:r>
        <w:rPr>
          <w:rFonts w:hint="eastAsia"/>
        </w:rPr>
        <w:t xml:space="preserve">Jong-sup）向国防部与总统府发出不当指令，压制上述调查结论，并为涉事军官提供庇护。庭审中，尹方辩护律师陈述称：</w:t>
      </w:r>
      <w:r>
        <w:rPr>
          <w:rFonts w:hint="eastAsia"/>
        </w:rPr>
        <w:t xml:space="preserve">“我们对起诉书中的一切指控全部否认”</w:t>
      </w:r>
      <w:r>
        <w:rPr>
          <w:rFonts w:hint="eastAsia"/>
        </w:rPr>
        <w:t xml:space="preserve">，并断言尹锡悦”没有干预调查的动机”。被告尹锡悦本人否认曾因原调查结论使高级海军陆战队官员承担责任而表现出激烈情绪。前国家安保室长赵太庸与前国防部长李钟燮同样在庭审中否认全部指控。此案与尹锡悦已于2026年2月被判处无期徒刑的叛乱案，以及同日下午宣判加重至七年有期徒刑的妨碍司法案同步推进。</w:t>
      </w:r>
    </w:p>
    <w:p>
      <w:pPr>
        <w:pStyle w:val="BodyText"/>
      </w:pPr>
      <w:r>
        <w:rPr>
          <w:rFonts w:hint="eastAsia"/>
          <w:b/>
          <w:bCs/>
        </w:rPr>
        <w:t xml:space="preserve">分析</w:t>
      </w:r>
    </w:p>
    <w:p>
      <w:pPr>
        <w:pStyle w:val="BodyText"/>
      </w:pPr>
      <w:r>
        <w:rPr>
          <w:rFonts w:hint="eastAsia"/>
        </w:rPr>
        <w:t xml:space="preserve">辩护方的全面否认策略延续了尹锡悦自戒严令案以来的一贯应对姿态，意在为最高法院的最终终审保留最大辩护空间。该案将检验韩国特别检察制度能否在现有证据标准下成功追究总统对军事调查的间接干预责任。</w:t>
      </w:r>
    </w:p>
    <w:p>
      <w:pPr>
        <w:pStyle w:val="BodyText"/>
      </w:pPr>
      <w:r>
        <w:rPr>
          <w:b/>
          <w:bCs/>
        </w:rPr>
        <w:t xml:space="preserve">References</w:t>
      </w:r>
    </w:p>
    <w:p>
      <w:pPr>
        <w:pStyle w:val="BodyText"/>
      </w:pPr>
      <w:r>
        <w:t xml:space="preserve">[16] (2026, April 29). Ex-President Yoon denies all charges in 1st trial hearing over interference in Marine death probe. The Korea Times. https://www.koreatimes.co.kr/southkorea/law-crime/20260429/ex-president-yoon-denies-all-charges-in-1st-trial-hearing-over-interference-in-marine-death-probe</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2026-04-29T08:50:19Z</dcterms:created>
  <dcterms:modified xsi:type="dcterms:W3CDTF">2026-04-29T08:50:19Z</dcterms:modified>
</cp:coreProperties>
</file>

<file path=docProps/custom.xml><?xml version="1.0" encoding="utf-8"?>
<Properties xmlns="http://schemas.openxmlformats.org/officeDocument/2006/custom-properties" xmlns:vt="http://schemas.openxmlformats.org/officeDocument/2006/docPropsVTypes"/>
</file>