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2026年4月29日</w:t>
      </w:r>
    </w:p>
    <w:p/>
    <w:p>
      <w:pPr>
        <w:pStyle w:val="ListParagraph"/>
        <w:numPr>
          <w:ilvl w:val="0"/>
          <w:numId w:val="8"/>
        </w:numPr>
      </w:pPr>
      <w:r>
        <w:rPr>
          <w:rFonts w:ascii="FangSong_GB2312" w:hAnsi="FangSong_GB2312" w:eastAsia="FangSong_GB2312"/>
          <w:b/>
          <w:sz w:val="21"/>
        </w:rPr>
        <w:t>美联储维持利率不变，参议院推进沃什接任主席确认程序</w:t>
      </w:r>
    </w:p>
    <w:p>
      <w:pPr>
        <w:pStyle w:val="ListParagraph"/>
        <w:numPr>
          <w:ilvl w:val="0"/>
          <w:numId w:val="8"/>
        </w:numPr>
      </w:pPr>
      <w:r>
        <w:rPr>
          <w:rFonts w:ascii="FangSong_GB2312" w:hAnsi="FangSong_GB2312" w:eastAsia="FangSong_GB2312"/>
          <w:b/>
          <w:sz w:val="21"/>
        </w:rPr>
        <w:t>特朗普会见石油高管应对伊朗战争下能源市场压力</w:t>
      </w:r>
    </w:p>
    <w:p>
      <w:pPr>
        <w:pStyle w:val="ListParagraph"/>
        <w:numPr>
          <w:ilvl w:val="0"/>
          <w:numId w:val="8"/>
        </w:numPr>
      </w:pPr>
      <w:r>
        <w:rPr>
          <w:rFonts w:ascii="FangSong_GB2312" w:hAnsi="FangSong_GB2312" w:eastAsia="FangSong_GB2312"/>
          <w:b/>
          <w:sz w:val="21"/>
        </w:rPr>
        <w:t>美国防长就伊朗战争出席国会听证，国防预算申请1.5万亿美元</w:t>
      </w:r>
    </w:p>
    <w:p>
      <w:pPr>
        <w:pStyle w:val="ListParagraph"/>
        <w:numPr>
          <w:ilvl w:val="0"/>
          <w:numId w:val="8"/>
        </w:numPr>
      </w:pPr>
      <w:r>
        <w:rPr>
          <w:rFonts w:ascii="FangSong_GB2312" w:hAnsi="FangSong_GB2312" w:eastAsia="FangSong_GB2312"/>
          <w:b/>
          <w:sz w:val="21"/>
        </w:rPr>
        <w:t>伊朗战争重创英国经济，NIESR警告衰退风险</w:t>
      </w:r>
    </w:p>
    <w:p>
      <w:pPr>
        <w:pStyle w:val="ListParagraph"/>
        <w:numPr>
          <w:ilvl w:val="0"/>
          <w:numId w:val="8"/>
        </w:numPr>
      </w:pPr>
      <w:r>
        <w:rPr>
          <w:rFonts w:ascii="FangSong_GB2312" w:hAnsi="FangSong_GB2312" w:eastAsia="FangSong_GB2312"/>
          <w:b/>
          <w:sz w:val="21"/>
        </w:rPr>
        <w:t>英国养老金计划法案通过议会，确立投资指令法定上限</w:t>
      </w:r>
    </w:p>
    <w:p>
      <w:pPr>
        <w:pStyle w:val="ListParagraph"/>
        <w:numPr>
          <w:ilvl w:val="0"/>
          <w:numId w:val="8"/>
        </w:numPr>
      </w:pPr>
      <w:r>
        <w:rPr>
          <w:rFonts w:ascii="FangSong_GB2312" w:hAnsi="FangSong_GB2312" w:eastAsia="FangSong_GB2312"/>
          <w:b/>
          <w:sz w:val="21"/>
        </w:rPr>
        <w:t>欧盟能源账单两月激增270亿欧元，冯德莱恩呼吁加速能源转型</w:t>
      </w:r>
    </w:p>
    <w:p>
      <w:pPr>
        <w:pStyle w:val="ListParagraph"/>
        <w:numPr>
          <w:ilvl w:val="0"/>
          <w:numId w:val="8"/>
        </w:numPr>
      </w:pPr>
      <w:r>
        <w:rPr>
          <w:rFonts w:ascii="FangSong_GB2312" w:hAnsi="FangSong_GB2312" w:eastAsia="FangSong_GB2312"/>
          <w:b/>
          <w:sz w:val="21"/>
        </w:rPr>
        <w:t>欧盟初步裁定Meta违反数字服务法未能阻止13岁以下儿童使用</w:t>
      </w:r>
    </w:p>
    <w:p>
      <w:pPr>
        <w:pStyle w:val="ListParagraph"/>
        <w:numPr>
          <w:ilvl w:val="0"/>
          <w:numId w:val="8"/>
        </w:numPr>
      </w:pPr>
      <w:r>
        <w:rPr>
          <w:rFonts w:ascii="FangSong_GB2312" w:hAnsi="FangSong_GB2312" w:eastAsia="FangSong_GB2312"/>
          <w:b/>
          <w:sz w:val="21"/>
        </w:rPr>
        <w:t>欧盟AI法案修订谈判12小时未果推迟至5月</w:t>
      </w:r>
    </w:p>
    <w:p>
      <w:pPr>
        <w:pStyle w:val="ListParagraph"/>
        <w:numPr>
          <w:ilvl w:val="0"/>
          <w:numId w:val="8"/>
        </w:numPr>
      </w:pPr>
      <w:r>
        <w:rPr>
          <w:rFonts w:ascii="FangSong_GB2312" w:hAnsi="FangSong_GB2312" w:eastAsia="FangSong_GB2312"/>
          <w:b/>
          <w:sz w:val="21"/>
        </w:rPr>
        <w:t>第九届数字中国建设峰会在福州开幕聚焦人工智能创新</w:t>
      </w:r>
    </w:p>
    <w:p>
      <w:pPr>
        <w:pStyle w:val="ListParagraph"/>
        <w:numPr>
          <w:ilvl w:val="0"/>
          <w:numId w:val="8"/>
        </w:numPr>
      </w:pPr>
      <w:r>
        <w:rPr>
          <w:rFonts w:ascii="FangSong_GB2312" w:hAnsi="FangSong_GB2312" w:eastAsia="FangSong_GB2312"/>
          <w:b/>
          <w:sz w:val="21"/>
        </w:rPr>
        <w:t>中国设定2030年互助养老目标并发布银发经济发展路线图</w:t>
      </w:r>
    </w:p>
    <w:p>
      <w:pPr>
        <w:pStyle w:val="ListParagraph"/>
        <w:numPr>
          <w:ilvl w:val="0"/>
          <w:numId w:val="8"/>
        </w:numPr>
      </w:pPr>
      <w:r>
        <w:rPr>
          <w:rFonts w:ascii="FangSong_GB2312" w:hAnsi="FangSong_GB2312" w:eastAsia="FangSong_GB2312"/>
          <w:b/>
          <w:sz w:val="21"/>
        </w:rPr>
        <w:t>日本超级油轮战时首次通过霍尔木兹海峡</w:t>
      </w:r>
    </w:p>
    <w:p>
      <w:pPr>
        <w:pStyle w:val="ListParagraph"/>
        <w:numPr>
          <w:ilvl w:val="0"/>
          <w:numId w:val="8"/>
        </w:numPr>
      </w:pPr>
      <w:r>
        <w:rPr>
          <w:rFonts w:ascii="FangSong_GB2312" w:hAnsi="FangSong_GB2312" w:eastAsia="FangSong_GB2312"/>
          <w:b/>
          <w:sz w:val="21"/>
        </w:rPr>
        <w:t>小松制作所预测净利润下降16%受中东战争和美国关税拖累</w:t>
      </w:r>
    </w:p>
    <w:p>
      <w:pPr>
        <w:pStyle w:val="ListParagraph"/>
        <w:numPr>
          <w:ilvl w:val="0"/>
          <w:numId w:val="8"/>
        </w:numPr>
      </w:pPr>
      <w:r>
        <w:rPr>
          <w:rFonts w:ascii="FangSong_GB2312" w:hAnsi="FangSong_GB2312" w:eastAsia="FangSong_GB2312"/>
          <w:b/>
          <w:sz w:val="21"/>
        </w:rPr>
        <w:t>首尔高等法院改判尹锡悦妨碍司法罪七年有期徒刑</w:t>
      </w:r>
    </w:p>
    <w:p>
      <w:pPr>
        <w:pStyle w:val="ListParagraph"/>
        <w:numPr>
          <w:ilvl w:val="0"/>
          <w:numId w:val="8"/>
        </w:numPr>
      </w:pPr>
      <w:r>
        <w:rPr>
          <w:rFonts w:ascii="FangSong_GB2312" w:hAnsi="FangSong_GB2312" w:eastAsia="FangSong_GB2312"/>
          <w:b/>
          <w:sz w:val="21"/>
        </w:rPr>
        <w:t>穆迪警告韩国芯片出口过度集中，KOSPI连续三日刷新历史纪录</w:t>
      </w:r>
    </w:p>
    <w:p/>
    <w:p/>
    <w:p>
      <w:r>
        <w:rPr>
          <w:rFonts w:ascii="FangSong_GB2312" w:hAnsi="FangSong_GB2312" w:eastAsia="FangSong_GB2312"/>
          <w:b/>
          <w:sz w:val="24"/>
        </w:rPr>
        <w:t>1.美联储维持利率不变，参议院推进沃什接任主席确认程序</w:t>
      </w:r>
    </w:p>
    <w:p>
      <w:r>
        <w:rPr>
          <w:rFonts w:ascii="FangSong_GB2312" w:hAnsi="FangSong_GB2312" w:eastAsia="FangSong_GB2312"/>
          <w:b w:val="0"/>
          <w:sz w:val="21"/>
        </w:rPr>
        <w:t>美国联邦储备委员会在4月28至29日FOMC会议后宣布维持基准利率在3.50%至3.75%不变，为2026年内第三次连续暂停加息。美国3月消费者价格指数同比上涨3.3%，主要受汽油价格单月飙升21.2%推动，而汽油价格上涨与美以对伊朗的军事行动直接相关。此次会议可能是美联储主席杰罗姆·鲍威尔（Jerome Powell）主持的最后一次FOMC会议，其任期将于5月15日届满。同日，参议院银行委员会计划对特朗普提名的继任者凯文·沃什（Kevin Warsh）举行确认投票，但遭到参议员伊丽莎白·沃伦（Elizabeth Warren）公开反对，她批评沃什曾表示美联储应在利率决策上与财政部更密切协调，认为此举实质上将赋予特朗普对美国经济稳定最关键机构的直接影响力。 [1]</w:t>
      </w:r>
    </w:p>
    <w:p/>
    <w:p>
      <w:r>
        <w:rPr>
          <w:rFonts w:ascii="FangSong_GB2312" w:hAnsi="FangSong_GB2312" w:eastAsia="FangSong_GB2312"/>
          <w:b/>
          <w:sz w:val="24"/>
        </w:rPr>
        <w:t>2.特朗普会见石油高管应对伊朗战争下能源市场压力</w:t>
      </w:r>
    </w:p>
    <w:p>
      <w:r>
        <w:rPr>
          <w:rFonts w:ascii="FangSong_GB2312" w:hAnsi="FangSong_GB2312" w:eastAsia="FangSong_GB2312"/>
          <w:b w:val="0"/>
          <w:sz w:val="21"/>
        </w:rPr>
        <w:t>美国总统唐纳德·特朗普（Donald Trump）4月29日在白宫召集美国主要石油公司高管举行闭门会议，讨论美以军事行动持久僵局下的能源供应压力。与会者包括雪佛龙首席执行官迈克·沃斯（Mike Wirth）以及财长斯科特·贝森特（Scott Bessent）、特使史蒂夫·威特科夫（Steve Witkoff）等白宫高级官员。自2月28日冲突爆发以来，西德克萨斯中质原油价格大幅飙升至每桶近100美元，霍尔木兹海峡供应路线受阻。全美加油站平均汽油价格攀升至每加仑4.23美元，为2022年8月以来最高水平。会议讨论了近期能源供应方案及军事行动的长期经济影响，但行业高管指出美国国内石油产能提升速度存在结构性限制。 [2]</w:t>
      </w:r>
    </w:p>
    <w:p/>
    <w:p>
      <w:r>
        <w:rPr>
          <w:rFonts w:ascii="FangSong_GB2312" w:hAnsi="FangSong_GB2312" w:eastAsia="FangSong_GB2312"/>
          <w:b/>
          <w:sz w:val="24"/>
        </w:rPr>
        <w:t>3.美国防长就伊朗战争出席国会听证，国防预算申请1.5万亿美元</w:t>
      </w:r>
    </w:p>
    <w:p>
      <w:r>
        <w:rPr>
          <w:rFonts w:ascii="FangSong_GB2312" w:hAnsi="FangSong_GB2312" w:eastAsia="FangSong_GB2312"/>
          <w:b w:val="0"/>
          <w:sz w:val="21"/>
        </w:rPr>
        <w:t>美国国防部长皮特·赫格塞斯（Pete Hegseth）和参谋长联席会议主席丹·凯恩将军（Gen. Dan Caine）4月29日出席众议院军事委员会听证会，为自2月28日美以对伊朗发动军事打击以来首次在国会作证。国防部2027财年预算申请总额约1.5万亿美元，较上一财年增长超40%，将创下美国历史上最大的和平时期国防拨款纪录。截至听证当日，三个美国航母打击群在中东地区部署，属前所未有的兵力集结。赫格塞斯此前拒绝了国会关于伊朗冲突的听证邀请，遭到两党议员批评。委员会中的民主党议员援引《战争权力法案》，认为60天期限或于4月29日届满，而白宫坚持认为期限至5月1日才届满。 [3]</w:t>
      </w:r>
    </w:p>
    <w:p/>
    <w:p>
      <w:r>
        <w:rPr>
          <w:rFonts w:ascii="FangSong_GB2312" w:hAnsi="FangSong_GB2312" w:eastAsia="FangSong_GB2312"/>
          <w:b/>
          <w:sz w:val="24"/>
        </w:rPr>
        <w:t>4.伊朗战争重创英国经济，NIESR警告衰退风险</w:t>
      </w:r>
    </w:p>
    <w:p>
      <w:r>
        <w:rPr>
          <w:rFonts w:ascii="FangSong_GB2312" w:hAnsi="FangSong_GB2312" w:eastAsia="FangSong_GB2312"/>
          <w:b w:val="0"/>
          <w:sz w:val="21"/>
        </w:rPr>
        <w:t>英国国家经济社会研究院（NIESR）4月29日发布预测，将2026年英国GDP增长率从1.4%大幅下调至0.9%，两年累计产出损失达350亿英镑。若布伦特原油升至每桶140美元，英国将面临衰退风险。国际货币基金组织预测英国2026年增长仅0.8%，为七国集团（G7）降幅最大。通胀方面，预计2027年初升至4.1%，消费者信心降至两年来最低。英国7月能源价格上限预计将上涨约18%至每年1929英镑，创单季度最大涨幅之一。基准情景下，英格兰银行将于7月加息25个基点至4.0%。NIESR主任大卫·艾克曼（David Aikman）表示：「这对政府推动英国经济重回增长轨道的使命是一个严重打击。」 [4]</w:t>
      </w:r>
    </w:p>
    <w:p/>
    <w:p>
      <w:r>
        <w:rPr>
          <w:rFonts w:ascii="FangSong_GB2312" w:hAnsi="FangSong_GB2312" w:eastAsia="FangSong_GB2312"/>
          <w:b/>
          <w:sz w:val="24"/>
        </w:rPr>
        <w:t>5.英国养老金计划法案通过议会，确立投资指令法定上限</w:t>
      </w:r>
    </w:p>
    <w:p>
      <w:r>
        <w:rPr>
          <w:rFonts w:ascii="FangSong_GB2312" w:hAnsi="FangSong_GB2312" w:eastAsia="FangSong_GB2312"/>
          <w:b w:val="0"/>
          <w:sz w:val="21"/>
        </w:rPr>
        <w:t>英国《养老金计划法案》于4月29日在经历四轮「乒乓」审议后最终通过议会。法案确立硬性法定上限：自动注册默认基金中最多10%的资产可受政府投资指令约束，其中最多5%可定向投资于英国资产。该储备权力最早不得于2028年前启用，若至2032年未使用则自动失效，2035年前全面废除。这是多年来最重要的固定收益（DB）养老金改革。后续将进行为期12至24个月的磋商，涵盖投资价值评估、基金整合、退休提取及DB终局策略。养老金大臣托斯滕·贝尔（Torsten Bell）表示：「今晚是个好消息。养老金计划法案已完成其议会立法程序。在庆祝之余，真正重要的工作即将开始。」 [5]</w:t>
      </w:r>
    </w:p>
    <w:p/>
    <w:p>
      <w:r>
        <w:rPr>
          <w:rFonts w:ascii="FangSong_GB2312" w:hAnsi="FangSong_GB2312" w:eastAsia="FangSong_GB2312"/>
          <w:b/>
          <w:sz w:val="24"/>
        </w:rPr>
        <w:t>6.欧盟能源账单两月激增270亿欧元，冯德莱恩呼吁加速能源转型</w:t>
      </w:r>
    </w:p>
    <w:p>
      <w:r>
        <w:rPr>
          <w:rFonts w:ascii="FangSong_GB2312" w:hAnsi="FangSong_GB2312" w:eastAsia="FangSong_GB2312"/>
          <w:b w:val="0"/>
          <w:sz w:val="21"/>
        </w:rPr>
        <w:t>欧盟委员会主席乌尔苏拉·冯德莱恩（Ursula von der Leyen）4月29日向欧洲议会警告，美以对伊朗冲突爆发仅两个月，欧盟已面临高达270亿欧元的额外能源账单。此前数据显示，欧盟每日额外能源成本为5亿欧元，全球约20%的石油贸易经由霍尔木兹海峡运输，该海峡自3月初以来实质性关闭。冯德莱恩在演讲中表示：「这是四年内第二次能源危机，我们对进口化石燃料的过度依赖使我们变得脆弱。」她敦促成员国在充分尊重技术中立的前提下加速本土可负担的清洁能源供应，从可再生能源到核能全面增强。欧盟委员会宣布将为农民、渔民和公路运输业者补贴高达70%的额外燃料成本，并启动「AccelerateEU」紧急一揽子计划，包括协调天然气储备、共享石油储备释放及加快灵活的国家援助规则。 [6]</w:t>
      </w:r>
    </w:p>
    <w:p/>
    <w:p>
      <w:r>
        <w:rPr>
          <w:rFonts w:ascii="FangSong_GB2312" w:hAnsi="FangSong_GB2312" w:eastAsia="FangSong_GB2312"/>
          <w:b/>
          <w:sz w:val="24"/>
        </w:rPr>
        <w:t>7.欧盟初步裁定Meta违反数字服务法未能阻止13岁以下儿童使用</w:t>
      </w:r>
    </w:p>
    <w:p>
      <w:r>
        <w:rPr>
          <w:rFonts w:ascii="FangSong_GB2312" w:hAnsi="FangSong_GB2312" w:eastAsia="FangSong_GB2312"/>
          <w:b w:val="0"/>
          <w:sz w:val="21"/>
        </w:rPr>
        <w:t>欧盟委员会4月29日发布初步调查结论，认定Meta旗下Instagram和Facebook平台违反《数字服务法》（DSA），未能有效阻止13岁以下用户访问这些服务。调查显示，目前约有10%至12%的13岁以下儿童正在使用Instagram和Facebook，创建账户时可输入虚假出生日期而无需经过有效的年龄验证程序。Meta提供的举报未成年用户工具需要多达7次点击才能使用，被认定为「难以使用且不够有效」。若最终确认违规，Meta可能面临最高达其全球年营业额6%的罚款。Meta方面表示「不同意这些初步调查结论」，由律师代理进行抗辩。这是欧盟委员会在DSA框架下针对大型科技平台未成年人保护问题采取的重要执法行动。 [7]</w:t>
      </w:r>
    </w:p>
    <w:p/>
    <w:p>
      <w:r>
        <w:rPr>
          <w:rFonts w:ascii="FangSong_GB2312" w:hAnsi="FangSong_GB2312" w:eastAsia="FangSong_GB2312"/>
          <w:b/>
          <w:sz w:val="24"/>
        </w:rPr>
        <w:t>8.欧盟AI法案修订谈判12小时未果推迟至5月</w:t>
      </w:r>
    </w:p>
    <w:p>
      <w:r>
        <w:rPr>
          <w:rFonts w:ascii="FangSong_GB2312" w:hAnsi="FangSong_GB2312" w:eastAsia="FangSong_GB2312"/>
          <w:b w:val="0"/>
          <w:sz w:val="21"/>
        </w:rPr>
        <w:t>欧盟成员国与欧洲议会4月29日就《AI法案》在数字综合方案框架下的修订进行了长达12小时的三方谈判，最终未能达成协议。塞浦路斯官员确认：「未能与欧洲议会达成一致。」争议焦点在于嵌入已有安全法规产品中的高风险AI系统是否应豁免额外义务。若综合方案未能在6月前通过，高风险系统相关义务的原定截止日期——8月2日——将维持不变，届时企业将面临监管不确定性。荷兰籍欧洲议会议员金·范斯帕伦塔克（Kim van Sparrentak）批评道：「大型科技公司大概在开香槟庆祝。而那些重视安全并已做好合规准备的欧洲企业，现在却面临监管混乱。」谈判将在5月继续进行。 [8]</w:t>
      </w:r>
    </w:p>
    <w:p/>
    <w:p>
      <w:r>
        <w:rPr>
          <w:rFonts w:ascii="FangSong_GB2312" w:hAnsi="FangSong_GB2312" w:eastAsia="FangSong_GB2312"/>
          <w:b/>
          <w:sz w:val="24"/>
        </w:rPr>
        <w:t>9.第九届数字中国建设峰会在福州开幕聚焦人工智能创新</w:t>
      </w:r>
    </w:p>
    <w:p>
      <w:r>
        <w:rPr>
          <w:rFonts w:ascii="FangSong_GB2312" w:hAnsi="FangSong_GB2312" w:eastAsia="FangSong_GB2312"/>
          <w:b w:val="0"/>
          <w:sz w:val="21"/>
        </w:rPr>
        <w:t>第九届数字中国建设峰会于4月29日至30日在福建省福州市举行，主题为「加快数字技术创新发展，深化数字中国建设」。峰会期间，国家数据局、国家互联网信息办公室、工业和信息化部联合发布30余项政策、标准和报告，包括《数字中国发展报告（2025年）》和数字中国发展指数。开幕式上启动了人工智能应用市场，现场设置5.6万平方米体验展区，清华大学、北京大学等7所顶尖高校及10余家科研机构展示最新技术成果。此次峰会集中释放了推动数字经济发展的政策信号，凸显了中国在人工智能和数字基础设施领域的战略布局。 [9]</w:t>
      </w:r>
    </w:p>
    <w:p/>
    <w:p>
      <w:r>
        <w:rPr>
          <w:rFonts w:ascii="FangSong_GB2312" w:hAnsi="FangSong_GB2312" w:eastAsia="FangSong_GB2312"/>
          <w:b/>
          <w:sz w:val="24"/>
        </w:rPr>
        <w:t>10.中国设定2030年互助养老目标并发布银发经济发展路线图</w:t>
      </w:r>
    </w:p>
    <w:p>
      <w:r>
        <w:rPr>
          <w:rFonts w:ascii="FangSong_GB2312" w:hAnsi="FangSong_GB2312" w:eastAsia="FangSong_GB2312"/>
          <w:b w:val="0"/>
          <w:sz w:val="21"/>
        </w:rPr>
        <w:t>中国11个政府部门4月29日联合发布关于推进互助养老服务的指导意见。目前中国60岁及以上人口已突破3.2亿，占总人口的23%，预计十年内将超过4亿。指导意见提出到2030年实现70%的城乡社区养老服务设施具备互助养老服务功能的目标，并要求建立针对独居、高龄等困难老年人的定期探访关爱机制。同日发布的银发经济发展路线图明确将银发经济定位为2035年国民经济增长支柱。截至2025年底，全国已建成近6300个「一刻钟便民生活圈」，天津市建设1800余家社区食堂，浙江省老年文化活动创造收入达1亿元。首都经济贸易大学教授江全宝指出：「银发经济正在成为拉动内需增长的新引擎。」 [10]</w:t>
      </w:r>
    </w:p>
    <w:p/>
    <w:p>
      <w:r>
        <w:rPr>
          <w:rFonts w:ascii="FangSong_GB2312" w:hAnsi="FangSong_GB2312" w:eastAsia="FangSong_GB2312"/>
          <w:b/>
          <w:sz w:val="24"/>
        </w:rPr>
        <w:t>11.日本超级油轮战时首次通过霍尔木兹海峡</w:t>
      </w:r>
    </w:p>
    <w:p>
      <w:r>
        <w:rPr>
          <w:rFonts w:ascii="FangSong_GB2312" w:hAnsi="FangSong_GB2312" w:eastAsia="FangSong_GB2312"/>
          <w:b w:val="0"/>
          <w:sz w:val="21"/>
        </w:rPr>
        <w:t>出光兴产旗下一艘悬挂巴拿马旗的超大型油轮「出光丸」4月29日成功通过霍尔木兹海峡，为美伊战争爆发以来日本炼油企业自有船舶首次完成该海峡通行。该油轮在沙特阿拉伯朱艾马终端装载约200万桶沙特原油，沿伊朗批准的北侧航线顺利通行，日本政府高级官员确认「未支付任何费用」。此次通行是持续外交努力的成果，包括日本首相高市早苗4月8日与伊朗总统佩泽什基安的通话，以及外务大臣茂木敏充4月15日与伊朗外长阿拉格齐的通话。日本国内石脑油等效储备约可维持四个月，该油轮预计5月18日前后抵达名古屋港，将为缓解日本能源供应紧张提供重要支持。 [11]</w:t>
      </w:r>
    </w:p>
    <w:p/>
    <w:p>
      <w:r>
        <w:rPr>
          <w:rFonts w:ascii="FangSong_GB2312" w:hAnsi="FangSong_GB2312" w:eastAsia="FangSong_GB2312"/>
          <w:b/>
          <w:sz w:val="24"/>
        </w:rPr>
        <w:t>12.小松制作所预测净利润下降16%受中东战争和美国关税拖累</w:t>
      </w:r>
    </w:p>
    <w:p>
      <w:r>
        <w:rPr>
          <w:rFonts w:ascii="FangSong_GB2312" w:hAnsi="FangSong_GB2312" w:eastAsia="FangSong_GB2312"/>
          <w:b w:val="0"/>
          <w:sz w:val="21"/>
        </w:rPr>
        <w:t>日本建筑机械制造商小松制作所4月29日发布2026财年业绩指引，预计合并净利润将同比下降16%至3180亿日元（约19.9亿美元），主要受到中东冲突和美国关税的双重冲击。预计净销售额微降0.4%至4.118万亿日元，营业利润率预计从上年的13.7%压缩至12.3%。小松制作所指出，由于竞争对手维持价格不变，公司「难以将成本上涨转嫁给客户」。日本制造商已开始从中国采购塑料和石化中间体以应对中东石脑油供应紧缺，4月非中东渠道的石脑油采购量预计将翻倍至90万千升。这一业绩前景凸显了地缘政治风险对日本制造业出口企业盈利能力的持续压力。 [12]</w:t>
      </w:r>
    </w:p>
    <w:p/>
    <w:p>
      <w:r>
        <w:rPr>
          <w:rFonts w:ascii="FangSong_GB2312" w:hAnsi="FangSong_GB2312" w:eastAsia="FangSong_GB2312"/>
          <w:b/>
          <w:sz w:val="24"/>
        </w:rPr>
        <w:t>13.首尔高等法院改判尹锡悦妨碍司法罪七年有期徒刑</w:t>
      </w:r>
    </w:p>
    <w:p>
      <w:r>
        <w:rPr>
          <w:rFonts w:ascii="FangSong_GB2312" w:hAnsi="FangSong_GB2312" w:eastAsia="FangSong_GB2312"/>
          <w:b w:val="0"/>
          <w:sz w:val="21"/>
        </w:rPr>
        <w:t>首尔高等法院4月29日就前总统尹锡悦（Yoon Suk-yeol）在2024年12月3日戒严令后涉嫌妨碍司法与滥用职权一案作出二审判决，将一审五年有期徒刑改判为七年，成为处理戒严令相关案件专项法庭作出的首份二审判决。法院认定尹锡悦将七名内阁部长排除在审议之外、下令事后追溯起草并销毁倒填日期的戒严公告、指示隐匿加密电话记录以及阻止高级官员侦查处执行合法逮捕令。法院将散布不实信息定性为「损害韩国国际公信力的误导性公开传播行为」。主审法官宣判其行为动机与后果「极为恶劣」。尹锡悦此前已于2026年2月因煽动叛乱罪被另一法院一审判处无期徒刑。 [13]</w:t>
      </w:r>
    </w:p>
    <w:p/>
    <w:p>
      <w:r>
        <w:rPr>
          <w:rFonts w:ascii="FangSong_GB2312" w:hAnsi="FangSong_GB2312" w:eastAsia="FangSong_GB2312"/>
          <w:b/>
          <w:sz w:val="24"/>
        </w:rPr>
        <w:t>14.穆迪警告韩国芯片出口过度集中，KOSPI连续三日刷新历史纪录</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穆迪分析（Moody's Analytics）经济学家戴夫·贾（Dave Chia）4月29日警告称，韩国经济正呈现对半导体出口过度依赖的风险迹象。韩国4月出口预计同比跳升逾45%，AI驱动的存储芯片需求抵消了中东冲突的不利影响。同日，韩国综合股价指数（KOSPI）连续第三个交易日创下收盘历史新高，上涨0.75%收报6690.90点。但贾指出，中东地缘冲突将从两个方向夹击韩国：削弱全球需求抑制出口，同时通过高能源价格压缩居民和企业支出。他表示：「韩国的产业基础比台湾更加多元化。除庞大的科技板块外，韩国在传统制造业领域同样拥有相当规模，这是台湾所不具备的。」传统制造业面临美国关税与全球竞争的双重压力。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https://edition.cnn.com/2026/04/29/economy/fed-decision-powell-warsh</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https://www.axios.com/2026/04/29/trump-oil-execs-iran-war</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https://www.local10.com/news/2026/04/29/hegseth-will-be-grilled-by-congress-for-the-first-time-since-the-iran-war-began/</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https://www.aljazeera.com/news/2026/4/29/how-the-iran-war-is-hitting-the-uk</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https://www.moneymarketing.co.uk/news/pension-schemes-bill-finally-passed-after-period-of-ping-pong/</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https://euobserver.com/214021/e27bn-bill-and-counting-von-der-leyen-urges-eu-to-learn-energy-lessons-from-iran-war/</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https://digital-strategy.ec.europa.eu/en/news/commission-preliminarily-finds-meta-breach-digital-services-act-failing-prevent-minors-under-13</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https://thenextweb.com/news/eu-ai-act-omnibus-deal-fails-april-2026-talks</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https://english.news.cn/20260429/bd1fc00597d4405280eb3676165feac9/c.html</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http://en.people.cn/n3/2026/0429/c90000-20451763.html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https://asia.nikkei.com/spotlight/iran-tensions/iran-war/japanese-supertanker-appears-to-transit-strait-of-hormuz</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https://asia.nikkei.com/business/construction/komatsu-expects-profits-to-tumble-16-on-iran-war-us-tariffs</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https://www.koreatimes.co.kr/southkorea/law-crime/20260429/appeals-court-raises-ex-president-yoons-obstruction-of-justice-sentence-to-7-years</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https://www.koreaherald.com/article/10728514</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