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2026年4月30日</w:t>
      </w:r>
    </w:p>
    <w:p/>
    <w:p>
      <w:pPr>
        <w:pStyle w:val="ListParagraph"/>
        <w:numPr>
          <w:ilvl w:val="0"/>
          <w:numId w:val="8"/>
        </w:numPr>
      </w:pPr>
      <w:r>
        <w:rPr>
          <w:rFonts w:ascii="FangSong_GB2312" w:hAnsi="FangSong_GB2312" w:eastAsia="FangSong_GB2312"/>
          <w:b/>
          <w:sz w:val="21"/>
        </w:rPr>
        <w:t>美联储维持利率3.50%-3.75%鲍威尔末次会议沃什获提名接任</w:t>
      </w:r>
    </w:p>
    <w:p>
      <w:pPr>
        <w:pStyle w:val="ListParagraph"/>
        <w:numPr>
          <w:ilvl w:val="0"/>
          <w:numId w:val="8"/>
        </w:numPr>
      </w:pPr>
      <w:r>
        <w:rPr>
          <w:rFonts w:ascii="FangSong_GB2312" w:hAnsi="FangSong_GB2312" w:eastAsia="FangSong_GB2312"/>
          <w:b/>
          <w:sz w:val="21"/>
        </w:rPr>
        <w:t>美一季度GDP折年增2.0%核心PCE加速至4.3%</w:t>
      </w:r>
    </w:p>
    <w:p>
      <w:pPr>
        <w:pStyle w:val="ListParagraph"/>
        <w:numPr>
          <w:ilvl w:val="0"/>
          <w:numId w:val="8"/>
        </w:numPr>
      </w:pPr>
      <w:r>
        <w:rPr>
          <w:rFonts w:ascii="FangSong_GB2312" w:hAnsi="FangSong_GB2312" w:eastAsia="FangSong_GB2312"/>
          <w:b/>
          <w:sz w:val="21"/>
        </w:rPr>
        <w:t>布伦特原油破125美元IEA称史上最严重供应冲击</w:t>
      </w:r>
    </w:p>
    <w:p>
      <w:pPr>
        <w:pStyle w:val="ListParagraph"/>
        <w:numPr>
          <w:ilvl w:val="0"/>
          <w:numId w:val="8"/>
        </w:numPr>
      </w:pPr>
      <w:r>
        <w:rPr>
          <w:rFonts w:ascii="FangSong_GB2312" w:hAnsi="FangSong_GB2312" w:eastAsia="FangSong_GB2312"/>
          <w:b/>
          <w:sz w:val="21"/>
        </w:rPr>
        <w:t>美方倡建海上自由架构联盟推动重开霍尔木兹海峡</w:t>
      </w:r>
    </w:p>
    <w:p>
      <w:pPr>
        <w:pStyle w:val="ListParagraph"/>
        <w:numPr>
          <w:ilvl w:val="0"/>
          <w:numId w:val="8"/>
        </w:numPr>
      </w:pPr>
      <w:r>
        <w:rPr>
          <w:rFonts w:ascii="FangSong_GB2312" w:hAnsi="FangSong_GB2312" w:eastAsia="FangSong_GB2312"/>
          <w:b/>
          <w:sz w:val="21"/>
        </w:rPr>
        <w:t>英央行8比1维持基准利率3.75%发布三情景报告</w:t>
      </w:r>
    </w:p>
    <w:p>
      <w:pPr>
        <w:pStyle w:val="ListParagraph"/>
        <w:numPr>
          <w:ilvl w:val="0"/>
          <w:numId w:val="8"/>
        </w:numPr>
      </w:pPr>
      <w:r>
        <w:rPr>
          <w:rFonts w:ascii="FangSong_GB2312" w:hAnsi="FangSong_GB2312" w:eastAsia="FangSong_GB2312"/>
          <w:b/>
          <w:sz w:val="21"/>
        </w:rPr>
        <w:t>富时100大涨132点联合公用事业增发后飙升11%</w:t>
      </w:r>
    </w:p>
    <w:p>
      <w:pPr>
        <w:pStyle w:val="ListParagraph"/>
        <w:numPr>
          <w:ilvl w:val="0"/>
          <w:numId w:val="8"/>
        </w:numPr>
      </w:pPr>
      <w:r>
        <w:rPr>
          <w:rFonts w:ascii="FangSong_GB2312" w:hAnsi="FangSong_GB2312" w:eastAsia="FangSong_GB2312"/>
          <w:b/>
          <w:sz w:val="21"/>
        </w:rPr>
        <w:t>查尔斯三世结束访美伊朗战争阴影笼罩英美关系</w:t>
      </w:r>
    </w:p>
    <w:p>
      <w:pPr>
        <w:pStyle w:val="ListParagraph"/>
        <w:numPr>
          <w:ilvl w:val="0"/>
          <w:numId w:val="8"/>
        </w:numPr>
      </w:pPr>
      <w:r>
        <w:rPr>
          <w:rFonts w:ascii="FangSong_GB2312" w:hAnsi="FangSong_GB2312" w:eastAsia="FangSong_GB2312"/>
          <w:b/>
          <w:sz w:val="21"/>
        </w:rPr>
        <w:t>欧央行维持三大关键利率不变警示通胀上行风险加剧</w:t>
      </w:r>
    </w:p>
    <w:p>
      <w:pPr>
        <w:pStyle w:val="ListParagraph"/>
        <w:numPr>
          <w:ilvl w:val="0"/>
          <w:numId w:val="8"/>
        </w:numPr>
      </w:pPr>
      <w:r>
        <w:rPr>
          <w:rFonts w:ascii="FangSong_GB2312" w:hAnsi="FangSong_GB2312" w:eastAsia="FangSong_GB2312"/>
          <w:b/>
          <w:sz w:val="21"/>
        </w:rPr>
        <w:t>欧元区4月HICP升至3.0%能源涨幅扩至10.9%</w:t>
      </w:r>
    </w:p>
    <w:p>
      <w:pPr>
        <w:pStyle w:val="ListParagraph"/>
        <w:numPr>
          <w:ilvl w:val="0"/>
          <w:numId w:val="8"/>
        </w:numPr>
      </w:pPr>
      <w:r>
        <w:rPr>
          <w:rFonts w:ascii="FangSong_GB2312" w:hAnsi="FangSong_GB2312" w:eastAsia="FangSong_GB2312"/>
          <w:b/>
          <w:sz w:val="21"/>
        </w:rPr>
        <w:t>大众一季度净利大跌28%中国销量下滑20%</w:t>
      </w:r>
    </w:p>
    <w:p>
      <w:pPr>
        <w:pStyle w:val="ListParagraph"/>
        <w:numPr>
          <w:ilvl w:val="0"/>
          <w:numId w:val="8"/>
        </w:numPr>
      </w:pPr>
      <w:r>
        <w:rPr>
          <w:rFonts w:ascii="FangSong_GB2312" w:hAnsi="FangSong_GB2312" w:eastAsia="FangSong_GB2312"/>
          <w:b/>
          <w:sz w:val="21"/>
        </w:rPr>
        <w:t>中国对53个非洲建交国实施零关税5月1日生效</w:t>
      </w:r>
    </w:p>
    <w:p>
      <w:pPr>
        <w:pStyle w:val="ListParagraph"/>
        <w:numPr>
          <w:ilvl w:val="0"/>
          <w:numId w:val="8"/>
        </w:numPr>
      </w:pPr>
      <w:r>
        <w:rPr>
          <w:rFonts w:ascii="FangSong_GB2312" w:hAnsi="FangSong_GB2312" w:eastAsia="FangSong_GB2312"/>
          <w:b/>
          <w:sz w:val="21"/>
        </w:rPr>
        <w:t>中国4月制造业PMI持稳50.3非制造业跌破荣枯线</w:t>
      </w:r>
    </w:p>
    <w:p>
      <w:pPr>
        <w:pStyle w:val="ListParagraph"/>
        <w:numPr>
          <w:ilvl w:val="0"/>
          <w:numId w:val="8"/>
        </w:numPr>
      </w:pPr>
      <w:r>
        <w:rPr>
          <w:rFonts w:ascii="FangSong_GB2312" w:hAnsi="FangSong_GB2312" w:eastAsia="FangSong_GB2312"/>
          <w:b/>
          <w:sz w:val="21"/>
        </w:rPr>
        <w:t>日元跌破160关口JGB收益率飙至近30年高位</w:t>
      </w:r>
    </w:p>
    <w:p>
      <w:pPr>
        <w:pStyle w:val="ListParagraph"/>
        <w:numPr>
          <w:ilvl w:val="0"/>
          <w:numId w:val="8"/>
        </w:numPr>
      </w:pPr>
      <w:r>
        <w:rPr>
          <w:rFonts w:ascii="FangSong_GB2312" w:hAnsi="FangSong_GB2312" w:eastAsia="FangSong_GB2312"/>
          <w:b/>
          <w:sz w:val="21"/>
        </w:rPr>
        <w:t>三星电子一季度净利同比激增逾四倍至47.22万亿韩元</w:t>
      </w:r>
    </w:p>
    <w:p/>
    <w:p/>
    <w:p>
      <w:r>
        <w:rPr>
          <w:rFonts w:ascii="FangSong_GB2312" w:hAnsi="FangSong_GB2312" w:eastAsia="FangSong_GB2312"/>
          <w:b/>
          <w:sz w:val="24"/>
        </w:rPr>
        <w:t>1.美联储维持利率3.50%-3.75%鲍威尔末次会议沃什获提名接任</w:t>
      </w:r>
    </w:p>
    <w:p>
      <w:r>
        <w:rPr>
          <w:rFonts w:ascii="FangSong_GB2312" w:hAnsi="FangSong_GB2312" w:eastAsia="FangSong_GB2312"/>
          <w:b w:val="0"/>
          <w:sz w:val="21"/>
        </w:rPr>
        <w:t>美联储于2026年4月30日生效的FOMC实施声明显示，委员会在4月28日至29日会议上决定维持联邦基金利率目标区间于3.50%至3.75%不变，准备金余额利率自4月30日起设为3.65%；常备隔夜回购利率3.75%，隔夜逆回购报价利率3.50%，单交易对手日上限1600亿美元。这是美联储主席杰罗姆·鲍威尔（Jerome Powell）在2026年5月15日卸任前主持的最后一次FOMC会议；本次决议有四名官员投反对票，为1992年以来单次会议最高异议人数。鲍威尔将「伊朗战争带来的不确定性」列为暂不调整利率的关键因素，并就针对美联储的政治攻击对机构独立性发出警告。前美联储理事凯文·沃什（Kevin Warsh）已获特朗普提名为继任人选，预计两周内获参议院确认。 [1]</w:t>
      </w:r>
    </w:p>
    <w:p/>
    <w:p>
      <w:r>
        <w:rPr>
          <w:rFonts w:ascii="FangSong_GB2312" w:hAnsi="FangSong_GB2312" w:eastAsia="FangSong_GB2312"/>
          <w:b/>
          <w:sz w:val="24"/>
        </w:rPr>
        <w:t>2.美一季度GDP折年增2.0%核心PCE加速至4.3%</w:t>
      </w:r>
    </w:p>
    <w:p>
      <w:r>
        <w:rPr>
          <w:rFonts w:ascii="FangSong_GB2312" w:hAnsi="FangSong_GB2312" w:eastAsia="FangSong_GB2312"/>
          <w:b w:val="0"/>
          <w:sz w:val="21"/>
        </w:rPr>
        <w:t>美国商务部经济分析局（BEA）于2026年4月30日东部时间上午8时30分公布2026年第一季度GDP预先估计值，实际GDP环比折年率增长2.0%，较2025年第四季度0.5%明显加速；同期个人消费支出（PCE）价格指数环比折年率上涨4.5%，较第四季度2.9%大幅攀升；剔除食品和能源的核心PCE上涨4.3%，前值2.7%。BEA指出通胀加速主要反映自今年2月底霍尔木兹海峡封锁以来的能源成本上行。实际私人国内购买者最终销售额增长2.5%，现价GDP增长5.6%。CNN同日数据显示3月PCE同比上涨3.5%为近三年最高，能源商品和服务大涨11.6%；截至4月25日当周首次申请失业救济人数降至18.9万，创1969年9月以来最低。 [2]</w:t>
      </w:r>
    </w:p>
    <w:p/>
    <w:p>
      <w:r>
        <w:rPr>
          <w:rFonts w:ascii="FangSong_GB2312" w:hAnsi="FangSong_GB2312" w:eastAsia="FangSong_GB2312"/>
          <w:b/>
          <w:sz w:val="24"/>
        </w:rPr>
        <w:t>3.布伦特原油破125美元IEA称史上最严重供应冲击</w:t>
      </w:r>
    </w:p>
    <w:p>
      <w:r>
        <w:rPr>
          <w:rFonts w:ascii="FangSong_GB2312" w:hAnsi="FangSong_GB2312" w:eastAsia="FangSong_GB2312"/>
          <w:b w:val="0"/>
          <w:sz w:val="21"/>
        </w:rPr>
        <w:t>国际能源署（IEA）警告本轮危机为「史上最严重的石油供应冲击」，2026年4月30日布伦特原油价格升至每桶125美元创四年新高，美国全国汽油零售均价较冲突前每加仑上涨逾1美元突破4美元。霍尔木兹海峡自2月底起遭封锁，承担全球约20%的石油和天然气运输；美方自4月13日起对伊朗港口实施海上封锁。IEA《石油市场报告》显示3月全球原油供应骤降1010万桶/日至9700万桶/日，为有史以来最大供应中断；IEA署长法提赫·比罗尔（Fatih Birol）警告欧洲「大约只剩六周左右的航空煤油」。安永-罗德合伙首席经济学家乔·布鲁苏拉斯（Joe Brusuelas）直言「时间不是美国经济的盟友」。德国汉莎航空已宣布在2026年10月前取消20000架次航班。 [3]</w:t>
      </w:r>
    </w:p>
    <w:p/>
    <w:p>
      <w:r>
        <w:rPr>
          <w:rFonts w:ascii="FangSong_GB2312" w:hAnsi="FangSong_GB2312" w:eastAsia="FangSong_GB2312"/>
          <w:b/>
          <w:sz w:val="24"/>
        </w:rPr>
        <w:t>4.美方倡建海上自由架构联盟推动重开霍尔木兹海峡</w:t>
      </w:r>
    </w:p>
    <w:p>
      <w:r>
        <w:rPr>
          <w:rFonts w:ascii="FangSong_GB2312" w:hAnsi="FangSong_GB2312" w:eastAsia="FangSong_GB2312"/>
          <w:b w:val="0"/>
          <w:sz w:val="21"/>
        </w:rPr>
        <w:t>美国国务卿马尔科·鲁比奥（Marco Rubio）于4月28日批准的外交电报，正式提出由国务院与五角大楼联合发起的「海上自由架构」（Maritime Freedom Construct, MFC）倡议。国务院将担任「外交行动中枢」，美军中央司令部（CENTCOM）负责实时海上协调及对船只直接通信。各驻外使领馆被要求于5月1日前接触合作伙伴，但不包括俄罗斯、中国、白俄罗斯和古巴。电报称「MFC是为中东建立战后海上安全架构迈出的关键第一步」。尽管自4月8日起达成停火，霍尔木兹海峡至今仍处封锁状态。法国和英国已开展磋商但表示只有在敌对行动正式结束后才会参与。伊朗议会议长穆罕默德·巴盖尔·卡利巴夫（Mohammad Baqer Qalibaf）回应称「应对敌人新阴谋的唯一办法就是保持团结」。半岛电视台同日调查显示3月1日至4月15日期间185艘船只通过霍尔木兹海峡共202次航行，其中77次（38.5%）与伊朗有关，61艘船只名列国际制裁名单。 [4]</w:t>
      </w:r>
    </w:p>
    <w:p/>
    <w:p>
      <w:r>
        <w:rPr>
          <w:rFonts w:ascii="FangSong_GB2312" w:hAnsi="FangSong_GB2312" w:eastAsia="FangSong_GB2312"/>
          <w:b/>
          <w:sz w:val="24"/>
        </w:rPr>
        <w:t>5.英央行8比1维持基准利率3.75%发布三情景报告</w:t>
      </w:r>
    </w:p>
    <w:p>
      <w:r>
        <w:rPr>
          <w:rFonts w:ascii="FangSong_GB2312" w:hAnsi="FangSong_GB2312" w:eastAsia="FangSong_GB2312"/>
          <w:b w:val="0"/>
          <w:sz w:val="21"/>
        </w:rPr>
        <w:t>英国央行（BoE）货币政策委员会于2026年4月30日以8比1投票决定将基准利率维持在3.75%，首席经济学家皮尔（Huw Pill）持异议主张加息25个基点至4.00%，这是继2026年2月从4.0%降息后的第二次连续暂停。鉴于2月28日爆发的伊朗战争对通胀前景影响存在重大不确定性，央行罕见地发布三种情景：基准情景A预计通胀于2026年底略高于3.5%见顶，三年后回归2%目标；最严重的情景C预计通胀于2027年初飙升至6.2%，需「采取强有力的紧缩措施」。央行行长安德鲁·贝利（Andrew Bailey）强调：「无论发生什么，我们的职责就是确保通胀回到2%的目标。」决议公布后英镑兑美元上涨0.4%至1.3473，10年期英国国债收益率下行6个基点至5.014%。下次议息会议定于2026年6月18日。 [5]</w:t>
      </w:r>
    </w:p>
    <w:p/>
    <w:p>
      <w:r>
        <w:rPr>
          <w:rFonts w:ascii="FangSong_GB2312" w:hAnsi="FangSong_GB2312" w:eastAsia="FangSong_GB2312"/>
          <w:b/>
          <w:sz w:val="24"/>
        </w:rPr>
        <w:t>6.富时100大涨132点联合公用事业增发后飙升11%</w:t>
      </w:r>
    </w:p>
    <w:p>
      <w:r>
        <w:rPr>
          <w:rFonts w:ascii="FangSong_GB2312" w:hAnsi="FangSong_GB2312" w:eastAsia="FangSong_GB2312"/>
          <w:b w:val="0"/>
          <w:sz w:val="21"/>
        </w:rPr>
        <w:t>2026年4月30日受英国央行维持基准利率3.75%提振，富时100指数收盘上涨132点至10345点。联合利华（Unilever）2026年第一季度基础销售增长3.8%（销量增2.9%、价格涨0.9%），高于市场预期3.65%，并宣布15亿欧元股票回购，将全年指引下调至4%-6%区间下端。联合公用事业（United Utilities）股价飙升11.2%创历史新高，公司宣布8亿英镑增发并将资本支出计划从90亿英镑上调至115亿英镑，目标监管回报率10%-11%；杰富瑞分析师Ahmed Farman评论「在稳健资产负债表支撑下实现的更高增长是积极信号」。Endeavour Mining因第一季度调整后EBITDA创下8.8亿美元纪录上涨4%；DCC在拒绝ECP/KKR以5800便士的收购要约后下跌5.7%；Whitbread宣布到2031年向股东返还20亿英镑并退出餐饮业务，股价跌5.6%。黄金现货约每盎司4627美元。 [6]</w:t>
      </w:r>
    </w:p>
    <w:p/>
    <w:p>
      <w:r>
        <w:rPr>
          <w:rFonts w:ascii="FangSong_GB2312" w:hAnsi="FangSong_GB2312" w:eastAsia="FangSong_GB2312"/>
          <w:b/>
          <w:sz w:val="24"/>
        </w:rPr>
        <w:t>7.查尔斯三世结束访美伊朗战争阴影笼罩英美关系</w:t>
      </w:r>
    </w:p>
    <w:p>
      <w:r>
        <w:rPr>
          <w:rFonts w:ascii="FangSong_GB2312" w:hAnsi="FangSong_GB2312" w:eastAsia="FangSong_GB2312"/>
          <w:b w:val="0"/>
          <w:sz w:val="21"/>
        </w:rPr>
        <w:t>英国国王查尔斯三世与卡米拉王后于2026年4月30日结束为期四天的国事访问，在白宫接受美国总统特朗普及第一夫人梅拉尼娅的正式送别，这是自2007年伊丽莎白二世女王访美以来英国君主首次对美国进行国事访问。送别仪式后王室前往阿灵顿国家公墓向无名战士墓敬献花圈，随后出席弗吉尼亚州弗兰特罗亚尔的「美国250」活动。此次访问被2月28日爆发的伊朗战争投下的英美紧张关系阴影笼罩。特朗普此前公开批评英国首相斯塔默拒绝美国使用英国基地对伊朗发起进攻性打击，称其「不是温斯顿·丘吉尔」；4月29日特朗普声称查尔斯三世「本会在伊朗问题上帮助我们」，白金汉宫予以反驳。英国其后允许「特定且有限的防御性」使用英国基地，包括在源头摧毁伊朗导弹。斯塔默4月29日表示：「我们不会被拖入这场战争。这不是我们的战争。」 [7]</w:t>
      </w:r>
    </w:p>
    <w:p/>
    <w:p>
      <w:r>
        <w:rPr>
          <w:rFonts w:ascii="FangSong_GB2312" w:hAnsi="FangSong_GB2312" w:eastAsia="FangSong_GB2312"/>
          <w:b/>
          <w:sz w:val="24"/>
        </w:rPr>
        <w:t>8.欧央行维持三大关键利率不变警示通胀上行风险加剧</w:t>
      </w:r>
    </w:p>
    <w:p>
      <w:r>
        <w:rPr>
          <w:rFonts w:ascii="FangSong_GB2312" w:hAnsi="FangSong_GB2312" w:eastAsia="FangSong_GB2312"/>
          <w:b w:val="0"/>
          <w:sz w:val="21"/>
        </w:rPr>
        <w:t>2026年4月30日欧洲央行管理委员会决定维持三大关键利率不变，存款便利利率2.00%、主要再融资利率2.15%、边际贷款便利利率2.40%。中东冲突引发的能源冲击成为本次会议核心关切。欧洲央行重申将延续「依据数据、逐次会议」的决策路径，资产购买计划（APP）和大流行紧急购买计划（PEPP）资产组合将继续按既定节奏缩减。央行行长拉加德当日召开新闻发布会。央行政策声明指出：「尽管现有信息总体上与管理委员会此前对通胀前景的评估一致，但通胀的上行风险与增长的下行风险均已加剧。」路透社此前调查的85位经济学家中有44位曾预期央行将在6月加息25个基点至2.25%，本次决议未达到该多数预期。 [8]</w:t>
      </w:r>
    </w:p>
    <w:p/>
    <w:p>
      <w:r>
        <w:rPr>
          <w:rFonts w:ascii="FangSong_GB2312" w:hAnsi="FangSong_GB2312" w:eastAsia="FangSong_GB2312"/>
          <w:b/>
          <w:sz w:val="24"/>
        </w:rPr>
        <w:t>9.欧元区4月HICP升至3.0%能源涨幅扩至10.9%</w:t>
      </w:r>
    </w:p>
    <w:p>
      <w:r>
        <w:rPr>
          <w:rFonts w:ascii="FangSong_GB2312" w:hAnsi="FangSong_GB2312" w:eastAsia="FangSong_GB2312"/>
          <w:b w:val="0"/>
          <w:sz w:val="21"/>
        </w:rPr>
        <w:t>2026年4月30日欧盟统计局（Eurostat）公布的快速估算显示，欧元区4月调和消费者物价指数（HICP）同比涨幅从3月2.6%加速至3.0%，环比上涨1.0%；其中能源价格同比大涨10.9%，远高于前值5.1%；服务价格上涨3.0%，食品、酒精和烟草上涨2.5%，非能源工业品上涨0.8%。分国别看，德国通胀率2.9%、西班牙3.5%、法国2.5%。同日发布的GDP初步快速估算显示欧元区2026年第一季度GDP环比仅增长0.1%，远低于市场普遍预期的0.2%；爱尔兰大幅萎缩2.0%为最差表现，德国增长0.3%，法国持平于零增长，西班牙同比增2.7%。详细估算数据将于5月20日发布，修订GDP数据于5月13日发布。本次为欧元区21国（EA21）口径首次完整季度数据，保加利亚已于2026年1月加入欧元区。 [9]</w:t>
      </w:r>
    </w:p>
    <w:p/>
    <w:p>
      <w:r>
        <w:rPr>
          <w:rFonts w:ascii="FangSong_GB2312" w:hAnsi="FangSong_GB2312" w:eastAsia="FangSong_GB2312"/>
          <w:b/>
          <w:sz w:val="24"/>
        </w:rPr>
        <w:t>10.大众一季度净利大跌28%中国销量下滑20%</w:t>
      </w:r>
    </w:p>
    <w:p>
      <w:r>
        <w:rPr>
          <w:rFonts w:ascii="FangSong_GB2312" w:hAnsi="FangSong_GB2312" w:eastAsia="FangSong_GB2312"/>
          <w:b w:val="0"/>
          <w:sz w:val="21"/>
        </w:rPr>
        <w:t>德国大众汽车集团（Volkswagen Group）2026年4月30日发布一季报：净利润同比下滑28%至15.6亿欧元，营业收入下降2%至757亿欧元，营业利润下滑14.3%至25亿欧元，营业利润率由3.7%降至3.3%；全球汽车销量下滑7%至200万辆，其中中国市场下滑20%、北美下滑9%、西欧增长1%、中东欧增长7%、南美增长3%。美国关税预计每年带来40亿欧元的不利影响，但季度间接成本已削减10亿欧元。欧洲电动车（BEV）交付量同比增长12%，BEV占比升至18.1%。首席财务官安特利茨（Arno Antlitz）表示：「目前规划的成本削减还远远不够。我们必须从根本上变革商业模式，在所有领域和所有层级实现结构性、可持续的改善。」首席执行官博乐仁（Oliver Blume）补充称「战争、地缘政治紧张、贸易壁垒、监管收紧以及激烈竞争正在共同形成逆风」。公司维持2026年全年指引并已宣布到2030年在德国裁减50000个岗位。 [10]</w:t>
      </w:r>
    </w:p>
    <w:p/>
    <w:p>
      <w:r>
        <w:rPr>
          <w:rFonts w:ascii="FangSong_GB2312" w:hAnsi="FangSong_GB2312" w:eastAsia="FangSong_GB2312"/>
          <w:b/>
          <w:sz w:val="24"/>
        </w:rPr>
        <w:t>11.中国对53个非洲建交国实施零关税5月1日生效</w:t>
      </w:r>
    </w:p>
    <w:p>
      <w:r>
        <w:rPr>
          <w:rFonts w:ascii="FangSong_GB2312" w:hAnsi="FangSong_GB2312" w:eastAsia="FangSong_GB2312"/>
          <w:b w:val="0"/>
          <w:sz w:val="21"/>
        </w:rPr>
        <w:t>新华社2026年4月30日报道，自2026年5月1日起中国将对与其建立外交关系的全部53个非洲国家实行零关税待遇，成为首个对非洲提供单边全覆盖零关税待遇的主要经济体。2025年中非双边贸易额达到创纪录的3480亿美元，同比增长17.7%，其中中国自非洲进口额1230亿美元，同比增长5.4%。此前被征收8%至30%关税的产品——包括肯尼亚牛油果和咖啡、科特迪瓦和加纳可可、南非柑橘和葡萄酒——将从5月1日起享受零关税。南非行业代表评价称：「这增加了很多安全感，尤其是从供给端以及需求端来看，因为它创造了更紧密的纽带。」同日全国人大常委会通过修订版监狱法，条文从78条扩展至121条，将于2026年11月1日起施行；并通过《社会救助法》共7章78条，2026年7月1日起施行。 [11]</w:t>
      </w:r>
    </w:p>
    <w:p/>
    <w:p>
      <w:r>
        <w:rPr>
          <w:rFonts w:ascii="FangSong_GB2312" w:hAnsi="FangSong_GB2312" w:eastAsia="FangSong_GB2312"/>
          <w:b/>
          <w:sz w:val="24"/>
        </w:rPr>
        <w:t>12.中国4月制造业PMI持稳50.3非制造业跌破荣枯线</w:t>
      </w:r>
    </w:p>
    <w:p>
      <w:r>
        <w:rPr>
          <w:rFonts w:ascii="FangSong_GB2312" w:hAnsi="FangSong_GB2312" w:eastAsia="FangSong_GB2312"/>
          <w:b w:val="0"/>
          <w:sz w:val="21"/>
        </w:rPr>
        <w:t>中国国家统计局2026年4月30日公布4月采购经理指数：制造业PMI录得50.3，较3月下降0.1个百分点，但高于路透社调查经济学家预期的50.1；生产分项51.5、新订单50.6均处扩张区间；高技术制造业PMI达52.2，装备制造业51.8。原材料购进价格因中东战争引发的输入型通胀维持在63.7的高位，生产经营活动预期攀升至54.5。非制造业PMI收缩至49.4，较3月50.1下降0.7个百分点，服务业和建筑业活动数月来首次双双跌破50荣枯线。同日发布的民间4月制造业PMI为52.2，远超51.0预期和前值50.8，创2020年12月以来最快扩张速度，出口订单两年来首次升至50以上。新华社另报道五一假期（4月29日至5月6日）中国铁路预计发送旅客1.58亿人次，5月1日单日发送量将达2450万人次。 [12]</w:t>
      </w:r>
    </w:p>
    <w:p/>
    <w:p>
      <w:r>
        <w:rPr>
          <w:rFonts w:ascii="FangSong_GB2312" w:hAnsi="FangSong_GB2312" w:eastAsia="FangSong_GB2312"/>
          <w:b/>
          <w:sz w:val="24"/>
        </w:rPr>
        <w:t>13.日元跌破160关口JGB收益率飙至近30年高位</w:t>
      </w:r>
    </w:p>
    <w:p>
      <w:r>
        <w:rPr>
          <w:rFonts w:ascii="FangSong_GB2312" w:hAnsi="FangSong_GB2312" w:eastAsia="FangSong_GB2312"/>
          <w:b w:val="0"/>
          <w:sz w:val="21"/>
        </w:rPr>
        <w:t>2026年4月30日日元兑美元汇率跌至160.48为2024年7月以来最弱水平，10年期日本国债（JGB）收益率突破2.5%逼近近30年高点，日经225指数跌逾1%跌破60000点。日本银行（BOJ）于4月28日维持政策利率0.75%不变，但在《展望报告》中将2026财年通胀预测上调至2.5%-3.0%，同时将经济增长预测从1.0%大幅下调至0.5%；审议委员Takata、Tamura和Nakagawa三名鹰派投反对票主张加息至1.0%。财务大臣片山表示将对投机性汇率波动采取「适当行动」。日本3月工业生产环比下降0.5%，远低于市场预期+1.1%，聚乙烯产量骤降27%、聚丙烯下滑15%、汽油和柴油分别减少7.3%和14.3%；3月零售销售同比增1.7%超预期。出光兴产「出光丸」超大型油轮在沙特朱艾马港装载约200万桶原油后成为伊朗战争爆发以来首艘驶往日本的油轮通过霍尔木兹海峡，预计5月中旬抵达名古屋港。 [13]</w:t>
      </w:r>
    </w:p>
    <w:p/>
    <w:p>
      <w:r>
        <w:rPr>
          <w:rFonts w:ascii="FangSong_GB2312" w:hAnsi="FangSong_GB2312" w:eastAsia="FangSong_GB2312"/>
          <w:b/>
          <w:sz w:val="24"/>
        </w:rPr>
        <w:t>14.三星电子一季度净利同比激增逾四倍至47.22万亿韩元</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三星电子（Samsung Electronics）2026年4月30日发布2026年第一季度财报：净利润达47.22万亿韩元（约318亿美元），同比增长474.3%（去年同期8.22万亿韩元）；营业利润飙升逾800%至57.23万亿韩元（去年同期6.68万亿韩元）；营收增长69.2%至133.87万亿韩元。公司将创纪录业绩归因于「高利润率AI芯片的强劲销售以及器件解决方案部门内存价格上涨」，韩元走弱贡献了1.8万亿韩元汇率收益。公司点名Meta Platforms和亚马逊等大型科技公司大幅增加硬件支出，并计划全年扩大第六代高带宽内存（HBM）供应。然而75380名工会成员已投票赞成从5月21日起进行为期18天的总罢工，要求公司将年度营业利润的15%用于员工薪酬。同日三星电机一季度营业利润同比增40%至2806亿韩元，封装解决方案部门FC-BGA基板销售额增45%至7250亿韩元；公司股价从3月底的407500韩元升至4月29日收盘的827000韩元，一个月内大致翻倍。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https://www.federalreserve.gov/monetarypolicy/fomcpresconf20260429.htm</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https://www.bea.gov/news/2026/gdp-advance-estimate-1st-quarter-2026</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https://edition.cnn.com/2026/04/30/economy/us-demand-destruction-iran-war</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https://cyprus-mail.com/2026/04/30/us-seeks-international-help-to-reopen-strait-of-hormuz-as-crude-prices-surge</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https://www.bankofengland.co.uk/monetary-policy-summary-and-minutes/2026/april-2026</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https://www.proactiveinvestors.co.uk/companies/news/1091480/ftse-100-live-index-surges-as-boe-holds-following-rolls-royce-uu-and-endeavour-results-1091480.html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https://edition.cnn.com/2026/04/30/us/live-news/king-charles-queen-camilla-us-visit</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https://www.ecb.europa.eu/press/pr/date/2026/html/ecb.mp260430~81b7179e6f.en.html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https://ec.europa.eu/eurostat/web/products-euro-indicators/w/2-30042026-ap</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https://www.volkswagen-group.com/en/press-releases/first-quarter-volkswagen-group-makes-progress-in-a-challenging-environment-overhead-costs-reduced-by-one-billion-euro-transformation-to-be-accelerated-further-20360</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https://english.news.cn/20260430/b8c9dcfe8b654d9484bae55b9983fd8f/c.html</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https://english.news.cn/20260430/9feab02f909e4ed882231955c9ddbca2/c.html</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https://asia.nikkei.com/business/markets/yen-breaches-160-to-dollar-jgb-yields-surge-to-highest-in-nearly-3-decades</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https://www.koreaherald.com/article/10728998</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