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英国每日热点新闻-2026年5月5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2026年5月5日</w:t>
      </w:r>
    </w:p>
    <w:bookmarkStart w:id="11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汇丰一季度税前利润94亿美元不及预期-英国证券化欺诈拖累"/>
    <w:p>
      <w:pPr>
        <w:pStyle w:val="Heading3"/>
      </w:pPr>
      <w:r>
        <w:rPr>
          <w:rFonts w:hint="eastAsia"/>
        </w:rPr>
        <w:t xml:space="preserve">汇丰一季度税前利润94亿美元不及预期</w:t>
      </w:r>
      <w:r>
        <w:t xml:space="preserve"> </w:t>
      </w:r>
      <w:r>
        <w:rPr>
          <w:rFonts w:hint="eastAsia"/>
        </w:rPr>
        <w:t xml:space="preserve">英国证券化欺诈拖累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汇丰控股于2026年5月5日公布2026年第一季度业绩，税前利润为94亿美元，较去年同期的95亿美元小幅下滑，低于市场一致预期的95.9亿美元。期内预期信用损失（ECL）拨备升至13亿美元，同比大增49%，其中最大单项为4亿美元，与英国一笔「与金融发起人相关的欺诈性二级证券化敞口」有关，对应贷款机构Market</w:t>
      </w:r>
      <w:r>
        <w:t xml:space="preserve"> Financial Solutions </w:t>
      </w:r>
      <w:r>
        <w:rPr>
          <w:rFonts w:hint="eastAsia"/>
        </w:rPr>
        <w:t xml:space="preserve">Ltd已进入破产管理程序，巴克莱银行亦就同一机构计提2.28亿英镑减值。汇丰另就中东冲突追加3亿美元拨备。一季度营收同比增长6%至186亿美元，成本节约达14亿美元，接近全年15亿美元目标。汇丰行政总裁艾桥智（Georges</w:t>
      </w:r>
      <w:r>
        <w:t xml:space="preserve"> </w:t>
      </w:r>
      <w:r>
        <w:rPr>
          <w:rFonts w:hint="eastAsia"/>
        </w:rPr>
        <w:t xml:space="preserve">Elhedery）表示：「我们在打造一个更简单、更敏捷、不断成长的汇丰方面持续取得积极进展，四大业务板块均为集团整体营收增长作出贡献。」消息公布后，汇丰伦敦股价当日下跌5%，劳埃德、渣打、巴克莱跌幅介于1.5%至2.5%之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May 5). HSBC Q1 profit misses estimates on UK fraud charge and Middle East provision. RTE Business. https://www.rte.ie/news/business/2026/0505/1571734-hsbc-quarterly-results/</w:t>
      </w:r>
      <w:r>
        <w:t xml:space="preserve"> </w:t>
      </w:r>
      <w:r>
        <w:t xml:space="preserve">[2] Bloomberg News. (2026, May 5). HSBC profit misses on charges related to the UK, Middle East. Bloomberg. https://www.bloomberg.com/news/articles/2026-05-05/hsbc-profit-misses-on-charges-related-to-the-uk-middle-east</w:t>
      </w:r>
    </w:p>
    <w:p>
      <w:r>
        <w:pict>
          <v:rect style="width:0;height:1.5pt" o:hralign="center" o:hrstd="t" o:hr="t"/>
        </w:pict>
      </w:r>
    </w:p>
    <w:bookmarkEnd w:id="9"/>
    <w:bookmarkStart w:id="10" w:name="伊朗战事推升油价至113美元附近-英国富时100指数当日基本持平"/>
    <w:p>
      <w:pPr>
        <w:pStyle w:val="Heading3"/>
      </w:pPr>
      <w:r>
        <w:rPr>
          <w:rFonts w:hint="eastAsia"/>
        </w:rPr>
        <w:t xml:space="preserve">伊朗战事推升油价至113美元附近</w:t>
      </w:r>
      <w:r>
        <w:t xml:space="preserve"> </w:t>
      </w:r>
      <w:r>
        <w:rPr>
          <w:rFonts w:hint="eastAsia"/>
        </w:rPr>
        <w:t xml:space="preserve">英国富时100指数当日基本持平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5日欧洲股市表现分化，受伊朗战事影响，国际油价高位震荡。布伦特原油期货当日下跌1.38%至每桶112.86美元，此前因有报道指美国海军击沉六艘袭击民用航运的伊朗船只，且阿联酋防空系统拦截伊朗导弹，霍尔木兹海峡「基本关闭」，油价一度飙升逾6%突破114美元；作为对比，2026年2月底冲突爆发前布伦特价格约为每桶70美元。WTI原油下跌2.27%至104美元。欧洲股市方面，英国富时100指数当日基本持平，德国DAX上涨0.80%，法国CAC</w:t>
      </w:r>
      <w:r>
        <w:t xml:space="preserve"> </w:t>
      </w:r>
      <w:r>
        <w:rPr>
          <w:rFonts w:hint="eastAsia"/>
        </w:rPr>
        <w:t xml:space="preserve">40微涨0.05%（盘中转跌），意大利富时MIB上涨1.2%。亚太市场普遍走弱，香港恒生指数下跌1.1%至25,805.98点，澳大利亚S&amp;P/ASX</w:t>
      </w:r>
      <w:r>
        <w:t xml:space="preserve"> </w:t>
      </w:r>
      <w:r>
        <w:rPr>
          <w:rFonts w:hint="eastAsia"/>
        </w:rPr>
        <w:t xml:space="preserve">200下跌0.5%至8,649.80点，台湾加权指数下跌0.2%至40,626.22点。美股期货小幅上涨0.1%。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Barnes, A., &amp; Associated Press. (2026, May 5). Shares slip as oil prices stay elevated near peaks on Iran war concerns. Euronews. https://www.euronews.com/business/2026/05/05/shares-slip-as-oil-prices-stay-elevated-near-peaks-on-iran-war-concerns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0"/>
    <w:bookmarkEnd w:id="11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2" w:name="月7日地方选举临近-工党面临历史性失利或引发对斯塔默的领导层挑战"/>
    <w:p>
      <w:pPr>
        <w:pStyle w:val="Heading3"/>
      </w:pPr>
      <w:r>
        <w:rPr>
          <w:rFonts w:hint="eastAsia"/>
        </w:rPr>
        <w:t xml:space="preserve">5月7日地方选举临近</w:t>
      </w:r>
      <w:r>
        <w:t xml:space="preserve"> </w:t>
      </w:r>
      <w:r>
        <w:rPr>
          <w:rFonts w:hint="eastAsia"/>
        </w:rPr>
        <w:t xml:space="preserve">工党面临历史性失利或引发对斯塔默的领导层挑战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英国将于2026年5月7日举行地方选举，涉及英格兰约5,000个议会席位、采用比例代表制的96席威尔士议会及129席苏格兰议会。YouGov</w:t>
      </w:r>
      <w:r>
        <w:t xml:space="preserve"> </w:t>
      </w:r>
      <w:r>
        <w:rPr>
          <w:rFonts w:hint="eastAsia"/>
        </w:rPr>
        <w:t xml:space="preserve">2026年4月民调显示，70%受访者认为首相斯塔默（Keir</w:t>
      </w:r>
      <w:r>
        <w:t xml:space="preserve"> </w:t>
      </w:r>
      <w:r>
        <w:rPr>
          <w:rFonts w:hint="eastAsia"/>
        </w:rPr>
        <w:t xml:space="preserve">Starmer）施政「糟糕」，而工党在两年前刚以压倒性优势胜选、终结保守党14年执政。法拉奇（Nigel</w:t>
      </w:r>
      <w:r>
        <w:t xml:space="preserve"> </w:t>
      </w:r>
      <w:r>
        <w:rPr>
          <w:rFonts w:hint="eastAsia"/>
        </w:rPr>
        <w:t xml:space="preserve">Farage）领导的改革英国党在假设性大选民调中领先，绿党（党魁Zack</w:t>
      </w:r>
      <w:r>
        <w:t xml:space="preserve"> </w:t>
      </w:r>
      <w:r>
        <w:rPr>
          <w:rFonts w:hint="eastAsia"/>
        </w:rPr>
        <w:t xml:space="preserve">Polanski）则于2026年2月在工党传统票仓的补选中胜出。工党此次卫冕约2,557个英格兰议席，预计将失去逾1,000席，部分预测指其防守席位中四分之三将不保；改革英国党选前仅持有2席，预计将新增1,300至1,500席。威尔士Pollcheck民调显示，威尔士党28%、改革英国党27%、工党15%、保守党11%、自由民主党6%。利物浦大学政治学教授Jonathan</w:t>
      </w:r>
      <w:r>
        <w:t xml:space="preserve"> </w:t>
      </w:r>
      <w:r>
        <w:rPr>
          <w:rFonts w:hint="eastAsia"/>
        </w:rPr>
        <w:t xml:space="preserve">Tonge表示：「工党将面临巨大损失……这可能引发一场领导层挑战。」前工党议员Denis</w:t>
      </w:r>
      <w:r>
        <w:t xml:space="preserve"> </w:t>
      </w:r>
      <w:r>
        <w:rPr>
          <w:rFonts w:hint="eastAsia"/>
        </w:rPr>
        <w:t xml:space="preserve">MacShane则称：「联合王国的未来本身……将受到此次选举的挑战。」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Adler, N. (2026, May 5). Starmer’s referendum: How local elections could expose a fractured UK. Al Jazeera English. https://www.aljazeera.com/news/2026/5/5/starmers-referendum-how-local-elections-could-expose-a-fractured-uk</w:t>
      </w:r>
    </w:p>
    <w:p>
      <w:r>
        <w:pict>
          <v:rect style="width:0;height:1.5pt" o:hralign="center" o:hrstd="t" o:hr="t"/>
        </w:pict>
      </w:r>
    </w:p>
    <w:bookmarkEnd w:id="12"/>
    <w:bookmarkStart w:id="13" w:name="英国制裁35个个人及实体-打击俄罗斯招募移民参战与无人机零部件供应链"/>
    <w:p>
      <w:pPr>
        <w:pStyle w:val="Heading3"/>
      </w:pPr>
      <w:r>
        <w:rPr>
          <w:rFonts w:hint="eastAsia"/>
        </w:rPr>
        <w:t xml:space="preserve">英国制裁35个个人及实体</w:t>
      </w:r>
      <w:r>
        <w:t xml:space="preserve"> </w:t>
      </w:r>
      <w:r>
        <w:rPr>
          <w:rFonts w:hint="eastAsia"/>
        </w:rPr>
        <w:t xml:space="preserve">打击俄罗斯招募移民参战与无人机零部件供应链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政府于2026年5月5日宣布对35个个人及实体实施新一轮制裁，其中17项依据《全球非正常移民制裁条例》、18项依据《俄罗斯制裁条例》。第一组涉及9名个人及5家公司，因从伊拉克、索马里、叙利亚、也门贩运人员赴乌克兰充当俄方战斗人员而被列名，另3项指控针对经由波兰和芬兰「将移民工具化」的行为。第二组针对7家与位于莫斯科以东约500英里的鞑靼斯坦Alabuga</w:t>
      </w:r>
      <w:r>
        <w:t xml:space="preserve"> </w:t>
      </w:r>
      <w:r>
        <w:rPr>
          <w:rFonts w:hint="eastAsia"/>
        </w:rPr>
        <w:t xml:space="preserve">Start项目相关的实体，该项目招募喀麦隆籍人员生产Shahed式自杀无人机。第三组覆盖11家实体（5家位于俄罗斯、6家位于境外），因协助规避制裁、供应无人机零部件而被列名。自2022年以来，英国对俄相关制裁累计已超过3,000项，英方目前正与欧盟就加入900亿欧元（约1,050亿美元）对乌贷款机制进行磋商。制裁事务大臣斯蒂芬·杜赫蒂（Stephen</w:t>
      </w:r>
      <w:r>
        <w:t xml:space="preserve"> </w:t>
      </w:r>
      <w:r>
        <w:rPr>
          <w:rFonts w:hint="eastAsia"/>
        </w:rPr>
        <w:t xml:space="preserve">Doughty）表示：「利用脆弱人群来支撑俄罗斯失败而非法的对乌战争，这种做法是野蛮的」，相关制裁旨在「打击那些将移民贩运作为炮灰、并向普京的无人机工厂输送非法零部件者的运作」。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Reuters. (2026, May 5). UK announces sanctions targeting Russia fighter recruitment, drone production. Reuters. https://www.reuters.com/world/uk-announces-sanctions-targeting-russia-fighter-recruitment-drone-production-2026-05-05/</w:t>
      </w:r>
      <w:r>
        <w:t xml:space="preserve"> </w:t>
      </w:r>
      <w:r>
        <w:t xml:space="preserve">[6] GOV.UK. (2026, May 5). Russia: List of designations and sanctions notices. GOV.UK. https://www.gov.uk/guidance/russia-list-of-designations-and-sanctions-notices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3"/>
    <w:bookmarkEnd w:id="14"/>
    <w:bookmarkStart w:id="15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5"/>
    <w:bookmarkStart w:id="17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6" w:name="X4357d09b453ba867887f8edb08759dec7f970d1"/>
    <w:p>
      <w:pPr>
        <w:pStyle w:val="Heading3"/>
      </w:pPr>
      <w:r>
        <w:rPr>
          <w:rFonts w:hint="eastAsia"/>
        </w:rPr>
        <w:t xml:space="preserve">英国2025年现代奴役转介达23,411例创历史新高</w:t>
      </w:r>
      <w:r>
        <w:t xml:space="preserve"> </w:t>
      </w:r>
      <w:r>
        <w:rPr>
          <w:rFonts w:hint="eastAsia"/>
        </w:rPr>
        <w:t xml:space="preserve">反奴役专员警告人工智能正重塑人口贩运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英国独立反奴役专员埃莉诺·里昂斯（Eleanor</w:t>
      </w:r>
      <w:r>
        <w:t xml:space="preserve"> </w:t>
      </w:r>
      <w:r>
        <w:rPr>
          <w:rFonts w:hint="eastAsia"/>
        </w:rPr>
        <w:t xml:space="preserve">Lyons）于2026年5月5日发布题为《预见剥削：未来分析》（Anticipating</w:t>
      </w:r>
      <w:r>
        <w:t xml:space="preserve"> Exploitation: A Futures </w:t>
      </w:r>
      <w:r>
        <w:rPr>
          <w:rFonts w:hint="eastAsia"/>
        </w:rPr>
        <w:t xml:space="preserve">Analysis）的报告，恰逢《现代奴役法》实施十周年。报告指出，2025年英国国家转介机制（NRM）共录得23,411宗现代奴役转介，同比增长22%，创历史新高。报告归纳出三大驱动因素：其一，贫困、全球动荡、武装冲突及不安全移民形成「不断扩大的脆弱人群供给管线」；其二，人工智能与数字平台「正在大规模改变人口贩运者识别、招募和控制受害者的方式」，包括AI诈骗、深度伪造、合成身份及新型数字劳动剥削；其三，英国本国国民已成为境内受害者中比例最高的群体，过去五年针对女童的性剥削上升54%。报告建议设立「国家幸存者委员会」、制定新的现代奴役战略，并加强对儿童受害者的支援。里昂斯表示：「现代奴役并未消退，反而扩大了。现行应对方式已经不够。如今所需要的，并非渐进式的改变，而是阶梯式的跃升。」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Independent Anti-Slavery Commissioner. (2026, May 5). New report — Anticipating exploitation: A futures analysis. Independent Anti-Slavery Commissioner. https://www.antislaverycommissioner.co.uk/news-insights/new-report-anticipating-exploitation-a-futures-analysis/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6"/>
    <w:bookmarkEnd w:id="17"/>
    <w:bookmarkStart w:id="19" w:name="五其他重要事件"/>
    <w:p>
      <w:pPr>
        <w:pStyle w:val="Heading2"/>
      </w:pPr>
      <w:r>
        <w:rPr>
          <w:rFonts w:hint="eastAsia"/>
        </w:rPr>
        <w:t xml:space="preserve">五、其他重要事件</w:t>
      </w:r>
    </w:p>
    <w:bookmarkStart w:id="18" w:name="工党领导层压力推升英国国债收益率-富时100开盘大跌逾120点"/>
    <w:p>
      <w:pPr>
        <w:pStyle w:val="Heading3"/>
      </w:pPr>
      <w:r>
        <w:rPr>
          <w:rFonts w:hint="eastAsia"/>
        </w:rPr>
        <w:t xml:space="preserve">工党领导层压力推升英国国债收益率</w:t>
      </w:r>
      <w:r>
        <w:t xml:space="preserve"> </w:t>
      </w:r>
      <w:r>
        <w:rPr>
          <w:rFonts w:hint="eastAsia"/>
        </w:rPr>
        <w:t xml:space="preserve">富时100开盘大跌逾120点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2026年5月5日（周二）为英国早春银行假期（伦敦证券交易所于5月1日及5月4日休市）后的首个交易日，富时100指数早盘大跌逾120点，前一交易日（4月30日）该指数收报约10,267点。汇丰控股以5.3%的跌幅领跌，劳埃德银行下跌2.5%、渣打银行下跌2.5%，国民西敏寺银行及巴克莱银行跌幅约1.5%。英国国债收益率当日大幅上行，市场归因于工党内部对首相斯塔默（Keir</w:t>
      </w:r>
      <w:r>
        <w:t xml:space="preserve"> </w:t>
      </w:r>
      <w:r>
        <w:rPr>
          <w:rFonts w:hint="eastAsia"/>
        </w:rPr>
        <w:t xml:space="preserve">Starmer）的施压——据报道，后座议员正酝酿一封公开信，呼吁其在5月7日地方选举出现预期中的重大失利后辞职。逆势上扬者中，天祥集团（Intertek）股价上涨7.08%（约340点），消息面为该公司启动战略评估并收到改善后的收购要约。商品市场方面，布伦特原油下跌1.38%至每桶112.86美元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Bloomberg News. (2026, May 5). FTSE 100 live: Iran war, Trump, oil prices, pound, HSBC, bonds, gold — what’s moving UK markets right now. Bloomberg. https://www.bloomberg.com/news/live-blog/2026-05-05/ftse-100-live-iran-war-trump-oil-prices-pound-hsbc-bonds-gold-what-s-moving-uk-markets-right-now-markets-today-mos7ez9p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2026-05-05T13:52:39Z</dcterms:created>
  <dcterms:modified xsi:type="dcterms:W3CDTF">2026-05-05T13:52:39Z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