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2026年5月5日</w:t>
      </w:r>
    </w:p>
    <w:p/>
    <w:p>
      <w:pPr>
        <w:pStyle w:val="ListParagraph"/>
        <w:numPr>
          <w:ilvl w:val="0"/>
          <w:numId w:val="8"/>
        </w:numPr>
      </w:pPr>
      <w:r>
        <w:rPr>
          <w:rFonts w:ascii="FangSong_GB2312" w:hAnsi="FangSong_GB2312" w:eastAsia="FangSong_GB2312"/>
          <w:b/>
          <w:sz w:val="21"/>
        </w:rPr>
        <w:t>湖南浏阳烟花厂爆炸致26死61伤 习近平指示全力救援</w:t>
      </w:r>
    </w:p>
    <w:p>
      <w:pPr>
        <w:pStyle w:val="ListParagraph"/>
        <w:numPr>
          <w:ilvl w:val="0"/>
          <w:numId w:val="8"/>
        </w:numPr>
      </w:pPr>
      <w:r>
        <w:rPr>
          <w:rFonts w:ascii="FangSong_GB2312" w:hAnsi="FangSong_GB2312" w:eastAsia="FangSong_GB2312"/>
          <w:b/>
          <w:sz w:val="21"/>
        </w:rPr>
        <w:t>中国对非53国零关税生效 一季度对非贸易增23.7%</w:t>
      </w:r>
    </w:p>
    <w:p>
      <w:pPr>
        <w:pStyle w:val="ListParagraph"/>
        <w:numPr>
          <w:ilvl w:val="0"/>
          <w:numId w:val="8"/>
        </w:numPr>
      </w:pPr>
      <w:r>
        <w:rPr>
          <w:rFonts w:ascii="FangSong_GB2312" w:hAnsi="FangSong_GB2312" w:eastAsia="FangSong_GB2312"/>
          <w:b/>
          <w:sz w:val="21"/>
        </w:rPr>
        <w:t>习近平春季密集会晤多国领导人 中美元首5月14日北京会晤</w:t>
      </w:r>
    </w:p>
    <w:p>
      <w:pPr>
        <w:pStyle w:val="ListParagraph"/>
        <w:numPr>
          <w:ilvl w:val="0"/>
          <w:numId w:val="8"/>
        </w:numPr>
      </w:pPr>
      <w:r>
        <w:rPr>
          <w:rFonts w:ascii="FangSong_GB2312" w:hAnsi="FangSong_GB2312" w:eastAsia="FangSong_GB2312"/>
          <w:b/>
          <w:sz w:val="21"/>
        </w:rPr>
        <w:t>汇丰一季度税前利润94亿美元不及预期 英国证券化欺诈拖累</w:t>
      </w:r>
    </w:p>
    <w:p>
      <w:pPr>
        <w:pStyle w:val="ListParagraph"/>
        <w:numPr>
          <w:ilvl w:val="0"/>
          <w:numId w:val="8"/>
        </w:numPr>
      </w:pPr>
      <w:r>
        <w:rPr>
          <w:rFonts w:ascii="FangSong_GB2312" w:hAnsi="FangSong_GB2312" w:eastAsia="FangSong_GB2312"/>
          <w:b/>
          <w:sz w:val="21"/>
        </w:rPr>
        <w:t>工党面临地方选举历史性失利 富时100开盘大跌逾120点</w:t>
      </w:r>
    </w:p>
    <w:p>
      <w:pPr>
        <w:pStyle w:val="ListParagraph"/>
        <w:numPr>
          <w:ilvl w:val="0"/>
          <w:numId w:val="8"/>
        </w:numPr>
      </w:pPr>
      <w:r>
        <w:rPr>
          <w:rFonts w:ascii="FangSong_GB2312" w:hAnsi="FangSong_GB2312" w:eastAsia="FangSong_GB2312"/>
          <w:b/>
          <w:sz w:val="21"/>
        </w:rPr>
        <w:t>英国制裁35个个人及实体 打击俄招募移民与无人机供应链</w:t>
      </w:r>
    </w:p>
    <w:p>
      <w:pPr>
        <w:pStyle w:val="ListParagraph"/>
        <w:numPr>
          <w:ilvl w:val="0"/>
          <w:numId w:val="8"/>
        </w:numPr>
      </w:pPr>
      <w:r>
        <w:rPr>
          <w:rFonts w:ascii="FangSong_GB2312" w:hAnsi="FangSong_GB2312" w:eastAsia="FangSong_GB2312"/>
          <w:b/>
          <w:sz w:val="21"/>
        </w:rPr>
        <w:t>霍尔木兹海峡袭击升级布伦特原油单日跳涨近6%</w:t>
      </w:r>
    </w:p>
    <w:p>
      <w:pPr>
        <w:pStyle w:val="ListParagraph"/>
        <w:numPr>
          <w:ilvl w:val="0"/>
          <w:numId w:val="8"/>
        </w:numPr>
      </w:pPr>
      <w:r>
        <w:rPr>
          <w:rFonts w:ascii="FangSong_GB2312" w:hAnsi="FangSong_GB2312" w:eastAsia="FangSong_GB2312"/>
          <w:b/>
          <w:sz w:val="21"/>
        </w:rPr>
        <w:t>Coinbase裁员14%约700人转向AI原生运营模式</w:t>
      </w:r>
    </w:p>
    <w:p>
      <w:pPr>
        <w:pStyle w:val="ListParagraph"/>
        <w:numPr>
          <w:ilvl w:val="0"/>
          <w:numId w:val="8"/>
        </w:numPr>
      </w:pPr>
      <w:r>
        <w:rPr>
          <w:rFonts w:ascii="FangSong_GB2312" w:hAnsi="FangSong_GB2312" w:eastAsia="FangSong_GB2312"/>
          <w:b/>
          <w:sz w:val="21"/>
        </w:rPr>
        <w:t>Lattice半导体16.5亿美元收购固件厂商AMI</w:t>
      </w:r>
    </w:p>
    <w:p>
      <w:pPr>
        <w:pStyle w:val="ListParagraph"/>
        <w:numPr>
          <w:ilvl w:val="0"/>
          <w:numId w:val="8"/>
        </w:numPr>
      </w:pPr>
      <w:r>
        <w:rPr>
          <w:rFonts w:ascii="FangSong_GB2312" w:hAnsi="FangSong_GB2312" w:eastAsia="FangSong_GB2312"/>
          <w:b/>
          <w:sz w:val="21"/>
        </w:rPr>
        <w:t>裕信银行350亿欧元要约收购德商行 一季度净利创纪录</w:t>
      </w:r>
    </w:p>
    <w:p>
      <w:pPr>
        <w:pStyle w:val="ListParagraph"/>
        <w:numPr>
          <w:ilvl w:val="0"/>
          <w:numId w:val="8"/>
        </w:numPr>
      </w:pPr>
      <w:r>
        <w:rPr>
          <w:rFonts w:ascii="FangSong_GB2312" w:hAnsi="FangSong_GB2312" w:eastAsia="FangSong_GB2312"/>
          <w:b/>
          <w:sz w:val="21"/>
        </w:rPr>
        <w:t>冯德莱恩驳特朗普汽车关税威胁 重申协议不可逆</w:t>
      </w:r>
    </w:p>
    <w:p>
      <w:pPr>
        <w:pStyle w:val="ListParagraph"/>
        <w:numPr>
          <w:ilvl w:val="0"/>
          <w:numId w:val="8"/>
        </w:numPr>
      </w:pPr>
      <w:r>
        <w:rPr>
          <w:rFonts w:ascii="FangSong_GB2312" w:hAnsi="FangSong_GB2312" w:eastAsia="FangSong_GB2312"/>
          <w:b/>
          <w:sz w:val="21"/>
        </w:rPr>
        <w:t>欧委会禁中国光伏逆变器进入欧盟资助项目</w:t>
      </w:r>
    </w:p>
    <w:p>
      <w:pPr>
        <w:pStyle w:val="ListParagraph"/>
        <w:numPr>
          <w:ilvl w:val="0"/>
          <w:numId w:val="8"/>
        </w:numPr>
      </w:pPr>
      <w:r>
        <w:rPr>
          <w:rFonts w:ascii="FangSong_GB2312" w:hAnsi="FangSong_GB2312" w:eastAsia="FangSong_GB2312"/>
          <w:b/>
          <w:sz w:val="21"/>
        </w:rPr>
        <w:t>HMM Namu号霍尔木兹爆炸 特朗普施压韩国参与海上行动</w:t>
      </w:r>
    </w:p>
    <w:p>
      <w:pPr>
        <w:pStyle w:val="ListParagraph"/>
        <w:numPr>
          <w:ilvl w:val="0"/>
          <w:numId w:val="8"/>
        </w:numPr>
      </w:pPr>
      <w:r>
        <w:rPr>
          <w:rFonts w:ascii="FangSong_GB2312" w:hAnsi="FangSong_GB2312" w:eastAsia="FangSong_GB2312"/>
          <w:b/>
          <w:sz w:val="21"/>
        </w:rPr>
        <w:t>综合账户改革吸引外资散户 韩国KOSPI首破6900点</w:t>
      </w:r>
    </w:p>
    <w:p/>
    <w:p/>
    <w:p>
      <w:r>
        <w:rPr>
          <w:rFonts w:ascii="FangSong_GB2312" w:hAnsi="FangSong_GB2312" w:eastAsia="FangSong_GB2312"/>
          <w:b/>
          <w:sz w:val="24"/>
        </w:rPr>
        <w:t>1.湖南浏阳烟花厂爆炸致26死61伤 习近平指示全力救援</w:t>
      </w:r>
    </w:p>
    <w:p>
      <w:r>
        <w:rPr>
          <w:rFonts w:ascii="FangSong_GB2312" w:hAnsi="FangSong_GB2312" w:eastAsia="FangSong_GB2312"/>
          <w:b w:val="0"/>
          <w:sz w:val="21"/>
        </w:rPr>
        <w:t>2026年5月4日下午约4时43分，湖南省长沙市下辖县级市浏阳市的华盛烟花制造燃放有限公司发生爆炸，截至5月5日已造成26人死亡、61人受伤，其中6人在重症监护室救治，遇难者年龄在20多岁至68岁之间。现场投入480余名救援人员，分5个救援小组并部署3台救援机器人，事发地点临近2座黑火药仓库，警戒区半径1公里、管控区半径3公里。长沙市市长陈柏湘在新闻发布会上表示「我们深感悲痛和自责」。中共中央总书记、中央军委主席习近平作出重要指示，要求「全力以赴」开展救援、迅速查明原因并严肃追责，强调「对事故责任人必须依法严肃追究」；国务院总理李强要求加强重点行业领域安全生产工作。涉事企业负责人已被刑事拘留，应急管理部派出专家组赶赴现场。浏阳烟花产量约占中国出口量70%、国内市场份额60%，中国每年烟花出口额约11.4亿美元。 [1]</w:t>
      </w:r>
    </w:p>
    <w:p/>
    <w:p>
      <w:r>
        <w:rPr>
          <w:rFonts w:ascii="FangSong_GB2312" w:hAnsi="FangSong_GB2312" w:eastAsia="FangSong_GB2312"/>
          <w:b/>
          <w:sz w:val="24"/>
        </w:rPr>
        <w:t>2.中国对非53国零关税生效 一季度对非贸易增23.7%</w:t>
      </w:r>
    </w:p>
    <w:p>
      <w:r>
        <w:rPr>
          <w:rFonts w:ascii="FangSong_GB2312" w:hAnsi="FangSong_GB2312" w:eastAsia="FangSong_GB2312"/>
          <w:b w:val="0"/>
          <w:sz w:val="21"/>
        </w:rPr>
        <w:t>中国对53个建交非洲国家进口商品实施的零关税政策已于2026年5月1日正式生效，为主要经济体首次对所有建交非洲国家单方面给予零关税待遇，取消此前8%至30%的进口关税，覆盖科特迪瓦和加纳的可可、肯尼亚的咖啡和牛油果、南非的柑橘和葡萄酒等品类；对20个非最不发达国家在两年内作为优惠关税适用，期间将就《中非经济伙伴关系协定》进行磋商。2025年中非贸易额创下3480亿美元历史新高，自非洲进口额达1230亿美元、同比增长5.4%；2026年第一季度中非贸易额达6465.6亿元人民币，同比增长23.7%。南非国际事务研究所高级研究员科布斯·范·斯塔登（Cobus van Staden）表示：「这一政策契合了中非合作论坛（FOCAC）框架下不断演进的长期合作机制，包括『绿色通道』的制度化建设。」 [2]</w:t>
      </w:r>
    </w:p>
    <w:p/>
    <w:p>
      <w:r>
        <w:rPr>
          <w:rFonts w:ascii="FangSong_GB2312" w:hAnsi="FangSong_GB2312" w:eastAsia="FangSong_GB2312"/>
          <w:b/>
          <w:sz w:val="24"/>
        </w:rPr>
        <w:t>3.习近平春季密集会晤多国领导人 中美元首5月14日北京会晤</w:t>
      </w:r>
    </w:p>
    <w:p>
      <w:r>
        <w:rPr>
          <w:rFonts w:ascii="FangSong_GB2312" w:hAnsi="FangSong_GB2312" w:eastAsia="FangSong_GB2312"/>
          <w:b w:val="0"/>
          <w:sz w:val="21"/>
        </w:rPr>
        <w:t>中国国家主席习近平于2026年春季密集会见韩国、爱尔兰、德国、西班牙、越南、加拿大、芬兰、英国、乌拉圭、莫桑比克等国领导人，并以电话或视频方式同俄罗斯总统普京和美国总统特朗普通话；2月25日会见德国总理弗里德里希·默茨（Friedrich Merz），4月14日会见西班牙首相佩德罗·桑切斯（Pedro Sanchez）。习近平在会见桑切斯时表示：「在国际形势变乱交织的背景下，中西关系保持稳定发展，为中欧关系注入了稳定性。」2026年是中俄战略协作伙伴关系建立30周年，2026至2027年被定为「中俄教育年」。习近平就中东问题提出和平共处、尊重主权、依法行事、平衡发展安全四点主张，强调「中国从不主动挑起战争，也从未侵占别国一寸土地」。中美元首北京会晤定于2026年5月14日至15日举行。 [3]</w:t>
      </w:r>
    </w:p>
    <w:p/>
    <w:p>
      <w:r>
        <w:rPr>
          <w:rFonts w:ascii="FangSong_GB2312" w:hAnsi="FangSong_GB2312" w:eastAsia="FangSong_GB2312"/>
          <w:b/>
          <w:sz w:val="24"/>
        </w:rPr>
        <w:t>4.汇丰一季度税前利润94亿美元不及预期 英国证券化欺诈拖累</w:t>
      </w:r>
    </w:p>
    <w:p>
      <w:r>
        <w:rPr>
          <w:rFonts w:ascii="FangSong_GB2312" w:hAnsi="FangSong_GB2312" w:eastAsia="FangSong_GB2312"/>
          <w:b w:val="0"/>
          <w:sz w:val="21"/>
        </w:rPr>
        <w:t>汇丰控股于2026年5月5日公布一季度税前利润94亿美元，较去年同期95亿美元小幅下滑，低于市场一致预期的95.9亿美元。期内预期信用损失（ECL）拨备升至13亿美元、同比大增49%，其中最大单项4亿美元与英国一笔「与金融发起人相关的欺诈性二级证券化敞口」有关，对应贷款机构Market Financial Solutions Ltd已进入破产管理程序，巴克莱银行亦就同一机构计提2.28亿英镑减值；汇丰另就中东冲突追加3亿美元拨备。一季度营收同比增长6%至186亿美元，成本节约达14亿美元，接近全年15亿美元目标。汇丰行政总裁艾桥智（Georges Elhedery）表示：「我们在打造一个更简单、更敏捷、不断成长的汇丰方面持续取得积极进展，四大业务板块均为集团整体营收增长作出贡献。」消息公布后汇丰伦敦股价当日下跌5%，劳埃德、渣打、巴克莱跌幅介于1.5%至2.5%之间。 [4]</w:t>
      </w:r>
    </w:p>
    <w:p/>
    <w:p>
      <w:r>
        <w:rPr>
          <w:rFonts w:ascii="FangSong_GB2312" w:hAnsi="FangSong_GB2312" w:eastAsia="FangSong_GB2312"/>
          <w:b/>
          <w:sz w:val="24"/>
        </w:rPr>
        <w:t>5.工党面临地方选举历史性失利 富时100开盘大跌逾120点</w:t>
      </w:r>
    </w:p>
    <w:p>
      <w:r>
        <w:rPr>
          <w:rFonts w:ascii="FangSong_GB2312" w:hAnsi="FangSong_GB2312" w:eastAsia="FangSong_GB2312"/>
          <w:b w:val="0"/>
          <w:sz w:val="21"/>
        </w:rPr>
        <w:t>英国将于2026年5月7日举行地方选举，涉及英格兰约5,000个议会席位、96席威尔士议会及129席苏格兰议会。YouGov 2026年4月民调显示70%受访者认为首相斯塔默（Keir Starmer）施政「糟糕」，工党此次卫冕约2,557个英格兰议席，预计将失去逾1,000席，部分预测指其防守席位中四分之三将不保；改革英国党选前仅持有2席，预计将新增1,300至1,500席。利物浦大学政治学教授Jonathan Tonge表示：「工党将面临巨大损失……这可能引发一场领导层挑战。」5月5日为英国早春银行假期后首个交易日，富时100早盘大跌逾120点，前一交易日4月30日收报约10,267点；英国国债收益率当日大幅上行，市场归因于工党后座议员酝酿一封公开信，呼吁斯塔默在地方选举重大失利后辞职。汇丰以5.3%跌幅领跌，劳埃德下跌2.5%、渣打下跌2.5%。 [5]</w:t>
      </w:r>
    </w:p>
    <w:p/>
    <w:p>
      <w:r>
        <w:rPr>
          <w:rFonts w:ascii="FangSong_GB2312" w:hAnsi="FangSong_GB2312" w:eastAsia="FangSong_GB2312"/>
          <w:b/>
          <w:sz w:val="24"/>
        </w:rPr>
        <w:t>6.英国制裁35个个人及实体 打击俄招募移民与无人机供应链</w:t>
      </w:r>
    </w:p>
    <w:p>
      <w:r>
        <w:rPr>
          <w:rFonts w:ascii="FangSong_GB2312" w:hAnsi="FangSong_GB2312" w:eastAsia="FangSong_GB2312"/>
          <w:b w:val="0"/>
          <w:sz w:val="21"/>
        </w:rPr>
        <w:t>英国政府于2026年5月5日宣布对35个个人及实体实施新一轮制裁，其中17项依据《全球非正常移民制裁条例》、18项依据《俄罗斯制裁条例》。第一组涉及9名个人及5家公司，因从伊拉克、索马里、叙利亚、也门贩运人员赴乌克兰充当俄方战斗人员而被列名；第二组针对7家与位于莫斯科以东约500英里的鞑靼斯坦Alabuga Start项目相关的实体，该项目招募喀麦隆籍人员生产Shahed式自杀无人机；第三组覆盖11家实体（5家位于俄罗斯、6家位于境外），因协助规避制裁、供应无人机零部件而被列名。自2022年以来英国对俄相关制裁累计已超过3,000项，英方目前正与欧盟就加入900亿欧元（约1,050亿美元）对乌贷款机制进行磋商。制裁事务大臣斯蒂芬·杜赫蒂（Stephen Doughty）表示：「利用脆弱人群来支撑俄罗斯失败而非法的对乌战争，这种做法是野蛮的。」 [6]</w:t>
      </w:r>
    </w:p>
    <w:p/>
    <w:p>
      <w:r>
        <w:rPr>
          <w:rFonts w:ascii="FangSong_GB2312" w:hAnsi="FangSong_GB2312" w:eastAsia="FangSong_GB2312"/>
          <w:b/>
          <w:sz w:val="24"/>
        </w:rPr>
        <w:t>7.霍尔木兹海峡袭击升级布伦特原油单日跳涨近6%</w:t>
      </w:r>
    </w:p>
    <w:p>
      <w:r>
        <w:rPr>
          <w:rFonts w:ascii="FangSong_GB2312" w:hAnsi="FangSong_GB2312" w:eastAsia="FangSong_GB2312"/>
          <w:b w:val="0"/>
          <w:sz w:val="21"/>
        </w:rPr>
        <w:t>布伦特原油期货周一跳涨约6%至每桶114.44美元，随后于周二格林尼治时间02:00回落至113.54美元，自2026年2月底美以对伊朗发起军事行动以来累计涨幅超过50%，每日产量缺口约1450万桶，约2000艘船只上的2万名海员被滞留。美军在反击中击毁六艘伊朗小型快艇，阿联酋方面通报遭到导弹与无人机袭击。美国总统特朗普宣布启动「自由行动」（Project Freedom），由海军导弹驱逐舰为商船护航，马士基「Alliance Fairfax」滚装船完成自3月初以来该公司首次穿越。美国国防部长皮特·赫格塞斯（Pete Hegseth）当日在五角大楼简报会上称与伊朗的停火「尚未结束」。新加坡Sparta高级原油分析师June Goh表示，市场正在为「更多石油基础设施被破坏，以及霍尔木兹海峡关闭时间超出特朗普政府所设定时间表的可能性」定价。 [7]</w:t>
      </w:r>
    </w:p>
    <w:p/>
    <w:p>
      <w:r>
        <w:rPr>
          <w:rFonts w:ascii="FangSong_GB2312" w:hAnsi="FangSong_GB2312" w:eastAsia="FangSong_GB2312"/>
          <w:b/>
          <w:sz w:val="24"/>
        </w:rPr>
        <w:t>8.Coinbase裁员14%约700人转向AI原生运营模式</w:t>
      </w:r>
    </w:p>
    <w:p>
      <w:r>
        <w:rPr>
          <w:rFonts w:ascii="FangSong_GB2312" w:hAnsi="FangSong_GB2312" w:eastAsia="FangSong_GB2312"/>
          <w:b w:val="0"/>
          <w:sz w:val="21"/>
        </w:rPr>
        <w:t>美国最大加密货币交易所Coinbase于2026年5月5日宣布裁员约700人、占总员工14%，正式转向「AI原生运营模式」，公司2025年末员工人数为4951人。三项核心组织调整为：CEO/COO之下层级压缩至不超过5层；取消纯管理岗；推行由个人贡献者依托AI增强的「单人小组」（one-person pods）。首席执行官Brian Armstrong表示：「过去一年里，我看到工程师用AI在几天内交付过去整个团队需要数周完成的工作。」截至2025年8月AI已撰写Coinbase代码的33%，目标提升至50%。补偿方案为至少16周基本工资外加每年工龄2周薪资及6个月COBRA医保延续。受消息推动Coinbase股价周一上涨6.14%至202.99美元，周二盘前再升3.95%至211美元。这是Coinbase自2022年以来第三次重大裁员（2022年6月18%、2023年1月20%）。 [8]</w:t>
      </w:r>
    </w:p>
    <w:p/>
    <w:p>
      <w:r>
        <w:rPr>
          <w:rFonts w:ascii="FangSong_GB2312" w:hAnsi="FangSong_GB2312" w:eastAsia="FangSong_GB2312"/>
          <w:b/>
          <w:sz w:val="24"/>
        </w:rPr>
        <w:t>9.Lattice半导体16.5亿美元收购固件厂商AMI</w:t>
      </w:r>
    </w:p>
    <w:p>
      <w:r>
        <w:rPr>
          <w:rFonts w:ascii="FangSong_GB2312" w:hAnsi="FangSong_GB2312" w:eastAsia="FangSong_GB2312"/>
          <w:b w:val="0"/>
          <w:sz w:val="21"/>
        </w:rPr>
        <w:t>美国可编程逻辑芯片厂商Lattice Semiconductor于2026年5月5日宣布以16.5亿美元收购软件公司AMI，对价由10亿美元现金加约6.5亿美元Lattice股票构成。AMI由总部位于佐治亚州的私募基金THL Partners控股，专长于面向云与AI数据中心的固件与基础设施软件，预计2026年营收将超过2亿美元，交易预计于2026年三季度完成。Lattice首席执行官Ford Tamer表示：「AMI在云与AI固件及基础设施领域的专长，是我们产品组合的自然延伸。」公司预计交易将提升Lattice的毛利率、自由现金流与调整后每股收益，并使Lattice在云与AI管理与控制市场到2026年四季度时年化收入有望突破10亿美元。BusinessWire发布的官方公告将合并后的实体定位为「业内最完整的安全管理与控制平台」。 [9]</w:t>
      </w:r>
    </w:p>
    <w:p/>
    <w:p>
      <w:r>
        <w:rPr>
          <w:rFonts w:ascii="FangSong_GB2312" w:hAnsi="FangSong_GB2312" w:eastAsia="FangSong_GB2312"/>
          <w:b/>
          <w:sz w:val="24"/>
        </w:rPr>
        <w:t>10.裕信银行350亿欧元要约收购德商行 一季度净利创纪录</w:t>
      </w:r>
    </w:p>
    <w:p>
      <w:r>
        <w:rPr>
          <w:rFonts w:ascii="FangSong_GB2312" w:hAnsi="FangSong_GB2312" w:eastAsia="FangSong_GB2312"/>
          <w:b w:val="0"/>
          <w:sz w:val="21"/>
        </w:rPr>
        <w:t>意大利裕信银行（UniCredit）于2026年5月5日正式启动对德国商业银行（Commerzbank）的自愿换股要约，按0.485股裕信新股换1股德商行股票（折合每股约31.07欧元、较市价折让8.7%），要约期为四周、总规模约350亿欧元，目标持股突破30%但低于控股门槛。同日公布的一季度财报显示集团净利润同比增长16.1%至32亿欧元，超出市场预期27亿至28亿欧元，为连续第21个盈利增长季度；总收入68.7亿欧元，有形股本回报率（RoTE）达25.8%；集团将2026年全年净利润目标上调至「不低于110亿欧元」。裕信首席执行官奥塞尔（Andrea Orcel）表示：「对裕信股东而言这是双赢，我们最终持股将低于控股线，但希望高于30%。」德国政府目前持有德商行约12%股份并明确反对收购。 [10]</w:t>
      </w:r>
    </w:p>
    <w:p/>
    <w:p>
      <w:r>
        <w:rPr>
          <w:rFonts w:ascii="FangSong_GB2312" w:hAnsi="FangSong_GB2312" w:eastAsia="FangSong_GB2312"/>
          <w:b/>
          <w:sz w:val="24"/>
        </w:rPr>
        <w:t>11.冯德莱恩驳特朗普汽车关税威胁 重申协议不可逆</w:t>
      </w:r>
    </w:p>
    <w:p>
      <w:r>
        <w:rPr>
          <w:rFonts w:ascii="FangSong_GB2312" w:hAnsi="FangSong_GB2312" w:eastAsia="FangSong_GB2312"/>
          <w:b w:val="0"/>
          <w:sz w:val="21"/>
        </w:rPr>
        <w:t>2026年5月5日，欧盟委员会主席冯德莱恩（Ursula von der Leyen）于亚美尼亚埃里温就美国总统特朗普拟将欧盟汽车关税由15%上调至25%的最新威胁作出回应，明确表示「协议就是协议，我们已经达成了协议，这份协议的核心是繁荣、共同规则与可靠性」，并强调欧盟「已为各种情景做好准备」。欧洲理事会主席科斯塔（António Costa）确认27个成员国「全面」支持欧委会立场。同日欧盟贸易专员谢夫乔维奇（Maroš Šefčovič）在巴黎七国集团贸易部长会议期间会晤美国贸易代表格里尔（Jamieson Lee Greer）。德国总理默茨（Friedrich Merz）对德国电视一台（ARD）表示「美国人已经搞定了，欧洲人还没有」。2025年7月签署的特恩贝里协议设定了15%关税上限。 [11]</w:t>
      </w:r>
    </w:p>
    <w:p/>
    <w:p>
      <w:r>
        <w:rPr>
          <w:rFonts w:ascii="FangSong_GB2312" w:hAnsi="FangSong_GB2312" w:eastAsia="FangSong_GB2312"/>
          <w:b/>
          <w:sz w:val="24"/>
        </w:rPr>
        <w:t>12.欧委会禁中国光伏逆变器进入欧盟资助项目</w:t>
      </w:r>
    </w:p>
    <w:p>
      <w:r>
        <w:rPr>
          <w:rFonts w:ascii="FangSong_GB2312" w:hAnsi="FangSong_GB2312" w:eastAsia="FangSong_GB2312"/>
          <w:b w:val="0"/>
          <w:sz w:val="21"/>
        </w:rPr>
        <w:t>2026年5月5日，欧盟委员会宣布禁止中国制造的光伏逆变器用于一切由欧盟资助的可再生能源项目，措施适用于欧洲投资银行（EIB）和欧洲投资基金（EIF）对太阳能、风能及储能项目的融资，凡使用来自中国、俄罗斯、朝鲜、伊朗等「高风险」国家逆变器的项目均受限。截至2025年中，华为与阳光电源位列全球光伏逆变器前两强，中国厂商控制约80%的全球市场，欧方警告敌对方可能借远程操控触发「全国性停电」。金融机构须在2026年5月15日前上报在建项目，更严格规则将自2027年4月起分阶段实施。欧委会发言人麦加里（Siobhan McGarry）表示：「我们决定立即采取具体行动。」中国机电产品进出口商会驻欧盟分会（CCCEU）回应称「希望欧方坚持技术中立与不歧视原则」。 [12]</w:t>
      </w:r>
    </w:p>
    <w:p/>
    <w:p>
      <w:r>
        <w:rPr>
          <w:rFonts w:ascii="FangSong_GB2312" w:hAnsi="FangSong_GB2312" w:eastAsia="FangSong_GB2312"/>
          <w:b/>
          <w:sz w:val="24"/>
        </w:rPr>
        <w:t>13.HMM Namu号霍尔木兹爆炸 特朗普施压韩国参与海上行动</w:t>
      </w:r>
    </w:p>
    <w:p>
      <w:r>
        <w:rPr>
          <w:rFonts w:ascii="FangSong_GB2312" w:hAnsi="FangSong_GB2312" w:eastAsia="FangSong_GB2312"/>
          <w:b w:val="0"/>
          <w:sz w:val="21"/>
        </w:rPr>
        <w:t>2026年5月5日，韩国政府表示正全力查明韩国航运公司HMM运营、悬挂巴拿马国旗的货船「HMM Namu」号在霍尔木兹海峡发生爆炸的确切原因。事故于周一晚8时40分发生，机舱起火约4小时后被扑灭，包括6名韩国籍和18名外籍在内全部24名船员安全，这是自2月28日美以对伊朗发动军事行动以来韩国船只在该海域首次受损，该船是因伊朗封锁滞留在该地区的26艘涉韩船舶之一。韩国总统府幕僚长Kang Hoon-sik召开紧急会议，海洋水产部部长Hwang Jong-woo指令在阿联酋附近水域韩国船只向卡塔尔附近安全水域转移。美国总统特朗普通过社交媒体声称伊朗向该韩国船只开火，呼吁首尔加入美方主导的「自由计划」（Project Freedom）行动——该行动已部署导弹驱逐舰、逾100架飞机、无人平台和1.5万名军人。韩国国防研究院研究员Yu Ji-hoon指出：「对韩国而言，霍尔木兹海峡是与石油和天然气进口直接相关的关键航道。」 [13]</w:t>
      </w:r>
    </w:p>
    <w:p/>
    <w:p>
      <w:r>
        <w:rPr>
          <w:rFonts w:ascii="FangSong_GB2312" w:hAnsi="FangSong_GB2312" w:eastAsia="FangSong_GB2312"/>
          <w:b/>
          <w:sz w:val="24"/>
        </w:rPr>
        <w:t>14.综合账户改革吸引外资散户 韩国KOSPI首破6900点</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2026年5月5日韩国综合股价指数（KOSPI）单日跳涨逾5%，首次收于6900点上方。韩国金融服务委员会（FSC）今年早些时候废除了综合账户系统的严格资格门槛，允许海外投资者通过境外券商直接交易韩国上市股票，无需在本地券商单独开户，破解了该制度自2017年推行以来推广受阻的难题。当日外国投资者在主板市场净买入约3万亿韩元（约合20亿美元）股票，加上替代交易平台Nextrade合计约3.9万亿韩元，创下历史最高单日外资净买入纪录，资金集中流向三星电子和SK海力士。三星证券因与盈透证券（Interactive Brokers）开通连接服务、为美国投资者提供直通韩国股市通道，股价飙升近30%。韩国金融监督院4月30日定稿的补充监管规则要求券商提交季度报告时将姓名、护照号等个人识别信息替换为加密识别号；一名金融监督院官员表示：「我们在综合考量各方关切后，已在可接受范围内对制度作出合理调整。」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https://english.news.cn/20260505/fb2e790da347497e8ac514ad7a9c4fd9/c.html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https://english.news.cn/20260505/13c693d2f87e45a298d8e507b5ac2d6c/c.html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https://english.news.cn/20260505/d47f62ad2e894b8686f9ff852a3f0e06/c.html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https://www.rte.ie/news/business/2026/0505/1571734-hsbc-quarterly-results/</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https://www.aljazeera.com/news/2026/5/5/starmers-referendum-how-local-elections-could-expose-a-fractured-uk</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https://www.reuters.com/world/uk-announces-sanctions-targeting-russia-fighter-recruitment-drone-production-2026-05-05/</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https://www.aljazeera.com/economy/2026/5/5/oil-prices-surge-as-violence-flares-in-strait-of-hormuz</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https://www.bloomberg.com/news/articles/2026-05-05/coinbase-to-cut-14-of-workforce-citing-volatile-markets-ai</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https://www.thestar.com.my/tech/tech-news/2026/05/05/lattice-semiconductor-to-buy-software-firm-ami-in-165-billion-deal</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https://www.rte.ie/news/business/2026/0505/1571746-unicredit-quarterly-results/</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https://www.euronews.com/my-europe/2026/05/05/a-deal-is-a-deal-von-der-leyen-hits-back-at-trumps-latest-tariff-threat</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https://www.scmp.com/economy/china-economy/article/3352435/brussels-bans-chinese-inverters-eu-funded-power-projects-connected-european-grid</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https://www.koreaherald.com/article/10731204</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https://www.koreatimes.co.kr/economy/banking-finance/20260505/omnibus-account-reforms-spur-foreign-retail-inflows-boost-kospi-rally</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