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FangSong_GB2312" w:hAnsi="FangSong_GB2312" w:eastAsia="FangSong_GB2312"/>
          <w:b/>
          <w:sz w:val="32"/>
        </w:rPr>
        <w:t>新闻简报</w:t>
      </w:r>
      <w:r>
        <w:rPr>
          <w:rFonts w:ascii="FangSong_GB2312" w:hAnsi="FangSong_GB2312" w:eastAsia="FangSong_GB2312"/>
          <w:b w:val="0"/>
          <w:sz w:val="28"/>
        </w:rPr>
        <w:t xml:space="preserve"> 时间：</w:t>
      </w:r>
      <w:r>
        <w:rPr>
          <w:rFonts w:ascii="FangSong_GB2312" w:hAnsi="FangSong_GB2312" w:eastAsia="FangSong_GB2312"/>
          <w:b w:val="0"/>
          <w:sz w:val="28"/>
        </w:rPr>
        <w:t>2026年5月18日</w:t>
      </w:r>
    </w:p>
    <w:p/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特朗普警告伊朗"时间正流逝"，布伦特原油逼近111美元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NextEra 668亿美元换股收购Dominion，AI电力霸主成形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最高法院削弱《选举权法》第二条，约200个民主党席位受冲击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Burnham向债市喊话稳定gilts，30年期收益率回落至5.83%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财政部联手PRA改革"圈护"规则，释放最多800亿英镑信贷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Starmer陷"慢动作政变"，工党进入数周领导权悬空期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G7财长巴黎峰会聚焦失衡与稀土，债市动荡笼罩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欧洲议会终审钢铁配额削减47%，对俄白钢材全面禁运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欧洲电价两倍于美国威胁AI数据中心布局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中国4月零售销售仅增0.2%创40个月最弱，固投由正转负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白宫公布特朗普习近平峰会成果，中方初订200架波音飞机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高市请求编制FY2026补充预算，10年期JGB收益率升至29年新高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三星罢工进入摊牌时刻，韩总理警告启动近21年未用的紧急仲裁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李在明承诺将"五一八精神"写入宪法序言，187名议员联署修宪</w:t>
      </w:r>
    </w:p>
    <w:p/>
    <w:p/>
    <w:p>
      <w:r>
        <w:rPr>
          <w:rFonts w:ascii="FangSong_GB2312" w:hAnsi="FangSong_GB2312" w:eastAsia="FangSong_GB2312"/>
          <w:b/>
          <w:sz w:val="24"/>
        </w:rPr>
        <w:t>1.特朗普警告伊朗"时间正流逝"，布伦特原油逼近111美元</w:t>
      </w:r>
    </w:p>
    <w:p>
      <w:r>
        <w:rPr>
          <w:rFonts w:ascii="FangSong_GB2312" w:hAnsi="FangSong_GB2312" w:eastAsia="FangSong_GB2312"/>
          <w:b w:val="0"/>
          <w:sz w:val="21"/>
        </w:rPr>
        <w:t>美伊以冲突进入第80天，美国总统特朗普5月18日在Truth Social发文称"对伊朗而言，时间正在流逝。"，全球风险资产应声回落：标普500下跌1.2%，道琼斯下跌1.1%，纳斯达克下跌1.5%，日经225收跌约1%，恒生指数下跌1.1%；布伦特原油上涨约0.7%至每桶约111美元，10年期美债收益率攀升至4.60%。同日沙特防空部队拦截三架来袭无人机，阿联酋巴拉卡核电站外围遭无人机袭击未致反应堆损伤；伊朗官员塔拉伊—尼克（Reza Talaei-Nik）回应称德黑兰已准备好对抗任何侵略。波斯湾承担全球每日约20%原油运输，分析师警告若战事重启布伦特可能冲向120美元。该轮冲突2026年2月底打响，美以联军曾在12小时内对伊朗导弹、防空设施与领导层发动近900次打击，4月7日华盛顿宣布两周停火；伊朗已通过巴基斯坦中间人向华盛顿递交14点停火方案，但福尔多与纳坦兹离心机仅被毁伤而非摧毁，市场已把特朗普的每条推文视为油价的实时信号读。 [1]</w:t>
      </w:r>
    </w:p>
    <w:p/>
    <w:p>
      <w:r>
        <w:rPr>
          <w:rFonts w:ascii="FangSong_GB2312" w:hAnsi="FangSong_GB2312" w:eastAsia="FangSong_GB2312"/>
          <w:b/>
          <w:sz w:val="24"/>
        </w:rPr>
        <w:t>2.NextEra 668亿美元换股收购Dominion，AI电力霸主成形</w:t>
      </w:r>
    </w:p>
    <w:p>
      <w:r>
        <w:rPr>
          <w:rFonts w:ascii="FangSong_GB2312" w:hAnsi="FangSong_GB2312" w:eastAsia="FangSong_GB2312"/>
          <w:b w:val="0"/>
          <w:sz w:val="21"/>
        </w:rPr>
        <w:t>NextEra Energy 5月18日宣布以全股票方式作价约668亿美元收购Dominion Energy，按彭博口径为美国电力行业有史以来最大并购案，换股比例每股Dominion换0.8138股NextEra，交易后NextEra原股东持股74.5%、Dominion股东持股25.5%。合并实体将拥有约51吉瓦数据中心电力签约容量、110吉瓦发电资产、约1000万用户，业务从佛罗里达延伸至弗吉尼亚数据中心走廊，将成为全球市值最大的受监管电力公司。两家公司提出两年内向弗吉尼亚、北卡、南卡的Dominion用户提供22.5亿美元电费抵免以换取监管放行，交易仍需FERC与州级公用事业委员会批准。消息当日NextEra早盘下跌约2%。这笔交易折射出AI算力对电力的饥渴——Dominion所在的弗吉尼亚是全美最大数据中心市场，NextEra则手握全美最大可再生能源组合。 [2]</w:t>
      </w:r>
    </w:p>
    <w:p/>
    <w:p>
      <w:r>
        <w:rPr>
          <w:rFonts w:ascii="FangSong_GB2312" w:hAnsi="FangSong_GB2312" w:eastAsia="FangSong_GB2312"/>
          <w:b/>
          <w:sz w:val="24"/>
        </w:rPr>
        <w:t>3.最高法院削弱《选举权法》第二条，约200个民主党席位受冲击</w:t>
      </w:r>
    </w:p>
    <w:p>
      <w:r>
        <w:rPr>
          <w:rFonts w:ascii="FangSong_GB2312" w:hAnsi="FangSong_GB2312" w:eastAsia="FangSong_GB2312"/>
          <w:b w:val="0"/>
          <w:sz w:val="21"/>
        </w:rPr>
        <w:t>美国最高法院4月29日以6比3在Louisiana v. Callais案中收紧《选举权法》第二条（VRA Section 2）适用标准，认定路易斯安那州新国会选区地图（含两个非裔为主选区）构成违宪的种族选区划分。业界评估该裁定实质上掏空了保护少数族裔免受选举歧视61年之久的VRA第二条，威胁全美至少17宗涉及州与地方选区地图的现行诉讼，约200个民主党所占州议会席位——多为南方以非裔为主体的选区——面临被废除风险。北卡州众议员皮尔斯（Rodney Pierce）5月18日已撤回选区重划诉讼，斥责VRA是"一部没有牙齿、毫无意义的法律。"判决发布后田纳西州共和党人迅速通过新地图、废除该州唯一以少数族裔为主的众议院选区，多个南方州陆续启动重划，皮尔斯撤诉是地方层级第一颗多米诺骨牌。 [3]</w:t>
      </w:r>
    </w:p>
    <w:p/>
    <w:p>
      <w:r>
        <w:rPr>
          <w:rFonts w:ascii="FangSong_GB2312" w:hAnsi="FangSong_GB2312" w:eastAsia="FangSong_GB2312"/>
          <w:b/>
          <w:sz w:val="24"/>
        </w:rPr>
        <w:t>4.Burnham向债市喊话稳定gilts，30年期收益率回落至5.83%</w:t>
      </w:r>
    </w:p>
    <w:p>
      <w:r>
        <w:rPr>
          <w:rFonts w:ascii="FangSong_GB2312" w:hAnsi="FangSong_GB2312" w:eastAsia="FangSong_GB2312"/>
          <w:b w:val="0"/>
          <w:sz w:val="21"/>
        </w:rPr>
        <w:t>英国10年期国债收益率5月18日早盘报5.15%、较上周五下行2个基点，30年期下行2个基点至5.83%——上周五该期限曾触及自1998年以来最高水平，20年期与30年期双双刷新1998年峰值。抛售导火索是政治：曼彻斯特市长Andy Burnham 5月15日获准参选Makerfield补选、目标拿下议席为挑战首相Starmer清出通道，Deutsche Bank分析师明言投资者"很可能担心Burnham出任首相后的财政开支扩张"，Aberdeen的Lizzie Galbraith称当前gilt定价含"额外的风险溢价"。Burnham周一对ITV News反驳："我从未说过你可以无视债券市场。"并把英国"被债市掐住"的局面归咎于历届政府在能源、供水、住房领域放弃控制。背景是工党7天前在地方选举中遭1,498席崩盘性损失、Reform UK拿下1,454席，市场担忧的不只是Burnham个人立场，更是财相Rachel Reeves的财政纪律护栏能否延续。补选预计6月18日举行。 [4]</w:t>
      </w:r>
    </w:p>
    <w:p/>
    <w:p>
      <w:r>
        <w:rPr>
          <w:rFonts w:ascii="FangSong_GB2312" w:hAnsi="FangSong_GB2312" w:eastAsia="FangSong_GB2312"/>
          <w:b/>
          <w:sz w:val="24"/>
        </w:rPr>
        <w:t>5.财政部联手PRA改革"圈护"规则，释放最多800亿英镑信贷</w:t>
      </w:r>
    </w:p>
    <w:p>
      <w:r>
        <w:rPr>
          <w:rFonts w:ascii="FangSong_GB2312" w:hAnsi="FangSong_GB2312" w:eastAsia="FangSong_GB2312"/>
          <w:b w:val="0"/>
          <w:sz w:val="21"/>
        </w:rPr>
        <w:t>英国财政部与英格兰银行审慎监管局（PRA）5月18日联合发布银行"圈护"（ring-fencing）规则改革方案，预计为英国企业释放最多800亿英镑额外贷款空间。城市部长Rachel Blake表示："这些改革将释放促增长资金，同时保持英国银行体系的韧性。"改革核心是放松2008年金融危机后建立的零售银行隔离要求——2013年《金融服务（银行改革）法》设下35亿英镑零售存款门槛，规模超过此线的HSBC、Barclays、Lloyds、NatWest、Santander UK等必须把零售银行业务剥离至独立法人；HSBC合规成本约25亿英镑、Barclays超过10亿英镑。新方案改为每三年复审一次门槛。NatWest首席执行官Paul Thwaite称："这些变化有潜力增加贷款和投资。"市场普遍把Lloyds视为最大受益者。此举是首相Starmer政府"为增长解锁金融"叙事的延续，在债市要求财政纪律的同时，政府试图用监管改革而非直接支出推动企业融资。 [5]</w:t>
      </w:r>
    </w:p>
    <w:p/>
    <w:p>
      <w:r>
        <w:rPr>
          <w:rFonts w:ascii="FangSong_GB2312" w:hAnsi="FangSong_GB2312" w:eastAsia="FangSong_GB2312"/>
          <w:b/>
          <w:sz w:val="24"/>
        </w:rPr>
        <w:t>6.Starmer陷"慢动作政变"，工党进入数周领导权悬空期</w:t>
      </w:r>
    </w:p>
    <w:p>
      <w:r>
        <w:rPr>
          <w:rFonts w:ascii="FangSong_GB2312" w:hAnsi="FangSong_GB2312" w:eastAsia="FangSong_GB2312"/>
          <w:b w:val="0"/>
          <w:sz w:val="21"/>
        </w:rPr>
        <w:t>截至5月18日首相Keir Starmer尚未面临正式党魁挑战，但工党已进入分析人士Robert Peston所称"跛脚鸭首相"状态。触发点是5月7日地方选举，工党单日丢失1,498席，Reform UK净增1,454席，包括安全事务大臣Jess Phillips在内的四名初级部长辞职。前卫生大臣Wes Streeting递交辞职信宣布参选党魁并直言"现在已经很清楚，你不会带领工党参加下次大选。"；保守党党魁Kemi Badenoch讽刺"首相已经表明他在位，但没有实权。"。正式触发党魁选举需404名工党议员中81人联署，LabourList追踪显示159人支持Starmer、97人要求其辞职、147人沉默。Streeting同日把脱欧定性为"灾难性的错误"、表示英国未来在于"有朝一日重回欧盟"——把Starmer2024年大选前划下的"不加入关税同盟"红线推上党魁辩论桌。Makerfield补选候选人申请5月18日截止，工党NEC将于5月21日确认Burnham为候选人，补选6月18日举行——这段空窗期是Starmer执政最脆弱的窗口。 [6]</w:t>
      </w:r>
    </w:p>
    <w:p/>
    <w:p>
      <w:r>
        <w:rPr>
          <w:rFonts w:ascii="FangSong_GB2312" w:hAnsi="FangSong_GB2312" w:eastAsia="FangSong_GB2312"/>
          <w:b/>
          <w:sz w:val="24"/>
        </w:rPr>
        <w:t>7.G7财长巴黎峰会聚焦失衡与稀土，债市动荡笼罩</w:t>
      </w:r>
    </w:p>
    <w:p>
      <w:r>
        <w:rPr>
          <w:rFonts w:ascii="FangSong_GB2312" w:hAnsi="FangSong_GB2312" w:eastAsia="FangSong_GB2312"/>
          <w:b w:val="0"/>
          <w:sz w:val="21"/>
        </w:rPr>
        <w:t>G7财长与央行行长5月18日在巴黎开启为期两天的预备会议，为6月15—17日埃维昂领导人峰会铺路。法国财长Roland Lescure以"明显不可持续"形容当前美国过度消费、中国消费不足、欧洲投资不足的三角格局，警告金融市场正处"动荡的去杠杆过程"——会前数日七国主要主权债收益率普遍急涨，把"债市无序调整"从外交辞令变成桌面真问题。Lescure提出建立稀土"共同工具箱"（动用价格下限、配额或关税抵御供应冲击），以法国1.06亿欧元稀土加工投资为样板，目标2030年实现100%法国供应链覆盖。德国财长Lars Klingbeil表示G7仍是"正确的框架"、目标"重新稳定该地区，确保霍尔木兹海峡航运畅通"。CSIS分析师Philip Luck评估："如果他们最终签署一份认为这是美国之过的声明，我会感到震惊。"——分歧大概率留到6月正式峰会，第二天扩大场次邀请肯尼亚、巴西、印度和韩国与会。 [7]</w:t>
      </w:r>
    </w:p>
    <w:p/>
    <w:p>
      <w:r>
        <w:rPr>
          <w:rFonts w:ascii="FangSong_GB2312" w:hAnsi="FangSong_GB2312" w:eastAsia="FangSong_GB2312"/>
          <w:b/>
          <w:sz w:val="24"/>
        </w:rPr>
        <w:t>8.欧洲议会终审钢铁配额削减47%，对俄白钢材全面禁运</w:t>
      </w:r>
    </w:p>
    <w:p>
      <w:r>
        <w:rPr>
          <w:rFonts w:ascii="FangSong_GB2312" w:hAnsi="FangSong_GB2312" w:eastAsia="FangSong_GB2312"/>
          <w:b w:val="0"/>
          <w:sz w:val="21"/>
        </w:rPr>
        <w:t>欧洲议会5月全会5月18日在斯特拉斯堡开幕、会期至21日，钢铁产能过剩应对法规由瑞典自由党籍欧洲议员Karin Karlsbro领衔进入终审。议会与理事会4月13日达成的临时协议规定：相较2024年现行保障措施，欧盟钢铁进口配额削减约47%、年度上限压至1830万吨；超配额关税升至50%；强化原产地追溯；对俄罗斯和白俄罗斯钢材全面禁运，配套联合声明将俄钢2028年前彻底退出欧盟市场写入路径。这是欧洲对全球钢铁过剩问题的最强硬回应——经合组织等机构预计2027年全球钢铁产能过剩将达7.21亿吨。新规生效目标为2026年7月1日、接续到期的WTO临时保障措施，是欧盟产业政策从"补贴本土"转向"关税防御"的标志性立法，议会全会拟于5月19日表决。同周议程还包括外资审查条例、网络安全韧性法案表决，及向默克尔、泽连斯基、瓦文萨等20人颁授首届"欧洲功勋勋章"。 [8]</w:t>
      </w:r>
    </w:p>
    <w:p/>
    <w:p>
      <w:r>
        <w:rPr>
          <w:rFonts w:ascii="FangSong_GB2312" w:hAnsi="FangSong_GB2312" w:eastAsia="FangSong_GB2312"/>
          <w:b/>
          <w:sz w:val="24"/>
        </w:rPr>
        <w:t>9.欧洲电价两倍于美国威胁AI数据中心布局</w:t>
      </w:r>
    </w:p>
    <w:p>
      <w:r>
        <w:rPr>
          <w:rFonts w:ascii="FangSong_GB2312" w:hAnsi="FangSong_GB2312" w:eastAsia="FangSong_GB2312"/>
          <w:b w:val="0"/>
          <w:sz w:val="21"/>
        </w:rPr>
        <w:t>CNBC 5月18日援引世邦魏理仕数据揭示欧洲AI数据中心的结构性困局：欧洲工业电价已大致是美国的两倍、中印的1.5倍，法兰克福、伦敦、阿姆斯特丹、巴黎、都柏林五大数据中心市场2026年容量成本上涨12%；全球数据中心耗电量占全球总用电量已从2024年的1.7%升至约2%。2026年2月下旬以来的伊朗战火再推高欧洲化石燃料价格，欧盟电网新增并网申请等待时间已逼近十年量级。微软已把投资明确导向北欧——挪威投入62亿美元、瑞典扩张32亿美元、丹麦2023至2027年再投30亿美元；OpenAI暂停英国"星门"项目，能源成本是部分原因。富兰克林邓普顿基金经理Michael Browne直言："如果我现在要建下一座70亿美元的数据中心，会选在美国或中国。"对欧洲而言问题已不止于吸引投资，而是其AI主权战略——以本土算力承载欧洲数据与模型——能否在自家电网与电价结构下立足。 [9]</w:t>
      </w:r>
    </w:p>
    <w:p/>
    <w:p>
      <w:r>
        <w:rPr>
          <w:rFonts w:ascii="FangSong_GB2312" w:hAnsi="FangSong_GB2312" w:eastAsia="FangSong_GB2312"/>
          <w:b/>
          <w:sz w:val="24"/>
        </w:rPr>
        <w:t>10.中国4月零售销售仅增0.2%创40个月最弱，固投由正转负</w:t>
      </w:r>
    </w:p>
    <w:p>
      <w:r>
        <w:rPr>
          <w:rFonts w:ascii="FangSong_GB2312" w:hAnsi="FangSong_GB2312" w:eastAsia="FangSong_GB2312"/>
          <w:b w:val="0"/>
          <w:sz w:val="21"/>
        </w:rPr>
        <w:t>中国国家统计局5月18日公布的4月经济数据全线低于预期：社会消费品零售总额同比仅增0.2%，远低于经济学家2.0%预测、刷新自2022年12月放松防疫管控前夕以来最差表现；工业增加值同比增长4.1%，远不及路透预期5.9%，为2023年7月以来最低增速；1—4月城镇固定资产投资同比下降1.6%（1—3月仍录得+1.7%），由正转负意味着房地产之外的基建与制造业投资同步走弱；城镇调查失业率从5.4%回落至5.2%是为数不多亮点。数据背后是伊朗战争带来的能源价格冲击，4月国内原油加工量同比下降5.8%、为2024年8月以来最大跌幅；同期出口仍同比劲增14.1%，意味内需是真正拖累。70城新建商品住宅价格环比下降0.1%、为2025年4月以来最缓单月跌幅，1—4月房地产开发投资同比暴跌13.7%。汇丰大中华区首席经济学家刘晶向彭博表示，中国经济"可能比其他经济体更具韧性，但也未能幸免于冲击"。一季度GDP增5%，4月急转直下显示二季度起步乏力，2026年增长目标设定在4.5%—5%。 [10]</w:t>
      </w:r>
    </w:p>
    <w:p/>
    <w:p>
      <w:r>
        <w:rPr>
          <w:rFonts w:ascii="FangSong_GB2312" w:hAnsi="FangSong_GB2312" w:eastAsia="FangSong_GB2312"/>
          <w:b/>
          <w:sz w:val="24"/>
        </w:rPr>
        <w:t>11.白宫公布特朗普习近平峰会成果，中方初订200架波音飞机</w:t>
      </w:r>
    </w:p>
    <w:p>
      <w:r>
        <w:rPr>
          <w:rFonts w:ascii="FangSong_GB2312" w:hAnsi="FangSong_GB2312" w:eastAsia="FangSong_GB2312"/>
          <w:b w:val="0"/>
          <w:sz w:val="21"/>
        </w:rPr>
        <w:t>白宫5月18日发布事实清单，确认5月14—15日特朗普与习近平北京峰会成果：中方承诺2026—2028年每年采购170亿美元美国农产品（2026年按比例执行），并在2025年10月达成的每年8700万吨大豆采购协议基础上扩大；恢复对400余家美国牛肉加工厂的市场准入，重新接受美国农业部认定无禽流感州的禽肉。最具象征意义的是初步采购200架波音飞机（含737 MAX与搭载GE航发的777），IBA估算价值170亿至190亿美元，是自2017年特朗普首次访华签下300架意向以来首次大规模国家关联航空采购，特朗普称订单"最终可能升至750架"。中方承诺解决稀土与关键矿物（钇、钪、钕、铟）供应短缺；新设"美中贸易委员会"与"美中投资委员会"作为机制化对话渠道挂牌；双方约定推动重开霍尔木兹海峡与朝鲜半岛无核化；特朗普已邀请习近平2026年秋季访问华盛顿。Hinrich Foundation的Deborah Elms提醒，2020年第一阶段协议曾要求中国当年采购达334亿美元最终仅完成272亿美元，"这类承诺最终能否转化为实际采购"仍存疑。中美双边贸易额已从2022年的6900亿美元跌至2025年的约4150亿美元。 [11]</w:t>
      </w:r>
    </w:p>
    <w:p/>
    <w:p>
      <w:r>
        <w:rPr>
          <w:rFonts w:ascii="FangSong_GB2312" w:hAnsi="FangSong_GB2312" w:eastAsia="FangSong_GB2312"/>
          <w:b/>
          <w:sz w:val="24"/>
        </w:rPr>
        <w:t>12.高市请求编制FY2026补充预算，10年期JGB收益率升至29年新高</w:t>
      </w:r>
    </w:p>
    <w:p>
      <w:r>
        <w:rPr>
          <w:rFonts w:ascii="FangSong_GB2312" w:hAnsi="FangSong_GB2312" w:eastAsia="FangSong_GB2312"/>
          <w:b w:val="0"/>
          <w:sz w:val="21"/>
        </w:rPr>
        <w:t>日本首相高市早苗5月18日在执政联盟会议上表示已请财务大臣片山皋月研究包括编制FY2026补充预算在内的资金筹措方式，与官房长官木原稔此前否认"额外预算"的口径相左，被视为重大政策转向。直接触发因素是中东局势推升的能源成本——日本汽油补贴自3月中重启后、年度1万亿日元规模已消耗近九成，分析师此前估算6月底见底；反对党国民民主党党首玉木雄一郎已提出约3万亿日元（189亿美元）追加方案，券商预估补充预算总规模可能在5—10万亿日元之间。市场反应剧烈：10年期JGB收益率当日跳升10个基点至2.80%、为1996年以来最高，30年期升至4.19%；美元兑日元一度突破159、为4月30日当局入市干预以来最弱位。三井住友信托资产管理稻留克俊评论"高市的政策反转令市场紧张，引发了国债抛售"，野村岩下真理称"若通胀风险加剧，日银存在到明年3月将利率上调至1.5%的可能"。同日财务省5年期国债拍卖投标倍数仅3.22倍、低于12个月均值3.47倍，FY2026主预算已达创纪录122万亿日元，任何追加都将考验JGB承接能力。 [12]</w:t>
      </w:r>
    </w:p>
    <w:p/>
    <w:p>
      <w:r>
        <w:rPr>
          <w:rFonts w:ascii="FangSong_GB2312" w:hAnsi="FangSong_GB2312" w:eastAsia="FangSong_GB2312"/>
          <w:b/>
          <w:sz w:val="24"/>
        </w:rPr>
        <w:t>13.三星罢工进入摊牌时刻，韩总理警告启动近21年未用的紧急仲裁</w:t>
      </w:r>
    </w:p>
    <w:p>
      <w:r>
        <w:rPr>
          <w:rFonts w:ascii="FangSong_GB2312" w:hAnsi="FangSong_GB2312" w:eastAsia="FangSong_GB2312"/>
          <w:b w:val="0"/>
          <w:sz w:val="21"/>
        </w:rPr>
        <w:t>韩国国务总理金民锡5月18日就三星电子工会5月21日起为期18天的罢工明确表态："若发生预期会对国民经济造成巨大损害的罢工情形，政府不得不考虑包括紧急调整在内的一切应对措施，以保护国民经济。"——这是政府首次把《工会与劳动关系调整法》第76条规定的紧急调整权摆上桌面。该制度1963年立法、迄今仅启用过四次（1969年韩国造船、1993年现代汽车、2005年韩亚航空与大韩航空飞行员罢工），若激活将是近21年来首次。逾4.5万名三星员工已通过罢工投票、要求把约45万亿韩元（299亿美元）即营业利润15%划为奖金池；三星仅愿给10%且拒绝制度化。罢工覆盖器兴、华城、平泽三大基地——华城与平泽承担HBM4面向英伟达的首批商业出货，业界估算18天罢工或抹去全球DRAM供应4%、三星损失高达43万亿韩元（289亿美元）。水原地方法院当日部分准许三星禁令，要求工会维持安全设施与"晶圆污染防止工作"运行，违者分会每日罚款1亿韩元，三星股价当日上涨6.7%。劳资双方在世宗中央劳动委员会复谈、周二上午10时续谈。三星约占KOSPI总市值25%、占韩国GDP的12.5%、贡献约37%出口；同日KOSPI盘中再挫4%，KOSPI 200期指跌幅触及5%触发"sidecar"熔断。 [13]</w:t>
      </w:r>
    </w:p>
    <w:p/>
    <w:p>
      <w:r>
        <w:rPr>
          <w:rFonts w:ascii="FangSong_GB2312" w:hAnsi="FangSong_GB2312" w:eastAsia="FangSong_GB2312"/>
          <w:b/>
          <w:sz w:val="24"/>
        </w:rPr>
        <w:t>14.李在明承诺将"五一八精神"写入宪法序言，187名议员联署修宪</w:t>
      </w:r>
    </w:p>
    <w:p>
      <w:p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  <w:r>
        <w:rPr>
          <w:rFonts w:ascii="FangSong_GB2312" w:hAnsi="FangSong_GB2312" w:eastAsia="FangSong_GB2312"/>
          <w:b w:val="0"/>
          <w:sz w:val="21"/>
        </w:rPr>
        <w:t>韩国总统李在明5月18日在光州五一八民主广场出席1980年光州民主化运动46周年纪念仪式、约3,000人参加，承诺"我们将竭尽全力，把五一八精神明确写入宪法序言。"他在演讲中称"伟大的大韩民国2024年以赤手空拳阻止了武装戒严部队，正如1980年5月的光州市民所做的那样"。国会286个议席中已有187名议员联署修宪倡议，距正式提案所需191人仅差4票；承载光州起义记忆的旧全罗南道厅大楼同日时隔多年重新对外开放。1980年5月全斗焕政变集团扩大戒严，光州学生与市民遭空降部队动用步枪与刺刀镇压，2024年成立的真相调查委员会确认166名平民遇害、2,617人受伤、179人失踪。李在明此次将2024年12月3日尹锡悦戒严失败后的公民抵抗与1980年的光州相连，试图把民主党执政正当性与该国民主化最高象征叙事绑定，为本轮修宪寻求超党派的最后4票。6月3日地方选举将至，韩国盖洛普最新民调显示共同民主党45%、国民力量党23%，差距达22个百分点。 [14]</w:t>
      </w:r>
    </w:p>
    <w:p/>
    <w:p>
      <w:r>
        <w:rPr>
          <w:rFonts w:ascii="FangSong_GB2312" w:hAnsi="FangSong_GB2312" w:eastAsia="FangSong_GB2312"/>
          <w:b/>
          <w:sz w:val="24"/>
        </w:rPr>
        <w:t>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https://www.aljazeera.com/news/2026/5/18/iran-war-day-80-trump-issues-warning-tehran-ready-to-confront-aggression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https://www.bloomberg.com/news/articles/2026-05-18/nextera-to-buy-dominion-for-67-billion-to-form-utility-colossus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https://www.wvxu.org/news-from-npr/2026-05-18/why-the-supreme-courts-voting-rights-ruling-could-play-a-big-role-at-the-local-level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https://www.cnbc.com/2026/05/18/burnham-gilts-inflation-starmer-interest-rates-bonds.html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https://www.gov.uk/government/news/government-reforms-ring-fencing-rules-to-unlock-finance-for-growth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[6]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https://www.aljazeera.com/news/2026/5/18/britain-faces-weeks-of-leadership-limbo-in-slow-motion-coup-against-starmer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[7]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https://moderndiplomacy.eu/2026/05/18/g7-finance-chiefs-confront-bond-market-turmoil-and-global-economic-imbalances/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[8]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https://eurometal.net/european-parliament-approves-proposal-to-cut-steel-import-quotas-by-47-impose-50-over-quota-duty/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[9]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https://www.cnbc.com/2026/05/18/europe-ai-energy-electricity-costs-data-centers-china-us.html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[10]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https://www.cnbc.com/2026/05/18/china-april-retail-sales-industrial-output-investment-unemployment-iran-war.html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https://www.whitehouse.gov/fact-sheets/2026/05/fact-sheet-president-donald-j-trump-secures-historic-deals-with-china-delivering-for-american-workers-farmers-and-industry/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https://www.bloomberg.com/news/articles/2026-05-18/japan-s-takaichi-set-to-announce-extra-budget-amid-mideast-shock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https://www.koreaherald.com/article/10740075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https://www.koreaherald.com/article/10740084</w:t>
            </w:r>
          </w:p>
        </w:tc>
      </w:tr>
    </w:tbl>
    <w:p/>
    <w:p/>
    <w:p>
      <w:r>
        <w:rPr>
          <w:rFonts w:ascii="FangSong_GB2312" w:hAnsi="FangSong_GB2312" w:eastAsia="FangSong_GB2312"/>
          <w:b/>
          <w:sz w:val="24"/>
        </w:rPr>
        <w:t>免责声明：</w:t>
      </w:r>
      <w:r>
        <w:rPr>
          <w:rFonts w:ascii="FangSong_GB2312" w:hAnsi="FangSong_GB2312" w:eastAsia="FangSong_GB2312"/>
          <w:b w:val="0"/>
          <w:sz w:val="24"/>
        </w:rPr>
        <w:t>本报告中的信息和数据均来源于公开资料、相关的数据网站和调研等，但不保证信息及资料的完整性、准确性、时效性。在任何情况下，本文所载的信息、材料及结论仅供参考，不构成投资建议。</w:t>
      </w:r>
    </w:p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