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6f0be8edb7fae29a1aacc015092435cda797ba"/>
    <w:p>
      <w:pPr>
        <w:pStyle w:val="Heading1"/>
      </w:pPr>
      <w:r>
        <w:t xml:space="preserve">United Kingdom Daily News Intelligence — July 7, 2026</w:t>
      </w:r>
    </w:p>
    <w:bookmarkStart w:id="12" w:name="economy-markets"/>
    <w:p>
      <w:pPr>
        <w:pStyle w:val="Heading2"/>
      </w:pPr>
      <w:r>
        <w:t xml:space="preserve">1. Economy &amp; Markets</w:t>
      </w:r>
    </w:p>
    <w:bookmarkStart w:id="9" w:name="Xd2af0f481d1c7b2842860ebf31abba22d150d58"/>
    <w:p>
      <w:pPr>
        <w:pStyle w:val="Heading3"/>
      </w:pPr>
      <w:r>
        <w:t xml:space="preserve">Bank of England flags AI as a</w:t>
      </w:r>
      <w:r>
        <w:t xml:space="preserve"> </w:t>
      </w:r>
      <w:r>
        <w:t xml:space="preserve">“growing risk”</w:t>
      </w:r>
      <w:r>
        <w:t xml:space="preserve"> </w:t>
      </w:r>
      <w:r>
        <w:t xml:space="preserve">to stability, moves to ease bank capital rules</w:t>
      </w:r>
    </w:p>
    <w:p>
      <w:pPr>
        <w:pStyle w:val="FirstParagraph"/>
      </w:pPr>
      <w:r>
        <w:t xml:space="preserve">The Bank of England named artificial intelligence a</w:t>
      </w:r>
      <w:r>
        <w:t xml:space="preserve"> </w:t>
      </w:r>
      <w:r>
        <w:t xml:space="preserve">“growing risk”</w:t>
      </w:r>
      <w:r>
        <w:t xml:space="preserve"> </w:t>
      </w:r>
      <w:r>
        <w:t xml:space="preserve">to financial stability in its Financial Stability Report, released 7 July 2026, and set out a linked plan for the Prudential Regulation Authority to ease capital requirements on UK lenders. It is the first Report to elevate AI to a headline systemic concern.</w:t>
      </w:r>
    </w:p>
    <w:p>
      <w:pPr>
        <w:pStyle w:val="BodyText"/>
      </w:pPr>
      <w:r>
        <w:t xml:space="preserve">The Bank’s worry is concrete. Frontier AI models are now capable enough to exploit software vulnerabilities, raising the sophistication and impact of cyber attacks on banks and market infrastructure. It flagged concentration risk from the industry’s reliance on a small number of cloud and model providers, and warned that AI-driven, increasingly agentic trading systems could amplify shocks and move markets in correlated ways no single desk controls. Deputy Governor Sarah Breeden urged bespoke regulation tailored to AI rather than bolting the technology onto existing rules.</w:t>
      </w:r>
    </w:p>
    <w:p>
      <w:pPr>
        <w:pStyle w:val="BodyText"/>
      </w:pPr>
      <w:r>
        <w:t xml:space="preserve">Running alongside the risk warning is a loosening. The PRA plans to reduce leverage requirements on large domestic-focused UK banks by around 20 basis points under a reworked capital-buffer framework — a partial unwind of post-2007-crisis rules — with the exact figure varying by bank and a consultation expected to conclude next year. The Bank stressed UK lenders and households remain resilient. UK bank stocks ticked up in morning trading on 7 July.</w:t>
      </w:r>
    </w:p>
    <w:p>
      <w:pPr>
        <w:pStyle w:val="BodyText"/>
      </w:pPr>
      <w:r>
        <w:rPr>
          <w:b/>
          <w:bCs/>
        </w:rPr>
        <w:t xml:space="preserve">References</w:t>
      </w:r>
    </w:p>
    <w:p>
      <w:pPr>
        <w:pStyle w:val="BodyText"/>
      </w:pPr>
      <w:r>
        <w:t xml:space="preserve">[1] Yahoo Finance. (2026, July 7). Bank of England sees growing risks from AI to financial stability. Yahoo Finance. https://finance.yahoo.com/technology/ai/articles/bank-england-sees-growing-risks-093819932.html</w:t>
      </w:r>
      <w:r>
        <w:t xml:space="preserve"> </w:t>
      </w:r>
      <w:r>
        <w:t xml:space="preserve">[2] AOL UK. (2026, July 7). Bank of England plans to ease capital rules for lenders. AOL UK. https://www.aol.co.uk/articles/bank-england-plans-ease-capital-104651000.html</w:t>
      </w:r>
      <w:r>
        <w:t xml:space="preserve"> </w:t>
      </w:r>
      <w:r>
        <w:t xml:space="preserve">[3] Bank of England. (2026, July 7). Financial Stability Report — July 2026. Bank of England. https://www.bankofengland.co.uk/financial-stability-report/2026/july-2026</w:t>
      </w:r>
      <w:r>
        <w:t xml:space="preserve"> </w:t>
      </w:r>
      <w:r>
        <w:t xml:space="preserve">[4] Lynn News. (2026, July 7). Rapid AI advances increasing financial stability risks, Bank of England warns. Lynn News. https://www.lynnnews.co.uk/national/rapid-ai-advances-increasing-financial-stability-risks-bank-of-england-warns-168963/</w:t>
      </w:r>
    </w:p>
    <w:p>
      <w:r>
        <w:pict>
          <v:rect style="width:0;height:1.5pt" o:hralign="center" o:hrstd="t" o:hr="t"/>
        </w:pict>
      </w:r>
    </w:p>
    <w:bookmarkEnd w:id="9"/>
    <w:bookmarkStart w:id="10" w:name="Xccce41af1c140a333ffd88fb1c07f276ef9a760"/>
    <w:p>
      <w:pPr>
        <w:pStyle w:val="Heading3"/>
      </w:pPr>
      <w:r>
        <w:t xml:space="preserve">OBR warns UK debt would grow</w:t>
      </w:r>
      <w:r>
        <w:t xml:space="preserve"> </w:t>
      </w:r>
      <w:r>
        <w:t xml:space="preserve">“explosively”</w:t>
      </w:r>
      <w:r>
        <w:t xml:space="preserve"> </w:t>
      </w:r>
      <w:r>
        <w:t xml:space="preserve">without corrective action</w:t>
      </w:r>
    </w:p>
    <w:p>
      <w:pPr>
        <w:pStyle w:val="FirstParagraph"/>
      </w:pPr>
      <w:r>
        <w:t xml:space="preserve">The Office for Budget Responsibility said UK public debt would grow</w:t>
      </w:r>
      <w:r>
        <w:t xml:space="preserve"> </w:t>
      </w:r>
      <w:r>
        <w:t xml:space="preserve">“explosively”</w:t>
      </w:r>
      <w:r>
        <w:t xml:space="preserve"> </w:t>
      </w:r>
      <w:r>
        <w:t xml:space="preserve">absent policy change, in its Fiscal Risks and Sustainability (FRS) report published 7 July 2026 — the fiscal watchdog’s first full update of its long-run projections since 2023.</w:t>
      </w:r>
    </w:p>
    <w:p>
      <w:pPr>
        <w:pStyle w:val="BodyText"/>
      </w:pPr>
      <w:r>
        <w:t xml:space="preserve">Almost every 50-year scenario the OBR modelled showed debt rising on an unsustainable path. The pressures compound: an ageing population driving NHS and social-care costs, a rising debt-interest bill, the fiscal weight of the climate transition, and higher defence spending under NATO’s 3% of GDP target. The watchdog framed its numbers as a warning rather than a forecast — future governments are expected to act before debt reaches those levels — but cautioned that the longer correction is delayed, the larger the tax rises or spending cuts required, and the heavier the burden shifted onto future generations.</w:t>
      </w:r>
    </w:p>
    <w:p>
      <w:pPr>
        <w:pStyle w:val="BodyText"/>
      </w:pPr>
      <w:r>
        <w:t xml:space="preserve">The report lands squarely on Chancellor Rachel Reeves, who faces an October 2026 Budget with limited fiscal headroom and a debt trajectory the OBR says cannot be left to drift.</w:t>
      </w:r>
    </w:p>
    <w:p>
      <w:pPr>
        <w:pStyle w:val="BodyText"/>
      </w:pPr>
      <w:r>
        <w:rPr>
          <w:b/>
          <w:bCs/>
        </w:rPr>
        <w:t xml:space="preserve">References</w:t>
      </w:r>
    </w:p>
    <w:p>
      <w:pPr>
        <w:pStyle w:val="BodyText"/>
      </w:pPr>
      <w:r>
        <w:t xml:space="preserve">[5] GOV.UK. (2026, July 7). Fiscal risks and sustainability — July 2026. GOV.UK. https://www.gov.uk/government/publications/fiscal-risks-and-sustainability-july-2026</w:t>
      </w:r>
      <w:r>
        <w:t xml:space="preserve"> </w:t>
      </w:r>
      <w:r>
        <w:t xml:space="preserve">[6] Stratford Herald. (2026, July 7). UK debt will grow</w:t>
      </w:r>
      <w:r>
        <w:t xml:space="preserve"> </w:t>
      </w:r>
      <w:r>
        <w:t xml:space="preserve">“explosively”</w:t>
      </w:r>
      <w:r>
        <w:t xml:space="preserve"> </w:t>
      </w:r>
      <w:r>
        <w:t xml:space="preserve">if not addressed by governments, warns OBR. Stratford Herald. https://www.stratford-herald.com/national/uk-debt-will-grow-explosively-if-not-addressed-by-governments-warns-obr-168964/</w:t>
      </w:r>
    </w:p>
    <w:p>
      <w:r>
        <w:pict>
          <v:rect style="width:0;height:1.5pt" o:hralign="center" o:hrstd="t" o:hr="t"/>
        </w:pict>
      </w:r>
    </w:p>
    <w:bookmarkEnd w:id="10"/>
    <w:bookmarkStart w:id="11" w:name="Xe2e582448855ad5716154ae7575087c3671faa9"/>
    <w:p>
      <w:pPr>
        <w:pStyle w:val="Heading3"/>
      </w:pPr>
      <w:r>
        <w:t xml:space="preserve">Halifax house prices rise 0.2% in June, first monthly gain in four months</w:t>
      </w:r>
    </w:p>
    <w:p>
      <w:pPr>
        <w:pStyle w:val="FirstParagraph"/>
      </w:pPr>
      <w:r>
        <w:t xml:space="preserve">UK average house prices rose 0.2% month-on-month in June, the first monthly gain after three months of decline, according to the Halifax House Price Index published 7 July 2026. Annual growth held at roughly 2.1%.</w:t>
      </w:r>
    </w:p>
    <w:p>
      <w:pPr>
        <w:pStyle w:val="BodyText"/>
      </w:pPr>
      <w:r>
        <w:t xml:space="preserve">The uptick came against a squeezed household backdrop: the energy price cap rose 13% from 1 July, lifting bills for millions just as buyers weigh affordability. The lender attributed the modest recovery to steadier mortgage rates and resilient demand at the lower end of the market. The June reading is the last to carry the Halifax name — from July 2026 the series is rebranded the Lloyds House Price Index, with the methodology unchanged.</w:t>
      </w:r>
    </w:p>
    <w:p>
      <w:pPr>
        <w:pStyle w:val="BodyText"/>
      </w:pPr>
      <w:r>
        <w:rPr>
          <w:b/>
          <w:bCs/>
        </w:rPr>
        <w:t xml:space="preserve">References</w:t>
      </w:r>
    </w:p>
    <w:p>
      <w:pPr>
        <w:pStyle w:val="BodyText"/>
      </w:pPr>
      <w:r>
        <w:t xml:space="preserve">[7] RTTNews. (2026, July 7). UK Halifax house prices rise for first time in four months. RTTNews. https://www.rttnews.com/3665042/uk-halifax-house-prices-rise-for-first-time-in-four-months.aspx</w:t>
      </w:r>
      <w:r>
        <w:t xml:space="preserve"> </w:t>
      </w:r>
      <w:r>
        <w:t xml:space="preserve">[8] Mortgage Finance Gazette. (2026, July 7). House prices rise 0.2% in June — Lloyds HPI. Mortgage Finance Gazette. https://www.mortgagefinancegazette.com/lending-news/house-prices-rise-0-2-in-june-lloyds-hpi-07-07-2026/</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b4114a50a786e590af6ef5bad08da268c26b2e8"/>
    <w:p>
      <w:pPr>
        <w:pStyle w:val="Heading3"/>
      </w:pPr>
      <w:r>
        <w:t xml:space="preserve">Starmer heads to Ankara NATO summit, likely his last before Labour handover to Burnham</w:t>
      </w:r>
    </w:p>
    <w:p>
      <w:pPr>
        <w:pStyle w:val="FirstParagraph"/>
      </w:pPr>
      <w:r>
        <w:t xml:space="preserve">Prime Minister Keir Starmer travelled to Ankara on 7 July 2026 for what is expected to be his final NATO summit before handing over the Labour leadership to Andy Burnham. The summit is the second NATO has held in Turkey, after Istanbul in 2004.</w:t>
      </w:r>
    </w:p>
    <w:p>
      <w:pPr>
        <w:pStyle w:val="BodyText"/>
      </w:pPr>
      <w:r>
        <w:t xml:space="preserve">The timing is stark. Starmer announced on 22 June that he would resign as Labour leader and Prime Minister after losing the confidence of his MPs; Burnham, who won the Makerfield by-election in June to secure a Commons seat, is the presumptive successor. Labour leadership nominations open on 9 July, and if Burnham stands unopposed he could be confirmed within days. Starmer arrives in Ankara with less than a fortnight likely left in Downing Street.</w:t>
      </w:r>
    </w:p>
    <w:p>
      <w:pPr>
        <w:pStyle w:val="BodyText"/>
      </w:pPr>
      <w:r>
        <w:t xml:space="preserve">The agenda is collective defence, the NATO 3% of GDP spending target, and conflicts on the alliance’s eastern flank. The Conservative opposition has pressed on whether a leadership transition mid-summit threatens continuity in the UK’s NATO commitments and its support for arms to Ukraine.</w:t>
      </w:r>
    </w:p>
    <w:p>
      <w:pPr>
        <w:pStyle w:val="BodyText"/>
      </w:pPr>
      <w:r>
        <w:rPr>
          <w:b/>
          <w:bCs/>
        </w:rPr>
        <w:t xml:space="preserve">References</w:t>
      </w:r>
    </w:p>
    <w:p>
      <w:pPr>
        <w:pStyle w:val="BodyText"/>
      </w:pPr>
      <w:r>
        <w:t xml:space="preserve">[9] Yahoo News UK. (2026, July 7). Starmer heads to NATO summit amid leadership questions. Yahoo News UK. https://uk.news.yahoo.com/starmer-heads-nato-summit-amid-213007333.html</w:t>
      </w:r>
      <w:r>
        <w:t xml:space="preserve"> </w:t>
      </w:r>
      <w:r>
        <w:t xml:space="preserve">[10] NATO. (2026, July 7). Overview — 2026 NATO Summit in Ankara. NATO. https://www.nato.int/en/news-and-events/events/2026/07/overview—2026-nato-summit-in-ankara-</w:t>
      </w:r>
    </w:p>
    <w:p>
      <w:r>
        <w:pict>
          <v:rect style="width:0;height:1.5pt" o:hralign="center" o:hrstd="t" o:hr="t"/>
        </w:pict>
      </w:r>
    </w:p>
    <w:bookmarkEnd w:id="13"/>
    <w:bookmarkStart w:id="14" w:name="X0148c34e9bd889c89c71f58f752183a49279c12"/>
    <w:p>
      <w:pPr>
        <w:pStyle w:val="Heading3"/>
      </w:pPr>
      <w:r>
        <w:t xml:space="preserve">Railways Bill clears Lords Second Reading, moving Great British Railways closer to law</w:t>
      </w:r>
    </w:p>
    <w:p>
      <w:pPr>
        <w:pStyle w:val="FirstParagraph"/>
      </w:pPr>
      <w:r>
        <w:t xml:space="preserve">The Railways Bill received its Second Reading in the House of Lords on 7 July 2026, advancing Labour’s flagship rail-renationalisation programme. The Bill establishes Great British Railways (GBR) as a publicly owned body to manage rail infrastructure and integrate operations across England, uniting track and train under a single</w:t>
      </w:r>
      <w:r>
        <w:t xml:space="preserve"> </w:t>
      </w:r>
      <w:r>
        <w:t xml:space="preserve">“directing mind”</w:t>
      </w:r>
      <w:r>
        <w:t xml:space="preserve">.</w:t>
      </w:r>
    </w:p>
    <w:p>
      <w:pPr>
        <w:pStyle w:val="BodyText"/>
      </w:pPr>
      <w:r>
        <w:t xml:space="preserve">The Bill has already passed the Commons and delivers on Labour’s 2024 manifesto pledge to bring passenger services into public ownership as private franchise contracts expire — avoiding compensation payouts to operators. That transfer is already under way: South Western Railway moved into public hands in May 2025, followed by c2c, Greater Anglia, West Midlands Trains and Govia Thameslink Railway through to May 2026. GBR would provide the permanent structure to hold them. Incoming PM Andy Burnham, a former Transport Secretary, inherits the programme at the point it becomes statutory.</w:t>
      </w:r>
    </w:p>
    <w:p>
      <w:pPr>
        <w:pStyle w:val="BodyText"/>
      </w:pPr>
      <w:r>
        <w:rPr>
          <w:b/>
          <w:bCs/>
        </w:rPr>
        <w:t xml:space="preserve">References</w:t>
      </w:r>
    </w:p>
    <w:p>
      <w:pPr>
        <w:pStyle w:val="BodyText"/>
      </w:pPr>
      <w:r>
        <w:t xml:space="preserve">[11] UK Parliament. (2026, July 7). Railways Bill to be debated in the Lords. UK Parliament. https://www.parliament.uk/business/news/2026/july-2026/railways-bill-house-of-lords-second-reading2/</w:t>
      </w:r>
      <w:r>
        <w:t xml:space="preserve"> </w:t>
      </w:r>
      <w:r>
        <w:t xml:space="preserve">[12] Hansard Society. (2026, July 6). Parliament Matters bulletin — 6 July 2026. Hansard Society. https://www.hansardsociety.org.uk/news/parliament-matters-bulletin-6-july-2026</w:t>
      </w:r>
    </w:p>
    <w:p>
      <w:r>
        <w:pict>
          <v:rect style="width:0;height:1.5pt" o:hralign="center" o:hrstd="t" o:hr="t"/>
        </w:pict>
      </w:r>
    </w:p>
    <w:bookmarkEnd w:id="14"/>
    <w:bookmarkStart w:id="15" w:name="X3c90e7fdbc5d9f227497fbd8670e515938cf96b"/>
    <w:p>
      <w:pPr>
        <w:pStyle w:val="Heading3"/>
      </w:pPr>
      <w:r>
        <w:t xml:space="preserve">Commons considers Lords amendments to National Security (State Threats) Bill</w:t>
      </w:r>
    </w:p>
    <w:p>
      <w:pPr>
        <w:pStyle w:val="FirstParagraph"/>
      </w:pPr>
      <w:r>
        <w:t xml:space="preserve">The House of Commons considered Lords amendments to the National Security (State Threats) Bill on 7 July 2026, bringing legislation to counter hostile state activity within reach of Royal Assent. The Bill strengthens powers against foreign interference, espionage, and sabotage of critical infrastructure, and creates a category of designated organisations linked to foreign state threats that it becomes an offence to support or benefit from.</w:t>
      </w:r>
    </w:p>
    <w:p>
      <w:pPr>
        <w:pStyle w:val="BodyText"/>
      </w:pPr>
      <w:r>
        <w:t xml:space="preserve">The Lords returned the Bill with amendments on judicial oversight, tighter</w:t>
      </w:r>
      <w:r>
        <w:t xml:space="preserve"> </w:t>
      </w:r>
      <w:r>
        <w:t xml:space="preserve">“foreign principal”</w:t>
      </w:r>
      <w:r>
        <w:t xml:space="preserve"> </w:t>
      </w:r>
      <w:r>
        <w:t xml:space="preserve">definitions, and whistleblower protections, alongside a defence carved out for those carrying out humanitarian activities. The Bill has drawn broad cross-party support, though some peers and civil-liberties groups have pressed on proportionality — whether the designation powers reach too widely. Clearing the Commons stage leaves the Bill close to becoming law.</w:t>
      </w:r>
    </w:p>
    <w:p>
      <w:pPr>
        <w:pStyle w:val="BodyText"/>
      </w:pPr>
      <w:r>
        <w:rPr>
          <w:b/>
          <w:bCs/>
        </w:rPr>
        <w:t xml:space="preserve">References</w:t>
      </w:r>
    </w:p>
    <w:p>
      <w:pPr>
        <w:pStyle w:val="BodyText"/>
      </w:pPr>
      <w:r>
        <w:t xml:space="preserve">[13] UK Parliament. (2026, July 7). July 2026 — parliamentary business news. UK Parliament. https://www.parliament.uk/business/news/2026/july-2026/</w:t>
      </w:r>
      <w:r>
        <w:t xml:space="preserve"> </w:t>
      </w:r>
      <w:r>
        <w:t xml:space="preserve">[14] House of Commons Library. (2026, July 6). The National Security (State Threats) Bill. House of Commons Library. https://commonslibrary.parliament.uk/research-briefings/cbp-10896/</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bc98f9837ee6c7cfff6e87a709fea45ee65f957"/>
    <w:p>
      <w:pPr>
        <w:pStyle w:val="Heading3"/>
      </w:pPr>
      <w:r>
        <w:t xml:space="preserve">More than 60 UK businesses sign government’s Cyber Resilience Pledge</w:t>
      </w:r>
    </w:p>
    <w:p>
      <w:pPr>
        <w:pStyle w:val="FirstParagraph"/>
      </w:pPr>
      <w:r>
        <w:t xml:space="preserve">More than 60 businesses signed the UK government’s Cyber Resilience Pledge at its launch on 7 July 2026, a voluntary commitment to baseline defences hosted through the Department for Science, Innovation and Technology (DSIT). Founding signatories span financial services, critical infrastructure, retail and technology, including M&amp;S, Nationwide, ITV, Microsoft UK and Cloudflare.</w:t>
      </w:r>
    </w:p>
    <w:p>
      <w:pPr>
        <w:pStyle w:val="BodyText"/>
      </w:pPr>
      <w:r>
        <w:t xml:space="preserve">Science and Technology Secretary Liz Kendall announced the initiative, which asks firms to adopt practical measures — multi-factor authentication, staff training, patching and incident-response planning — and to treat cyber risk as a board-level responsibility. The pledge is a voluntary bridge ahead of the Cyber Security and Resilience Act, the most significant overhaul of UK cyber regulation since the 2018 NIS framework, currently moving through Parliament. Ministers used the launch to press firms to strengthen supply-chain controls and speed up incident reporting.</w:t>
      </w:r>
    </w:p>
    <w:p>
      <w:pPr>
        <w:pStyle w:val="BodyText"/>
      </w:pPr>
      <w:r>
        <w:rPr>
          <w:b/>
          <w:bCs/>
        </w:rPr>
        <w:t xml:space="preserve">References</w:t>
      </w:r>
    </w:p>
    <w:p>
      <w:pPr>
        <w:pStyle w:val="BodyText"/>
      </w:pPr>
      <w:r>
        <w:t xml:space="preserve">[15] GOV.UK. (2026, July 7). Businesses across Britain sign up to Cyber Resilience Pledge as ministers urge firms to strengthen cyber defences. GOV.UK. https://www.gov.uk/government/news/businesses-across-britain-sign-up-to-cyber-resilience-pledge-as-ministers-urge-firms-to-strengthen-cyber-defences</w:t>
      </w:r>
      <w:r>
        <w:t xml:space="preserve"> </w:t>
      </w:r>
      <w:r>
        <w:t xml:space="preserve">[16] IT Pro. (2026, July 7). UK’s Cyber Resilience Pledge gathers momentum as 60 firms sign up to bolster capabilities. IT Pro. https://www.itpro.com/security/uks-cyber-resilience-pledge-gathers-momentum-as-60-firms-sign-up-to-bolster-capabilities</w:t>
      </w:r>
    </w:p>
    <w:p>
      <w:r>
        <w:pict>
          <v:rect style="width:0;height:1.5pt" o:hralign="center" o:hrstd="t" o:hr="t"/>
        </w:pict>
      </w:r>
    </w:p>
    <w:bookmarkEnd w:id="17"/>
    <w:bookmarkStart w:id="18" w:name="Xc41086162cc6a428be9fea2a1b28a1c20e45ca4"/>
    <w:p>
      <w:pPr>
        <w:pStyle w:val="Heading3"/>
      </w:pPr>
      <w:r>
        <w:t xml:space="preserve">EnSilica opens £1m retail offer to complete ~£15m raise for satellite chip push</w:t>
      </w:r>
    </w:p>
    <w:p>
      <w:pPr>
        <w:pStyle w:val="FirstParagraph"/>
      </w:pPr>
      <w:r>
        <w:t xml:space="preserve">EnSilica plc (AIM: ENSI), the Oxford-headquartered fabless ASIC chipmaker, opened a retail share offer on the morning of 7 July 2026 to raise up to £1 million, the final leg of a broader equity fundraise of up to roughly £15 million gross. The retail bookbuild opened at 7:05 a.m. at 91 pence per share for up to 1,098,901 shares.</w:t>
      </w:r>
    </w:p>
    <w:p>
      <w:pPr>
        <w:pStyle w:val="BodyText"/>
      </w:pPr>
      <w:r>
        <w:t xml:space="preserve">The institutional placing and subscription closed oversubscribed on 6 July, raising about £14 million through 15,381,315 placing shares; CFO Kristoff Rademan subscribed for 3,300 shares, and substantial shareholder Esterhuyzen Limited took 6 million shares, lifting its stake to about 16.58%. The money arrives in two tranches — a first of roughly £10.73 million expected to trade on AIM around 10 July, and a second of about £3.27 million conditional on a general meeting around 27 July.</w:t>
      </w:r>
    </w:p>
    <w:p>
      <w:pPr>
        <w:pStyle w:val="BodyText"/>
      </w:pPr>
      <w:r>
        <w:t xml:space="preserve">CEO Ian Lankshear said the company had</w:t>
      </w:r>
      <w:r>
        <w:t xml:space="preserve"> </w:t>
      </w:r>
      <w:r>
        <w:t xml:space="preserve">“never had a stronger pipeline of opportunities”</w:t>
      </w:r>
      <w:r>
        <w:t xml:space="preserve">. Proceeds fund satellite communications ASSPs, satellite payload and PNT engineering, photonics programmes and working capital. The raise follows a record financial year ended May 2026 and two European satellite-operator wins — a user-terminal contract potentially worth more than US$50m and a US$3.8m payload deal. EnSilica raised £10m in March 2026, reports lifetime supply revenues of US$375m and a pipeline of US$600m, and was previously awarded £10.38m by the UK Space Agency for satellite broadband terminal chips.</w:t>
      </w:r>
    </w:p>
    <w:p>
      <w:pPr>
        <w:pStyle w:val="BodyText"/>
      </w:pPr>
      <w:r>
        <w:rPr>
          <w:b/>
          <w:bCs/>
        </w:rPr>
        <w:t xml:space="preserve">References</w:t>
      </w:r>
    </w:p>
    <w:p>
      <w:pPr>
        <w:pStyle w:val="BodyText"/>
      </w:pPr>
      <w:r>
        <w:t xml:space="preserve">[17] Investegate. (2026, July 7). Retail offer to raise up to £1 million. Investegate. https://www.investegate.co.uk/announcement/rns/ensilica–ensi/retail-offer-to-raise-up-to-1-million-/9655044</w:t>
      </w:r>
      <w:r>
        <w:t xml:space="preserve"> </w:t>
      </w:r>
      <w:r>
        <w:t xml:space="preserve">[18] Proactive Investors. (2026, July 7). EnSilica raises £14m to support expansion. Proactive Investors. https://www.proactiveinvestors.co.uk/companies/news/1095028/ensilica-raises-14m-to-support-expansion-1095028.html</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2" w:name="society-livelihood"/>
    <w:p>
      <w:pPr>
        <w:pStyle w:val="Heading2"/>
      </w:pPr>
      <w:r>
        <w:t xml:space="preserve">4. Society &amp; Livelihood</w:t>
      </w:r>
    </w:p>
    <w:bookmarkStart w:id="20" w:name="X3cce6e7099dcbefec64e2ae6accdd6fcbfc442e"/>
    <w:p>
      <w:pPr>
        <w:pStyle w:val="Heading3"/>
      </w:pPr>
      <w:r>
        <w:t xml:space="preserve">Justice Committee hears evidence on Immigration and Asylum Bill appeals overhaul</w:t>
      </w:r>
    </w:p>
    <w:p>
      <w:pPr>
        <w:pStyle w:val="FirstParagraph"/>
      </w:pPr>
      <w:r>
        <w:t xml:space="preserve">The Commons Justice Committee took oral evidence on 7 July 2026 (14:30, Grimond Room, Portcullis House) on the appeals provisions of the Immigration and Asylum Bill, questioning legal experts over a plan to strip immigration appeals out of the Upper Tribunal. Witnesses were Nadine Finch, a former Upper Tribunal judge; Professor Joe Tomlinson, Professor of Administrative Law at King’s College London; and Alison Stanley, Senior Consultant at Bindmans LLP, appearing for The Law Society.</w:t>
      </w:r>
    </w:p>
    <w:p>
      <w:pPr>
        <w:pStyle w:val="BodyText"/>
      </w:pPr>
      <w:r>
        <w:t xml:space="preserve">The Bill, introduced 30 June 2026, would abolish Upper Tribunal-based appeals and replace them with a new Independent Immigration Appeals Authority (IIAA). The Law Society and Bar Council have raised concerns about the new body’s independence from government. The scrutiny lands against a hard backdrop: in the year to March 2026 the UK recorded 44,000 detected illegal entries, 39,000 of them by small boat. The Home Secretary appeared the same day before the Lords Justice and Home Affairs Committee. The Bill’s Commons Second Reading is scheduled for 13 July 2026.</w:t>
      </w:r>
    </w:p>
    <w:p>
      <w:pPr>
        <w:pStyle w:val="BodyText"/>
      </w:pPr>
      <w:r>
        <w:rPr>
          <w:b/>
          <w:bCs/>
        </w:rPr>
        <w:t xml:space="preserve">References</w:t>
      </w:r>
    </w:p>
    <w:p>
      <w:pPr>
        <w:pStyle w:val="BodyText"/>
      </w:pPr>
      <w:r>
        <w:t xml:space="preserve">[19] UK Parliament Committees. (2026, July 7). Formal meeting (oral evidence session) — Justice Committee. UK Parliament. https://committees.parliament.uk/event/27812/formal-meeting-oral-evidence-session/</w:t>
      </w:r>
      <w:r>
        <w:t xml:space="preserve"> </w:t>
      </w:r>
      <w:r>
        <w:t xml:space="preserve">[20] Hansard Society. (2026, July 6). Parliament Matters bulletin — 6 July 2026. Hansard Society. https://www.hansardsociety.org.uk/news/parliament-matters-bulletin-6-july-2026</w:t>
      </w:r>
    </w:p>
    <w:p>
      <w:r>
        <w:pict>
          <v:rect style="width:0;height:1.5pt" o:hralign="center" o:hrstd="t" o:hr="t"/>
        </w:pict>
      </w:r>
    </w:p>
    <w:bookmarkEnd w:id="20"/>
    <w:bookmarkStart w:id="21" w:name="X16a6aa9c2ddea3a7318a8645b5d0a12d7f4f319"/>
    <w:p>
      <w:pPr>
        <w:pStyle w:val="Heading3"/>
      </w:pPr>
      <w:r>
        <w:t xml:space="preserve">Health Bill committee reaches Day 7 of clause-by-clause scrutiny</w:t>
      </w:r>
    </w:p>
    <w:p>
      <w:pPr>
        <w:pStyle w:val="FirstParagraph"/>
      </w:pPr>
      <w:r>
        <w:t xml:space="preserve">The Health Bill Public Bill Committee met on 7 July 2026 for the seventh day of clause-by-clause scrutiny, sitting in morning and afternoon sessions at 09:25 and 14:00. Day 7 focused on NHS board structures, integrated care boards (ICBs) and workforce planning.</w:t>
      </w:r>
    </w:p>
    <w:p>
      <w:pPr>
        <w:pStyle w:val="BodyText"/>
      </w:pPr>
      <w:r>
        <w:t xml:space="preserve">The Health Bill 2026-27 establishes a reformed integrated care framework, restructures NHS England’s relationship with trusts, and introduces new accountability mechanisms. It ranks as the most significant NHS reform since the 2012 Health and Social Care Act — the last wholesale reorganisation of the service’s structure — and the committee’s line-by-line work will shape how far the new architecture reaches before the Bill returns to the floor of the House.</w:t>
      </w:r>
    </w:p>
    <w:p>
      <w:pPr>
        <w:pStyle w:val="BodyText"/>
      </w:pPr>
      <w:r>
        <w:rPr>
          <w:b/>
          <w:bCs/>
        </w:rPr>
        <w:t xml:space="preserve">References</w:t>
      </w:r>
    </w:p>
    <w:p>
      <w:pPr>
        <w:pStyle w:val="BodyText"/>
      </w:pPr>
      <w:r>
        <w:t xml:space="preserve">[21] UK Parliament. (2026, July 7). Health Bill — parliamentary bills. UK Parliament. https://bills.parliament.uk/bills/4124</w:t>
      </w:r>
      <w:r>
        <w:t xml:space="preserve"> </w:t>
      </w:r>
      <w:r>
        <w:t xml:space="preserve">[22] Hansard Society. (2026, July 6). Parliament Matters bulletin — 6 July 2026. Hansard Society. https://www.hansardsociety.org.uk/news/parliament-matters-bulletin-6-july-2026</w:t>
      </w:r>
    </w:p>
    <w:p>
      <w:r>
        <w:pict>
          <v:rect style="width:0;height:1.5pt" o:hralign="center" o:hrstd="t" o:hr="t"/>
        </w:pict>
      </w:r>
    </w:p>
    <w:p>
      <w:pPr>
        <w:pStyle w:val="FirstParagraph"/>
      </w:pPr>
      <w:r>
        <w:rPr>
          <w:i/>
          <w:iCs/>
        </w:rPr>
        <w:t xml:space="preserve">Note: only 2 stories met T1-T4 standards for this category today.</w:t>
      </w:r>
    </w:p>
    <w:bookmarkEnd w:id="21"/>
    <w:bookmarkEnd w:id="22"/>
    <w:bookmarkStart w:id="24" w:name="corporate-ipo-ma"/>
    <w:p>
      <w:pPr>
        <w:pStyle w:val="Heading2"/>
      </w:pPr>
      <w:r>
        <w:t xml:space="preserve">5. Corporate IPO &amp; M&amp;A</w:t>
      </w:r>
    </w:p>
    <w:bookmarkStart w:id="23" w:name="X9d176a7757562fff087527b96e80ad7b88b3ea3"/>
    <w:p>
      <w:pPr>
        <w:pStyle w:val="Heading3"/>
      </w:pPr>
      <w:r>
        <w:t xml:space="preserve">DCC’s £5.7bn KKR/ECP takeover faces shareholder revolt ahead of 8 July deadline</w:t>
      </w:r>
    </w:p>
    <w:p>
      <w:pPr>
        <w:pStyle w:val="FirstParagraph"/>
      </w:pPr>
      <w:r>
        <w:t xml:space="preserve">DCC plc faces mounting shareholder opposition to a contested £5.7bn takeover by KKR and ECP (Energy Capital Partners) as a key vote deadline of 8 July 2026 approaches, the Irish Times reported on 7 July 2026. Major investors argue the offer undervalues the company.</w:t>
      </w:r>
    </w:p>
    <w:p>
      <w:pPr>
        <w:pStyle w:val="BodyText"/>
      </w:pPr>
      <w:r>
        <w:t xml:space="preserve">DCC is a Dublin-headquartered but FTSE 250-listed energy and technology distribution conglomerate, operating across the UK, Ireland and Europe in energy supply, healthcare distribution and technology products. Several of its largest shareholders — including Fidelity International, the group’s biggest holder with about 6.9%, alongside Ninety One and Aviva Investors — have come out against the bid, contending it fails to capture DCC’s long-term growth potential; Fidelity’s portfolio manager has said he would not accept anything below £70 per share in cash. The private-equity buyers face a 5pm 8 July</w:t>
      </w:r>
      <w:r>
        <w:t xml:space="preserve"> </w:t>
      </w:r>
      <w:r>
        <w:t xml:space="preserve">“put up or shut up”</w:t>
      </w:r>
      <w:r>
        <w:t xml:space="preserve"> </w:t>
      </w:r>
      <w:r>
        <w:t xml:space="preserve">deadline set by the Irish Takeover Panel. Completion would delist DCC from the LSE and transfer control to US private equity.</w:t>
      </w:r>
    </w:p>
    <w:p>
      <w:pPr>
        <w:pStyle w:val="BodyText"/>
      </w:pPr>
      <w:r>
        <w:rPr>
          <w:b/>
          <w:bCs/>
        </w:rPr>
        <w:t xml:space="preserve">References</w:t>
      </w:r>
    </w:p>
    <w:p>
      <w:pPr>
        <w:pStyle w:val="BodyText"/>
      </w:pPr>
      <w:r>
        <w:t xml:space="preserve">[23] The Irish Times. (2026, July 7). With shareholders lining up to oppose its takeover, this is an important week for DCC. The Irish Times. https://www.irishtimes.com/business/2026/07/07/with-shareholders-lining-up-to-oppose-its-takeover-this-is-an-important-week-for-dcc/</w:t>
      </w:r>
      <w:r>
        <w:t xml:space="preserve"> </w:t>
      </w:r>
      <w:r>
        <w:t xml:space="preserve">[24] The Irish Times. (2026, July 1). DCC’s top shareholder Fidelity International comes out against raised takeover proposal. The Irish Times. https://www.irishtimes.com/business/2026/07/01/dccs-top-shareholder-fidelity-international-comes-out-against-raised-takeover-proposal/</w:t>
      </w:r>
    </w:p>
    <w:p>
      <w:r>
        <w:pict>
          <v:rect style="width:0;height:1.5pt" o:hralign="center" o:hrstd="t" o:hr="t"/>
        </w:pict>
      </w:r>
    </w:p>
    <w:p>
      <w:pPr>
        <w:pStyle w:val="FirstParagraph"/>
      </w:pPr>
      <w:r>
        <w:rPr>
          <w:i/>
          <w:iCs/>
        </w:rPr>
        <w:t xml:space="preserve">Note: only 1 story met T1-T4 standards for this category today.</w:t>
      </w:r>
    </w:p>
    <w:bookmarkEnd w:id="23"/>
    <w:bookmarkEnd w:id="24"/>
    <w:bookmarkStart w:id="26" w:name="other-notable-events"/>
    <w:p>
      <w:pPr>
        <w:pStyle w:val="Heading2"/>
      </w:pPr>
      <w:r>
        <w:t xml:space="preserve">6. Other Notable Events</w:t>
      </w:r>
    </w:p>
    <w:bookmarkStart w:id="25" w:name="X829f78fa2b6058d3eddbaa15e1ff45aa82691ac"/>
    <w:p>
      <w:pPr>
        <w:pStyle w:val="Heading3"/>
      </w:pPr>
      <w:r>
        <w:t xml:space="preserve">London marks 21st anniversary of 7/7 bombings with Hyde Park memorial</w:t>
      </w:r>
    </w:p>
    <w:p>
      <w:pPr>
        <w:pStyle w:val="FirstParagraph"/>
      </w:pPr>
      <w:r>
        <w:t xml:space="preserve">The 21st anniversary memorial service for the 7 July 2005 London bombings was held on 7 July 2026 at Hyde Park, with a livestream beginning at 11:50 and a minute’s silence at 11:58. The 2005 attacks killed 52 people and injured over 700 in coordinated suicide bombings on the London Underground and a bus.</w:t>
      </w:r>
    </w:p>
    <w:p>
      <w:pPr>
        <w:pStyle w:val="BodyText"/>
      </w:pPr>
      <w:r>
        <w:t xml:space="preserve">The service was organised by the Greater London Authority with survivors’ groups and the 7/7 Memorial Trust. The Mayor of London and representatives of the emergency services laid wreaths at the permanent memorial — 52 stainless-steel columns on the east side of Hyde Park, grouped to reflect the four attack sites at Aldgate, Edgware Road, King’s Cross and Tavistock Square. This year’s commemoration falls as the National Security (State Threats) Bill, which strengthens the UK’s powers against hostile threats, moves through its final parliamentary stages.</w:t>
      </w:r>
    </w:p>
    <w:p>
      <w:pPr>
        <w:pStyle w:val="BodyText"/>
      </w:pPr>
      <w:r>
        <w:rPr>
          <w:b/>
          <w:bCs/>
        </w:rPr>
        <w:t xml:space="preserve">References</w:t>
      </w:r>
    </w:p>
    <w:p>
      <w:pPr>
        <w:pStyle w:val="BodyText"/>
      </w:pPr>
      <w:r>
        <w:t xml:space="preserve">[25] Greater London Authority. (2026, July 7). 7/7 Memorial Service 2026. London City Hall. https://www.london.gov.uk/events/77-memorial-service-2026</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2026-07-07T13:27:40Z</dcterms:created>
  <dcterms:modified xsi:type="dcterms:W3CDTF">2026-07-07T13:27:40Z</dcterms:modified>
</cp:coreProperties>
</file>

<file path=docProps/custom.xml><?xml version="1.0" encoding="utf-8"?>
<Properties xmlns="http://schemas.openxmlformats.org/officeDocument/2006/custom-properties" xmlns:vt="http://schemas.openxmlformats.org/officeDocument/2006/docPropsVTypes"/>
</file>