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中国每日热点新闻-2026年6月16日"/>
    <w:p>
      <w:pPr>
        <w:pStyle w:val="Heading1"/>
      </w:pPr>
      <w:r>
        <w:rPr>
          <w:rFonts w:hint="eastAsia"/>
        </w:rPr>
        <w:t xml:space="preserve">中国每日热点新闻</w:t>
      </w:r>
      <w:r>
        <w:t xml:space="preserve"> — </w:t>
      </w:r>
      <w:r>
        <w:rPr>
          <w:rFonts w:hint="eastAsia"/>
        </w:rPr>
        <w:t xml:space="preserve">2026年6月16日</w:t>
      </w:r>
    </w:p>
    <w:p>
      <w:pPr>
        <w:pStyle w:val="FirstParagraph"/>
      </w:pPr>
      <w:r>
        <w:rPr>
          <w:rFonts w:hint="eastAsia"/>
        </w:rPr>
        <w:t xml:space="preserve">国家统计局当日公布5月数据，社会消费品零售总额同比下降0.6%，为新冠疫情以来首次月度负增长，工业增加值与高新技术制造业则双双高于预期。境外资金时隔13个月重新净增持境内人民币债券，财政部同日在港启动第三批离岸人民币国债招标。北京方面，习近平在人民大会堂会见缅甸总统敏昂莱，两国签署18项合作谅解备忘录。产业层面，五角大楼最新版“1260H”涉军企业清单将阿里巴巴、百度、比亚迪与宇树科技列入，欧洲媒体集中报道解放军在AI、无人机蜂群与电子战领域的推进路径。资本市场方面，华润新能源启动深市A股IPO初步询价，募资规模约362亿元人民币，刷新深交所IPO纪录并成为该所首单红筹上市。</w:t>
      </w:r>
    </w:p>
    <w:bookmarkStart w:id="11" w:name="一经济与市场"/>
    <w:p>
      <w:pPr>
        <w:pStyle w:val="Heading2"/>
      </w:pPr>
      <w:r>
        <w:rPr>
          <w:rFonts w:hint="eastAsia"/>
        </w:rPr>
        <w:t xml:space="preserve">一、经济与市场</w:t>
      </w:r>
    </w:p>
    <w:bookmarkStart w:id="9" w:name="月社会消费品零售总额三年多来首次同比下滑工业增加值意外加速"/>
    <w:p>
      <w:pPr>
        <w:pStyle w:val="Heading3"/>
      </w:pPr>
      <w:r>
        <w:rPr>
          <w:rFonts w:hint="eastAsia"/>
        </w:rPr>
        <w:t xml:space="preserve">5月社会消费品零售总额三年多来首次同比下滑，工业增加值意外加速</w:t>
      </w:r>
    </w:p>
    <w:p>
      <w:pPr>
        <w:pStyle w:val="FirstParagraph"/>
      </w:pPr>
      <w:r>
        <w:rPr>
          <w:rFonts w:hint="eastAsia"/>
        </w:rPr>
        <w:t xml:space="preserve">国家统计局6月16日发布的数据显示，5月社会消费品零售总额同比下降0.6%，扭转4月0.2%的增长，并打破自2022年12月以来连续保持的正增长纪录，亦显著低于路透调查预期的0.0%。这是新冠疫情以来内地居民消费首次出现月度收缩。</w:t>
      </w:r>
    </w:p>
    <w:p>
      <w:pPr>
        <w:pStyle w:val="BodyText"/>
      </w:pPr>
      <w:r>
        <w:rPr>
          <w:rFonts w:hint="eastAsia"/>
        </w:rPr>
        <w:t xml:space="preserve">国家统计局新闻发言人付凌晖将疲弱归因于“部分地区出现高温、强降雨等极端天气以及新旧动能转换”。同期汽车板块继续承压，国内汽车销量已连续第八个月同比下滑，与去年“以旧换新”补贴退坡的时间窗口吻合——补贴退坡此前已被多家券商和官方智库列为今年消费走弱的主因之一。</w:t>
      </w:r>
    </w:p>
    <w:p>
      <w:pPr>
        <w:pStyle w:val="BodyText"/>
      </w:pPr>
      <w:r>
        <w:rPr>
          <w:rFonts w:hint="eastAsia"/>
        </w:rPr>
        <w:t xml:space="preserve">工业端则呈现相反走势。5月规模以上工业增加值同比增长4.5%，较4月的4.1%加速，并高于路透预期的4.3%；其中高技术制造业同比增长15.1%，延续年内“出口拉动</w:t>
      </w:r>
      <w:r>
        <w:t xml:space="preserve"> + </w:t>
      </w:r>
      <w:r>
        <w:rPr>
          <w:rFonts w:hint="eastAsia"/>
        </w:rPr>
        <w:t xml:space="preserve">高端制造”的结构性强势。海关数据先于统计局发布——5月出口同比激增19.4%至创纪录的3768亿美元，进口增长27.4%至2714亿美元，外需在抢出口窗口下继续超预期。</w:t>
      </w:r>
    </w:p>
    <w:p>
      <w:pPr>
        <w:pStyle w:val="BodyText"/>
      </w:pPr>
      <w:r>
        <w:rPr>
          <w:rFonts w:hint="eastAsia"/>
        </w:rPr>
        <w:t xml:space="preserve">固定资产投资数据同样转差。1—5月固定资产投资同比下降4.1%，较1—4月1.6%的累计降幅进一步恶化；房地产开发投资1—5月同比下降16.2%，前值为下降13.7%；服务业消费1—5月同比增长5.4%。5月城镇调查失业率小幅回落至5.1%，4月为5.2%。</w:t>
      </w:r>
    </w:p>
    <w:p>
      <w:pPr>
        <w:pStyle w:val="BodyText"/>
      </w:pPr>
      <w:r>
        <w:rPr>
          <w:rFonts w:hint="eastAsia"/>
        </w:rPr>
        <w:t xml:space="preserve">经济学家张智威认为，疲弱的零售数据“将向政府施加压力，迫使其考虑出台稳定消费的政策措施”。报道援引的上海酒吧经理冯杰奥的观察则更直白——“消费者已不像以前那样冲动消费”。报道援引分析指出，“以旧换新”补贴效应正逐步消退，对零售额的边际拉动减弱。</w:t>
      </w:r>
    </w:p>
    <w:p>
      <w:pPr>
        <w:pStyle w:val="BodyText"/>
      </w:pPr>
      <w:r>
        <w:rPr>
          <w:b/>
          <w:bCs/>
        </w:rPr>
        <w:t xml:space="preserve">References</w:t>
      </w:r>
    </w:p>
    <w:p>
      <w:pPr>
        <w:pStyle w:val="BodyText"/>
      </w:pPr>
      <w:r>
        <w:t xml:space="preserve">[1] Zhang, E., Yao, K., &amp; Li, Q. (2026, June 16). China’s May retail sales fall for first time in over three years. Investing.com. https://www.investing.com/news/economy-news/chinas-may-retail-sales-fall-for-first-time-in-over-three-years-4743743</w:t>
      </w:r>
      <w:r>
        <w:t xml:space="preserve"> </w:t>
      </w:r>
      <w:r>
        <w:t xml:space="preserve">[2] CNBC. (2026, June 16). China economy weakens further in May as retail sales post first drop in over three years. CNBC. https://www.cnbc.com/2026/06/16/china-economy-may-retail-sales-industrial-output-fixed-asset-investment-.html</w:t>
      </w:r>
      <w:r>
        <w:t xml:space="preserve"> </w:t>
      </w:r>
      <w:r>
        <w:t xml:space="preserve">[3] Bloomberg. (2026, June 16). China’s first consumer spending drop since Covid imperils growth. Bloomberg. https://www.bloomberg.com/news/articles/2026-06-16/china-s-first-consumer-spending-drop-since-covid-imperils-growth</w:t>
      </w:r>
      <w:r>
        <w:t xml:space="preserve"> </w:t>
      </w:r>
      <w:r>
        <w:t xml:space="preserve">[4] eMarketer. (2026, June 16). China retail sales jumped 6.4% in May, buoyed by subsidies and sales. eMarketer. https://www.emarketer.com/content/china-may-retail-sales-buoyed-by-subsidies-discounts</w:t>
      </w:r>
    </w:p>
    <w:p>
      <w:r>
        <w:pict>
          <v:rect style="width:0;height:1.5pt" o:hralign="center" o:hrstd="t" o:hr="t"/>
        </w:pict>
      </w:r>
    </w:p>
    <w:bookmarkEnd w:id="9"/>
    <w:bookmarkStart w:id="10" w:name="境外机构5月净增持境内人民币债券900亿元结束连续13个月外流"/>
    <w:p>
      <w:pPr>
        <w:pStyle w:val="Heading3"/>
      </w:pPr>
      <w:r>
        <w:rPr>
          <w:rFonts w:hint="eastAsia"/>
        </w:rPr>
        <w:t xml:space="preserve">境外机构5月净增持境内人民币债券900亿元，结束连续13个月外流</w:t>
      </w:r>
    </w:p>
    <w:p>
      <w:pPr>
        <w:pStyle w:val="FirstParagraph"/>
      </w:pPr>
      <w:r>
        <w:rPr>
          <w:rFonts w:hint="eastAsia"/>
        </w:rPr>
        <w:t xml:space="preserve">中国人民银行上海总部数据显示，5月境外机构持有的银行间市场债券规模环比增加900亿元人民币（约133亿美元），是自2025年4月以来首次月度净增持，结束了长达13个月的连续外流。月末境外机构持有量回升至3.21万亿元人民币。</w:t>
      </w:r>
    </w:p>
    <w:p>
      <w:pPr>
        <w:pStyle w:val="BodyText"/>
      </w:pPr>
      <w:r>
        <w:rPr>
          <w:rFonts w:hint="eastAsia"/>
        </w:rPr>
        <w:t xml:space="preserve">结构上，境外机构对中国国债的持仓单月增加610亿元，为2023年12月以来最大单月增量，显示主权类配置资金的回流是本轮净流入的主导力量。彭博6月16日援引央行上海总部口径报道这一数据。</w:t>
      </w:r>
    </w:p>
    <w:p>
      <w:pPr>
        <w:pStyle w:val="BodyText"/>
      </w:pPr>
      <w:r>
        <w:rPr>
          <w:rFonts w:hint="eastAsia"/>
        </w:rPr>
        <w:t xml:space="preserve">资金回流与离岸人民币利率走势及中美利差收敛密切相关。债券通自2017年7月开通以来，已成为境外机构进入中国银行间债市的主渠道；据中国人民银行此前披露，截至2025年8月末，已有来自80个国家和地区的逾1170家境外机构进入中国债券市场，持债规模约4万亿元人民币。今年以来，央行联合香港金管局陆续推出离岸债券回购、扩大可质押券范围等便利安排，并自7月11日起将债券通服务费下调25%，进一步压低境外机构的进入成本。</w:t>
      </w:r>
    </w:p>
    <w:p>
      <w:pPr>
        <w:pStyle w:val="BodyText"/>
      </w:pPr>
      <w:r>
        <w:rPr>
          <w:rFonts w:hint="eastAsia"/>
        </w:rPr>
        <w:t xml:space="preserve">与外资回流同步，财政部6月16日在香港启动2026年第三批离岸人民币国债招标，规模150亿元，为今年计划发行的840亿元额度中的最大单批。前两批分别在2月和4月发行，合计295亿元。香港作为离岸人民币国债的主要发行地，年内招标节奏的加快被市场解读为人民币国际化在债券维度上的延续。彭博指出，离岸国债发行与在岸债市的外资回流彼此呼应，是评估近期人民币资产配置吸引力的关键观察点。</w:t>
      </w:r>
    </w:p>
    <w:p>
      <w:pPr>
        <w:pStyle w:val="BodyText"/>
      </w:pPr>
      <w:r>
        <w:rPr>
          <w:b/>
          <w:bCs/>
        </w:rPr>
        <w:t xml:space="preserve">References</w:t>
      </w:r>
    </w:p>
    <w:p>
      <w:pPr>
        <w:pStyle w:val="BodyText"/>
      </w:pPr>
      <w:r>
        <w:t xml:space="preserve">[5] Bloomberg. (2026, June 16). Chinese bonds draw foreign funds in May after a year of outflows. Bloomberg. https://www.bloomberg.com/news/articles/2026-06-16/chinese-bonds-draw-foreign-funds-in-may-after-a-year-of-outflows</w:t>
      </w:r>
      <w:r>
        <w:t xml:space="preserve"> </w:t>
      </w:r>
      <w:r>
        <w:t xml:space="preserve">[6] People’s Bank of China. (2025, September 29). PBOC, CSRC and SAFE jointly issue the announcement on further supporting overseas institutional investors in conducting bond repurchase business in China’s bond market. People’s Bank of China. https://www.pbc.gov.cn/en/3688110/3688172/5552468/5855228/index.html</w:t>
      </w:r>
      <w:r>
        <w:t xml:space="preserve"> </w:t>
      </w:r>
      <w:r>
        <w:t xml:space="preserve">[7] Hong Kong Monetary Authority. (2025, August 25). Official launch of enhancement arrangements for offshore RMB bond repurchase business. Hong Kong Monetary Authority. https://www.hkma.gov.hk/eng/news-and-media/press-releases/2025/08/20250825-5/</w:t>
      </w:r>
    </w:p>
    <w:p>
      <w:r>
        <w:pict>
          <v:rect style="width:0;height:1.5pt" o:hralign="center" o:hrstd="t" o:hr="t"/>
        </w:pict>
      </w:r>
    </w:p>
    <w:bookmarkEnd w:id="10"/>
    <w:bookmarkEnd w:id="11"/>
    <w:bookmarkStart w:id="13" w:name="二政治与外交"/>
    <w:p>
      <w:pPr>
        <w:pStyle w:val="Heading2"/>
      </w:pPr>
      <w:r>
        <w:rPr>
          <w:rFonts w:hint="eastAsia"/>
        </w:rPr>
        <w:t xml:space="preserve">二、政治与外交</w:t>
      </w:r>
    </w:p>
    <w:bookmarkStart w:id="12" w:name="习近平在京会见敏昂莱中缅签署18项合作谅解备忘录"/>
    <w:p>
      <w:pPr>
        <w:pStyle w:val="Heading3"/>
      </w:pPr>
      <w:r>
        <w:rPr>
          <w:rFonts w:hint="eastAsia"/>
        </w:rPr>
        <w:t xml:space="preserve">习近平在京会见敏昂莱，中缅签署18项合作谅解备忘录</w:t>
      </w:r>
    </w:p>
    <w:p>
      <w:pPr>
        <w:pStyle w:val="FirstParagraph"/>
      </w:pPr>
      <w:r>
        <w:rPr>
          <w:rFonts w:hint="eastAsia"/>
        </w:rPr>
        <w:t xml:space="preserve">习近平6月16日在人民大会堂为缅甸总统敏昂莱（Min</w:t>
      </w:r>
      <w:r>
        <w:t xml:space="preserve"> Aung </w:t>
      </w:r>
      <w:r>
        <w:rPr>
          <w:rFonts w:hint="eastAsia"/>
        </w:rPr>
        <w:t xml:space="preserve">Hlaing）举行国事欢迎仪式，两国领导人随后进行不足一小时的闭门会谈，并见证签署18项合作谅解备忘录。这是敏昂莱在2025年12月至2026年1月有争议选举之后正式确立其权力以来的首次访华，行程为期五天，至6月19日结束。</w:t>
      </w:r>
    </w:p>
    <w:p>
      <w:pPr>
        <w:pStyle w:val="BodyText"/>
      </w:pPr>
      <w:r>
        <w:rPr>
          <w:rFonts w:hint="eastAsia"/>
        </w:rPr>
        <w:t xml:space="preserve">习近平在会谈中表示，愿“继续加强对双边关系的引领，弘扬两国人民胞波情谊，深化全面战略合作”。国务院总理李强与全国人大常委会委员长赵乐际亦与敏昂莱分别举行了会见。</w:t>
      </w:r>
    </w:p>
    <w:p>
      <w:pPr>
        <w:pStyle w:val="BodyText"/>
      </w:pPr>
      <w:r>
        <w:rPr>
          <w:rFonts w:hint="eastAsia"/>
        </w:rPr>
        <w:t xml:space="preserve">敏昂莱此行系其2021年2月军事政变推翻民选领导人昂山素季后第二次以政府首脑身份正式访华，但首次以“总统”头衔出席。他抵京后并未直接前往人民大会堂，而是先行考察北京航天城——中国载人航天工程的核心基地，被外界解读为缅甸在军事和高科技合作议题上的姿态。</w:t>
      </w:r>
    </w:p>
    <w:p>
      <w:pPr>
        <w:pStyle w:val="BodyText"/>
      </w:pPr>
      <w:r>
        <w:rPr>
          <w:rFonts w:hint="eastAsia"/>
        </w:rPr>
        <w:t xml:space="preserve">中缅共享2100公里陆地边境，是“一带一路”框架下中缅经济走廊（CMEC）的主要承载国，皎漂深水港、中缅油气管道及未来的高铁连接均在议程之列。近年因北部边境电信诈骗园区针对中国公民实施跨境犯罪，两国关系一度承压；中方曾多次推动缅方打击跨境电诈，相关行动构成此次峰会安全议题的重要背景。法新社及《海湾时报》报道指出，北京此次以高规格接待向外界确认了中方对敏昂莱政权的政治背书，欧美及东盟多数成员国此前并未承认2025年至2026年选举的合法性。</w:t>
      </w:r>
    </w:p>
    <w:p>
      <w:pPr>
        <w:pStyle w:val="BodyText"/>
      </w:pPr>
      <w:r>
        <w:rPr>
          <w:b/>
          <w:bCs/>
        </w:rPr>
        <w:t xml:space="preserve">References</w:t>
      </w:r>
    </w:p>
    <w:p>
      <w:pPr>
        <w:pStyle w:val="BodyText"/>
      </w:pPr>
      <w:r>
        <w:t xml:space="preserve">[8] Lee, L., &amp; Wang, E. (2026, June 16). China, Myanmar pursue deeper ties as Xi hosts Min Aung Hlaing. Yahoo News. https://www.yahoo.com/news/world/articles/china-myanmar-pursue-deeper-ties-041804846.html</w:t>
      </w:r>
      <w:r>
        <w:t xml:space="preserve"> </w:t>
      </w:r>
      <w:r>
        <w:t xml:space="preserve">[9] Agence France-Presse. (2026, June 16). Myanmar’s president arrives in China to boost trade ties. Gulf Times. https://www.gulf-times.com/article/727544/international/myanmars-president-arrives-in-china-to-boost-trade-ties</w:t>
      </w:r>
      <w:r>
        <w:t xml:space="preserve"> </w:t>
      </w:r>
      <w:r>
        <w:t xml:space="preserve">[10] The Star. (2026, June 16). China’s Xi backs Myanmar’s president as leaders meet in Beijing. The Star. https://www.thestar.com.my/aseanplus/aseanplus-news/2026/06/16/china039s-xi-backs-myanmar039s-president-as-leaders-meet-in-beijing</w:t>
      </w:r>
      <w:r>
        <w:t xml:space="preserve"> </w:t>
      </w:r>
      <w:r>
        <w:t xml:space="preserve">[11] Hong Kong Free Press. (2026, June 15). Myanmar’s ex-junta chief makes first China trip as civilian president. Hong Kong Free Press. https://hongkongfp.com/2026/06/15/myanmars-ex-junta-chief-makes-first-china-trip-as-civilian-president/</w:t>
      </w:r>
    </w:p>
    <w:p>
      <w:r>
        <w:pict>
          <v:rect style="width:0;height:1.5pt" o:hralign="center" o:hrstd="t" o:hr="t"/>
        </w:pict>
      </w:r>
    </w:p>
    <w:bookmarkEnd w:id="12"/>
    <w:bookmarkEnd w:id="13"/>
    <w:bookmarkStart w:id="15" w:name="三科技与产业"/>
    <w:p>
      <w:pPr>
        <w:pStyle w:val="Heading2"/>
      </w:pPr>
      <w:r>
        <w:rPr>
          <w:rFonts w:hint="eastAsia"/>
        </w:rPr>
        <w:t xml:space="preserve">三、科技与产业</w:t>
      </w:r>
    </w:p>
    <w:bookmarkStart w:id="14" w:name="euronews起底解放军ai军用化路径无人机蜂群与电子战进入实战部署"/>
    <w:p>
      <w:pPr>
        <w:pStyle w:val="Heading3"/>
      </w:pPr>
      <w:r>
        <w:rPr>
          <w:rFonts w:hint="eastAsia"/>
        </w:rPr>
        <w:t xml:space="preserve">Euronews起底解放军AI军用化路径，无人机蜂群与电子战进入实战部署</w:t>
      </w:r>
    </w:p>
    <w:p>
      <w:pPr>
        <w:pStyle w:val="FirstParagraph"/>
      </w:pPr>
      <w:r>
        <w:rPr>
          <w:rFonts w:hint="eastAsia"/>
        </w:rPr>
        <w:t xml:space="preserve">中国2017年发布的《新一代人工智能发展规划》设定了到2030年在人工智能理论、技术和应用领域达到“世界领先水平”的目标，习近平在2022年的一次讲话中要求解放军“把握好”智能化战争的特征。Euronews记者安娜·德马莱（Anna</w:t>
      </w:r>
      <w:r>
        <w:t xml:space="preserve"> </w:t>
      </w:r>
      <w:r>
        <w:rPr>
          <w:rFonts w:hint="eastAsia"/>
        </w:rPr>
        <w:t xml:space="preserve">Desmarais）6月16日刊发的长篇报道追踪了过去八年解放军将这一战略转化为具体武器系统的路径。</w:t>
      </w:r>
    </w:p>
    <w:p>
      <w:pPr>
        <w:pStyle w:val="BodyText"/>
      </w:pPr>
      <w:r>
        <w:rPr>
          <w:rFonts w:hint="eastAsia"/>
        </w:rPr>
        <w:t xml:space="preserve">报道援引亚太领导力网络（Asia-Pacific</w:t>
      </w:r>
      <w:r>
        <w:t xml:space="preserve"> Leadership </w:t>
      </w:r>
      <w:r>
        <w:rPr>
          <w:rFonts w:hint="eastAsia"/>
        </w:rPr>
        <w:t xml:space="preserve">Network）分析师弗兰克·奥唐奈（Frank</w:t>
      </w:r>
      <w:r>
        <w:t xml:space="preserve"> </w:t>
      </w:r>
      <w:r>
        <w:rPr>
          <w:rFonts w:hint="eastAsia"/>
        </w:rPr>
        <w:t xml:space="preserve">O’Donnell）的判断：“习近平相信人工智能是21世纪获取全球大国地位的关键。”在具体能力上，中国据报道正使用AI预测最远5000公里外作战无人机的干扰方式；2025年抗战胜利纪念阅兵中，自主协同的无人机蜂群首次亮相；同年解放军在导弹护卫舰上部署AI辅助决策系统，用于压缩舰艇指挥员的反应链路。</w:t>
      </w:r>
    </w:p>
    <w:p>
      <w:pPr>
        <w:pStyle w:val="BodyText"/>
      </w:pPr>
      <w:r>
        <w:rPr>
          <w:rFonts w:hint="eastAsia"/>
        </w:rPr>
        <w:t xml:space="preserve">代价亦明显。乔治城大学（Georgetown</w:t>
      </w:r>
      <w:r>
        <w:t xml:space="preserve"> </w:t>
      </w:r>
      <w:r>
        <w:rPr>
          <w:rFonts w:hint="eastAsia"/>
        </w:rPr>
        <w:t xml:space="preserve">University）研究员萨姆·布雷斯尼克（Sam</w:t>
      </w:r>
      <w:r>
        <w:t xml:space="preserve"> </w:t>
      </w:r>
      <w:r>
        <w:rPr>
          <w:rFonts w:hint="eastAsia"/>
        </w:rPr>
        <w:t xml:space="preserve">Bresnick）提醒，解放军自1979年以来未曾经历实战，AI系统在缺乏真实战场反馈数据的条件下面临训练样本与实战可靠性的双重瓶颈。</w:t>
      </w:r>
    </w:p>
    <w:p>
      <w:pPr>
        <w:pStyle w:val="BodyText"/>
      </w:pPr>
      <w:r>
        <w:rPr>
          <w:rFonts w:hint="eastAsia"/>
        </w:rPr>
        <w:t xml:space="preserve">报道还将解放军的进展与五角大楼6月最新一轮“1260H”涉军企业清单联系起来。该清单新增阿里巴巴（Alibaba）、百度（Baidu）、比亚迪（BYD）与宇树科技（Unitree）等公司，名单总数升至188家，覆盖电动车、电池、AI、机器人、半导体、激光雷达和光伏等八大领域，标志着美方对中国“军民融合”的认定边界已从传统军工与电信扩展至消费级科技龙头。被列入企业自2026年6月30日起不得获取美国国防部合同，阿里、百度均表态否认涉军并暗示将采取法律行动。</w:t>
      </w:r>
    </w:p>
    <w:p>
      <w:pPr>
        <w:pStyle w:val="BodyText"/>
      </w:pPr>
      <w:r>
        <w:rPr>
          <w:b/>
          <w:bCs/>
        </w:rPr>
        <w:t xml:space="preserve">References</w:t>
      </w:r>
    </w:p>
    <w:p>
      <w:pPr>
        <w:pStyle w:val="BodyText"/>
      </w:pPr>
      <w:r>
        <w:t xml:space="preserve">[12] Desmarais, A. (2026, June 16). AI is the key to global power status: inside China’s race to militarise artificial intelligence. Euronews. https://www.euronews.com/next/2026/06/16/ai-is-the-key-to-global-power-status-inside-chinas-race-to-militarise-artificial-intellige</w:t>
      </w:r>
      <w:r>
        <w:t xml:space="preserve"> </w:t>
      </w:r>
      <w:r>
        <w:t xml:space="preserve">[13] CNBC. (2026, June 9). Alibaba, Baidu, BYD named on Pentagon’s China military list. CNBC. https://www.cnbc.com/2026/06/09/alibaba-baidu-byd-named-on-pentagons-china-military-list-.html</w:t>
      </w:r>
      <w:r>
        <w:t xml:space="preserve"> </w:t>
      </w:r>
      <w:r>
        <w:t xml:space="preserve">[14] WilmerHale. (2026, June 11). Pentagon adds 65 new entities to the 1260H list of Chinese military companies. WilmerHale. https://www.wilmerhale.com/en/insights/client-alerts/20260611-pentagon-adds-65-new-entities-to-the-1260h-list-of-chinese-military-companies</w:t>
      </w:r>
    </w:p>
    <w:p>
      <w:r>
        <w:pict>
          <v:rect style="width:0;height:1.5pt" o:hralign="center" o:hrstd="t" o:hr="t"/>
        </w:pict>
      </w:r>
    </w:p>
    <w:bookmarkEnd w:id="14"/>
    <w:bookmarkEnd w:id="15"/>
    <w:bookmarkStart w:id="16"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7" w:name="五海外涉华财经"/>
    <w:p>
      <w:pPr>
        <w:pStyle w:val="Heading2"/>
      </w:pPr>
      <w:r>
        <w:rPr>
          <w:rFonts w:hint="eastAsia"/>
        </w:rPr>
        <w:t xml:space="preserve">五、海外涉华财经</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Start w:id="19" w:name="六企业ipo与并购"/>
    <w:p>
      <w:pPr>
        <w:pStyle w:val="Heading2"/>
      </w:pPr>
      <w:r>
        <w:rPr>
          <w:rFonts w:hint="eastAsia"/>
        </w:rPr>
        <w:t xml:space="preserve">六、企业IPO与并购</w:t>
      </w:r>
    </w:p>
    <w:bookmarkStart w:id="18" w:name="华润新能源启动深市a股ipo询价募资约362亿元刷新深交所纪录并成首单红筹"/>
    <w:p>
      <w:pPr>
        <w:pStyle w:val="Heading3"/>
      </w:pPr>
      <w:r>
        <w:rPr>
          <w:rFonts w:hint="eastAsia"/>
        </w:rPr>
        <w:t xml:space="preserve">华润新能源启动深市A股IPO询价，募资约362亿元刷新深交所纪录并成首单红筹</w:t>
      </w:r>
    </w:p>
    <w:p>
      <w:pPr>
        <w:pStyle w:val="FirstParagraph"/>
      </w:pPr>
      <w:r>
        <w:rPr>
          <w:rFonts w:hint="eastAsia"/>
        </w:rPr>
        <w:t xml:space="preserve">华润电力（HK:0836）旗下风光新能源平台华润新能源控股6月16日启动A股IPO初步询价，新股申购日定于6月22日。此次发行拟募集资金约245亿元人民币（约36.2亿美元），按规模计将成为深交所历史上最大单IPO，并是深交所主板首单红筹架构企业上市。</w:t>
      </w:r>
    </w:p>
    <w:p>
      <w:pPr>
        <w:pStyle w:val="BodyText"/>
      </w:pPr>
      <w:r>
        <w:rPr>
          <w:rFonts w:hint="eastAsia"/>
        </w:rPr>
        <w:t xml:space="preserve">发行方案显示，此次拟发行约21亿股，对应扩大后股本约16.2%（若行使超额配售选择权，对应比例升至约18.2%）。配售结构上，战略投资者获配50%，其余50%由网下机构与网上散户按70%∶30%分配。联席保荐人为中金公司与中信证券。</w:t>
      </w:r>
    </w:p>
    <w:p>
      <w:pPr>
        <w:pStyle w:val="BodyText"/>
      </w:pPr>
      <w:r>
        <w:rPr>
          <w:rFonts w:hint="eastAsia"/>
        </w:rPr>
        <w:t xml:space="preserve">募集资金将定向投入约404亿元人民币的风光发电项目组合，涵盖清洁能源基地及绿色生态开发项目。规模上，本次发行将超越2020年益海嘉里·金龙鱼139亿元的IPO，刷新深市纪录。</w:t>
      </w:r>
    </w:p>
    <w:p>
      <w:pPr>
        <w:pStyle w:val="BodyText"/>
      </w:pPr>
      <w:r>
        <w:rPr>
          <w:rFonts w:hint="eastAsia"/>
        </w:rPr>
        <w:t xml:space="preserve">发行前的财务表现并不靓丽。2026年一季度公司净利润同比下降31.1%至16.2亿元，营业收入同比下降2.8%至62.1亿元，主因风电、光伏上网电价持续承压及部分省份消纳压力上升。媒体分析指出，红筹结构企业回A长期受制于VIE与外商投资负面清单等制度门槛，华润新能源此次过会被视作深交所主板对红筹企业试点开闸的标志性案例，后续可能为更多境外注册、在岸经营的新能源、半导体企业提供回归路径。</w:t>
      </w:r>
    </w:p>
    <w:p>
      <w:pPr>
        <w:pStyle w:val="BodyText"/>
      </w:pPr>
      <w:r>
        <w:rPr>
          <w:b/>
          <w:bCs/>
        </w:rPr>
        <w:t xml:space="preserve">References</w:t>
      </w:r>
    </w:p>
    <w:p>
      <w:pPr>
        <w:pStyle w:val="BodyText"/>
      </w:pPr>
      <w:r>
        <w:t xml:space="preserve">[15] Reuters. (2026, June 16). China Resources New Energy targets 3.62 billion Shenzhen IPO. Investing.com. https://m.investing.com/news/stock-market-news/china-resources-new-energy-targets-362-billion-shenzhen-ipo-93CH-4736865</w:t>
      </w:r>
      <w:r>
        <w:t xml:space="preserve"> </w:t>
      </w:r>
      <w:r>
        <w:t xml:space="preserve">[16] South China Morning Post. (2026, June 16). China Resources New Energy’s US$3.6 billion IPO smashes records on Shenzhen exchange. South China Morning Post. https://www.scmp.com/business/china-business/article/3356694/china-resources-new-energys-us36-billion-ipo-smashes-records-shenzhen-exchange</w:t>
      </w:r>
      <w:r>
        <w:t xml:space="preserve"> </w:t>
      </w:r>
      <w:r>
        <w:t xml:space="preserve">[17] Yuan Talks. (2026, June 11). Shenzhen main board sees first red-chip listing, China Resources New Energy secures approval for RMB 24.5 bn IPO. Yuan Talks. https://www.yuantalks.com/shenzhen-main-board-sees-first-red-chip-listing-china-resources-new-energy-secures-approval-for-rmb-24-5-billion-ipo/</w:t>
      </w:r>
    </w:p>
    <w:p>
      <w:r>
        <w:pict>
          <v:rect style="width:0;height:1.5pt" o:hralign="center" o:hrstd="t" o:hr="t"/>
        </w:pict>
      </w:r>
    </w:p>
    <w:bookmarkEnd w:id="18"/>
    <w:bookmarkEnd w:id="19"/>
    <w:bookmarkStart w:id="20"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2026-06-16T08:37:52Z</dcterms:created>
  <dcterms:modified xsi:type="dcterms:W3CDTF">2026-06-16T08:37:52Z</dcterms:modified>
</cp:coreProperties>
</file>

<file path=docProps/custom.xml><?xml version="1.0" encoding="utf-8"?>
<Properties xmlns="http://schemas.openxmlformats.org/officeDocument/2006/custom-properties" xmlns:vt="http://schemas.openxmlformats.org/officeDocument/2006/docPropsVTypes"/>
</file>